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color w:val="auto"/>
          <w:kern w:val="1"/>
          <w:sz w:val="32"/>
          <w:szCs w:val="32"/>
          <w:highlight w:val="none"/>
          <w:lang w:val="en-US" w:eastAsia="zh-CN"/>
        </w:rPr>
      </w:pPr>
      <mc:AlternateContent>
        <mc:Choice Requires="wpsCustomData">
          <wpsCustomData:docfieldStart id="0" docfieldname="Content" hidden="false" print="true" readonly="false" index="1"/>
        </mc:Choice>
      </mc:AlternateContent>
      <w:r>
        <w:rPr>
          <w:rFonts w:hint="default" w:ascii="Times New Roman" w:hAnsi="Times New Roman" w:eastAsia="方正黑体_GBK" w:cs="Times New Roman"/>
          <w:color w:val="auto"/>
          <w:kern w:val="1"/>
          <w:sz w:val="32"/>
          <w:szCs w:val="32"/>
          <w:highlight w:val="none"/>
          <w:lang w:val="en-US" w:eastAsia="zh-CN"/>
        </w:rPr>
        <w:t>附件</w:t>
      </w:r>
      <w:r>
        <w:rPr>
          <w:rFonts w:hint="eastAsia" w:ascii="Times New Roman" w:hAnsi="Times New Roman" w:eastAsia="方正黑体_GBK" w:cs="Times New Roman"/>
          <w:color w:val="auto"/>
          <w:kern w:val="1"/>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kern w:val="1"/>
          <w:sz w:val="44"/>
          <w:szCs w:val="44"/>
          <w:highlight w:val="none"/>
          <w:lang w:val="en-US" w:eastAsia="zh-CN"/>
        </w:rPr>
      </w:pPr>
      <w:r>
        <w:rPr>
          <w:rFonts w:hint="default" w:ascii="Times New Roman" w:hAnsi="Times New Roman" w:eastAsia="方正小标宋_GBK" w:cs="Times New Roman"/>
          <w:color w:val="auto"/>
          <w:kern w:val="1"/>
          <w:sz w:val="44"/>
          <w:szCs w:val="44"/>
          <w:highlight w:val="none"/>
          <w:lang w:val="en-US" w:eastAsia="zh-CN"/>
        </w:rPr>
        <w:t>广州市单纯门诊定点医疗机构2023年度考核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kern w:val="1"/>
          <w:sz w:val="44"/>
          <w:szCs w:val="44"/>
          <w:highlight w:val="none"/>
          <w:lang w:val="en-US" w:eastAsia="zh-CN"/>
        </w:rPr>
      </w:pPr>
      <w:r>
        <w:rPr>
          <w:rFonts w:hint="default" w:ascii="Times New Roman" w:hAnsi="Times New Roman" w:eastAsia="方正小标宋_GBK" w:cs="Times New Roman"/>
          <w:color w:val="auto"/>
          <w:kern w:val="1"/>
          <w:sz w:val="44"/>
          <w:szCs w:val="44"/>
          <w:highlight w:val="none"/>
          <w:lang w:val="en-US" w:eastAsia="zh-CN"/>
        </w:rPr>
        <w:t>自查自评表</w:t>
      </w:r>
    </w:p>
    <w:tbl>
      <w:tblPr>
        <w:tblStyle w:val="4"/>
        <w:tblW w:w="10245" w:type="dxa"/>
        <w:tblInd w:w="-4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3877"/>
        <w:gridCol w:w="1178"/>
        <w:gridCol w:w="1710"/>
        <w:gridCol w:w="930"/>
        <w:gridCol w:w="1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i w:val="0"/>
                <w:iCs w:val="0"/>
                <w:color w:val="auto"/>
                <w:sz w:val="24"/>
                <w:szCs w:val="24"/>
                <w:highlight w:val="none"/>
                <w:u w:val="none"/>
              </w:rPr>
            </w:pPr>
            <w:r>
              <w:rPr>
                <w:rFonts w:hint="default" w:ascii="Times New Roman" w:hAnsi="Times New Roman" w:eastAsia="方正黑体_GBK" w:cs="Times New Roman"/>
                <w:i w:val="0"/>
                <w:iCs w:val="0"/>
                <w:color w:val="auto"/>
                <w:kern w:val="0"/>
                <w:sz w:val="24"/>
                <w:szCs w:val="24"/>
                <w:highlight w:val="none"/>
                <w:u w:val="none"/>
                <w:lang w:val="en-US" w:eastAsia="zh-CN" w:bidi="ar"/>
              </w:rPr>
              <w:t>机构名称</w:t>
            </w:r>
          </w:p>
        </w:tc>
        <w:tc>
          <w:tcPr>
            <w:tcW w:w="387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黑体_GBK" w:cs="Times New Roman"/>
                <w:i w:val="0"/>
                <w:iCs w:val="0"/>
                <w:color w:val="auto"/>
                <w:kern w:val="0"/>
                <w:sz w:val="24"/>
                <w:szCs w:val="24"/>
                <w:highlight w:val="none"/>
                <w:u w:val="none"/>
                <w:lang w:val="en-US"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 xml:space="preserve"> </w:t>
            </w:r>
          </w:p>
        </w:tc>
        <w:tc>
          <w:tcPr>
            <w:tcW w:w="117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黑体_GBK" w:cs="Times New Roman"/>
                <w:i w:val="0"/>
                <w:iCs w:val="0"/>
                <w:color w:val="auto"/>
                <w:kern w:val="0"/>
                <w:sz w:val="24"/>
                <w:szCs w:val="24"/>
                <w:highlight w:val="none"/>
                <w:u w:val="none"/>
                <w:lang w:val="en-US"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机构编码</w:t>
            </w:r>
          </w:p>
        </w:tc>
        <w:tc>
          <w:tcPr>
            <w:tcW w:w="3930" w:type="dxa"/>
            <w:gridSpan w:val="3"/>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黑体_GBK" w:cs="Times New Roman"/>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i w:val="0"/>
                <w:iCs w:val="0"/>
                <w:color w:val="auto"/>
                <w:sz w:val="24"/>
                <w:szCs w:val="24"/>
                <w:highlight w:val="none"/>
                <w:u w:val="none"/>
              </w:rPr>
            </w:pPr>
            <w:r>
              <w:rPr>
                <w:rFonts w:hint="default" w:ascii="Times New Roman" w:hAnsi="Times New Roman" w:eastAsia="方正黑体_GBK" w:cs="Times New Roman"/>
                <w:i w:val="0"/>
                <w:iCs w:val="0"/>
                <w:color w:val="auto"/>
                <w:kern w:val="0"/>
                <w:sz w:val="24"/>
                <w:szCs w:val="24"/>
                <w:highlight w:val="none"/>
                <w:u w:val="none"/>
                <w:lang w:val="en-US" w:eastAsia="zh-CN" w:bidi="ar"/>
              </w:rPr>
              <w:t>机构地址</w:t>
            </w:r>
          </w:p>
        </w:tc>
        <w:tc>
          <w:tcPr>
            <w:tcW w:w="8985" w:type="dxa"/>
            <w:gridSpan w:val="5"/>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default" w:ascii="Times New Roman" w:hAnsi="Times New Roman" w:eastAsia="方正黑体_GBK" w:cs="Times New Roman"/>
                <w:i w:val="0"/>
                <w:iCs w:val="0"/>
                <w:color w:val="auto"/>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i w:val="0"/>
                <w:iCs w:val="0"/>
                <w:color w:val="auto"/>
                <w:sz w:val="24"/>
                <w:szCs w:val="24"/>
                <w:highlight w:val="none"/>
                <w:u w:val="none"/>
              </w:rPr>
            </w:pPr>
            <w:r>
              <w:rPr>
                <w:rFonts w:hint="default" w:ascii="Times New Roman" w:hAnsi="Times New Roman" w:eastAsia="方正黑体_GBK" w:cs="Times New Roman"/>
                <w:i w:val="0"/>
                <w:iCs w:val="0"/>
                <w:color w:val="auto"/>
                <w:kern w:val="0"/>
                <w:sz w:val="24"/>
                <w:szCs w:val="24"/>
                <w:highlight w:val="none"/>
                <w:u w:val="none"/>
                <w:lang w:val="en-US" w:eastAsia="zh-CN" w:bidi="ar"/>
              </w:rPr>
              <w:t>联系人</w:t>
            </w:r>
          </w:p>
        </w:tc>
        <w:tc>
          <w:tcPr>
            <w:tcW w:w="3877"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黑体_GBK" w:cs="Times New Roman"/>
                <w:i w:val="0"/>
                <w:iCs w:val="0"/>
                <w:color w:val="auto"/>
                <w:kern w:val="0"/>
                <w:sz w:val="24"/>
                <w:szCs w:val="24"/>
                <w:highlight w:val="none"/>
                <w:u w:val="none"/>
                <w:lang w:val="en-US" w:eastAsia="zh-CN" w:bidi="ar"/>
              </w:rPr>
            </w:pPr>
          </w:p>
        </w:tc>
        <w:tc>
          <w:tcPr>
            <w:tcW w:w="1178"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黑体_GBK" w:cs="Times New Roman"/>
                <w:i w:val="0"/>
                <w:iCs w:val="0"/>
                <w:color w:val="auto"/>
                <w:kern w:val="0"/>
                <w:sz w:val="24"/>
                <w:szCs w:val="24"/>
                <w:highlight w:val="none"/>
                <w:u w:val="none"/>
                <w:lang w:val="en-US"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联系电话</w:t>
            </w:r>
          </w:p>
        </w:tc>
        <w:tc>
          <w:tcPr>
            <w:tcW w:w="3930" w:type="dxa"/>
            <w:gridSpan w:val="3"/>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方正黑体_GBK" w:cs="Times New Roman"/>
                <w:i w:val="0"/>
                <w:iCs w:val="0"/>
                <w:color w:val="auto"/>
                <w:kern w:val="0"/>
                <w:sz w:val="22"/>
                <w:szCs w:val="22"/>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2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i w:val="0"/>
                <w:iCs w:val="0"/>
                <w:color w:val="auto"/>
                <w:sz w:val="24"/>
                <w:szCs w:val="24"/>
                <w:highlight w:val="none"/>
                <w:u w:val="none"/>
              </w:rPr>
            </w:pPr>
            <w:r>
              <w:rPr>
                <w:rFonts w:hint="default" w:ascii="Times New Roman" w:hAnsi="Times New Roman" w:eastAsia="方正黑体_GBK" w:cs="Times New Roman"/>
                <w:i w:val="0"/>
                <w:iCs w:val="0"/>
                <w:color w:val="auto"/>
                <w:kern w:val="0"/>
                <w:sz w:val="24"/>
                <w:szCs w:val="24"/>
                <w:highlight w:val="none"/>
                <w:u w:val="none"/>
                <w:lang w:val="en-US" w:eastAsia="zh-CN" w:bidi="ar"/>
              </w:rPr>
              <w:t>自查项目</w:t>
            </w: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i w:val="0"/>
                <w:iCs w:val="0"/>
                <w:color w:val="auto"/>
                <w:sz w:val="24"/>
                <w:szCs w:val="24"/>
                <w:highlight w:val="none"/>
                <w:u w:val="none"/>
              </w:rPr>
            </w:pPr>
            <w:r>
              <w:rPr>
                <w:rFonts w:hint="default" w:ascii="Times New Roman" w:hAnsi="Times New Roman" w:eastAsia="方正黑体_GBK" w:cs="Times New Roman"/>
                <w:i w:val="0"/>
                <w:iCs w:val="0"/>
                <w:color w:val="auto"/>
                <w:kern w:val="0"/>
                <w:sz w:val="24"/>
                <w:szCs w:val="24"/>
                <w:highlight w:val="none"/>
                <w:u w:val="none"/>
                <w:lang w:val="en-US" w:eastAsia="zh-CN" w:bidi="ar"/>
              </w:rPr>
              <w:t>自查内容</w:t>
            </w:r>
          </w:p>
        </w:tc>
        <w:tc>
          <w:tcPr>
            <w:tcW w:w="9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i w:val="0"/>
                <w:iCs w:val="0"/>
                <w:color w:val="auto"/>
                <w:sz w:val="24"/>
                <w:szCs w:val="24"/>
                <w:highlight w:val="none"/>
                <w:u w:val="none"/>
                <w:lang w:eastAsia="zh-CN"/>
              </w:rPr>
            </w:pPr>
            <w:r>
              <w:rPr>
                <w:rFonts w:hint="default" w:ascii="Times New Roman" w:hAnsi="Times New Roman" w:eastAsia="方正黑体_GBK" w:cs="Times New Roman"/>
                <w:i w:val="0"/>
                <w:iCs w:val="0"/>
                <w:color w:val="auto"/>
                <w:sz w:val="24"/>
                <w:szCs w:val="24"/>
                <w:highlight w:val="none"/>
                <w:u w:val="none"/>
                <w:lang w:eastAsia="zh-CN"/>
              </w:rPr>
              <w:t>分值</w:t>
            </w: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i w:val="0"/>
                <w:iCs w:val="0"/>
                <w:color w:val="auto"/>
                <w:kern w:val="0"/>
                <w:sz w:val="24"/>
                <w:szCs w:val="24"/>
                <w:highlight w:val="none"/>
                <w:u w:val="none"/>
                <w:lang w:val="en-US" w:eastAsia="zh-CN" w:bidi="ar"/>
              </w:rPr>
            </w:pPr>
            <w:r>
              <w:rPr>
                <w:rFonts w:hint="default" w:ascii="Times New Roman" w:hAnsi="Times New Roman" w:eastAsia="方正黑体_GBK" w:cs="Times New Roman"/>
                <w:i w:val="0"/>
                <w:iCs w:val="0"/>
                <w:color w:val="auto"/>
                <w:kern w:val="0"/>
                <w:sz w:val="24"/>
                <w:szCs w:val="24"/>
                <w:highlight w:val="none"/>
                <w:u w:val="none"/>
                <w:lang w:val="en-US" w:eastAsia="zh-CN" w:bidi="ar"/>
              </w:rPr>
              <w:t>自查情况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6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2"/>
                <w:szCs w:val="22"/>
                <w:highlight w:val="none"/>
                <w:u w:val="none"/>
              </w:rPr>
            </w:pPr>
            <w:r>
              <w:rPr>
                <w:rStyle w:val="13"/>
                <w:rFonts w:hint="default" w:ascii="Times New Roman" w:hAnsi="Times New Roman" w:cs="Times New Roman"/>
                <w:color w:val="auto"/>
                <w:highlight w:val="none"/>
                <w:lang w:val="en-US" w:eastAsia="zh-CN" w:bidi="ar"/>
              </w:rPr>
              <w:t>组织建设</w:t>
            </w: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建立健全医疗保障服务管理（含负责医疗保障基金使用管理）部门。</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2"/>
                <w:szCs w:val="22"/>
                <w:highlight w:val="none"/>
                <w:u w:val="none"/>
                <w:lang w:val="en-US" w:eastAsia="zh-CN"/>
              </w:rPr>
            </w:pPr>
            <w:r>
              <w:rPr>
                <w:rFonts w:hint="default" w:ascii="Times New Roman" w:hAnsi="Times New Roman" w:eastAsia="方正仿宋_GBK" w:cs="Times New Roman"/>
                <w:i w:val="0"/>
                <w:iCs w:val="0"/>
                <w:color w:val="auto"/>
                <w:sz w:val="22"/>
                <w:szCs w:val="22"/>
                <w:highlight w:val="none"/>
                <w:u w:val="none"/>
                <w:lang w:val="en-US" w:eastAsia="zh-CN"/>
              </w:rPr>
              <w:t>30</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26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cs="Times New Roman"/>
                <w:color w:val="auto"/>
                <w:highlight w:val="none"/>
              </w:rPr>
            </w:pP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配备2名以上专（兼）职医疗保障管理人员的，其中二级及以上的医疗机构配备专职工作人员的。</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50</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6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2"/>
                <w:szCs w:val="22"/>
                <w:highlight w:val="none"/>
                <w:u w:val="none"/>
              </w:rPr>
            </w:pPr>
            <w:r>
              <w:rPr>
                <w:rStyle w:val="13"/>
                <w:rFonts w:hint="default" w:ascii="Times New Roman" w:hAnsi="Times New Roman" w:cs="Times New Roman"/>
                <w:color w:val="auto"/>
                <w:highlight w:val="none"/>
                <w:lang w:val="en-US" w:eastAsia="zh-CN" w:bidi="ar"/>
              </w:rPr>
              <w:t>制度建设</w:t>
            </w: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制定门诊特定病种病历管理、医疗保险档案资料管理、定点医疗机构医保信息系统故障应急预案等制度或措施。</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2"/>
                <w:szCs w:val="22"/>
                <w:highlight w:val="none"/>
                <w:u w:val="none"/>
                <w:lang w:val="en-US" w:eastAsia="zh-CN"/>
              </w:rPr>
            </w:pPr>
            <w:r>
              <w:rPr>
                <w:rFonts w:hint="default" w:ascii="Times New Roman" w:hAnsi="Times New Roman" w:eastAsia="方正仿宋_GBK" w:cs="Times New Roman"/>
                <w:i w:val="0"/>
                <w:iCs w:val="0"/>
                <w:color w:val="auto"/>
                <w:sz w:val="22"/>
                <w:szCs w:val="22"/>
                <w:highlight w:val="none"/>
                <w:u w:val="none"/>
                <w:lang w:val="en-US" w:eastAsia="zh-CN"/>
              </w:rPr>
              <w:t>20/项</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6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auto"/>
                <w:highlight w:val="none"/>
              </w:rPr>
            </w:pP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Style w:val="14"/>
                <w:rFonts w:hint="default" w:ascii="Times New Roman" w:hAnsi="Times New Roman" w:cs="Times New Roman"/>
                <w:color w:val="auto"/>
                <w:sz w:val="22"/>
                <w:szCs w:val="22"/>
                <w:highlight w:val="none"/>
                <w:lang w:val="en-US" w:eastAsia="zh-CN" w:bidi="ar"/>
              </w:rPr>
              <w:t>建立医保基金内部管理制度。</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20</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126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标牌文件</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2"/>
                <w:szCs w:val="22"/>
                <w:highlight w:val="none"/>
                <w:u w:val="none"/>
              </w:rPr>
            </w:pPr>
            <w:r>
              <w:rPr>
                <w:rStyle w:val="13"/>
                <w:rFonts w:hint="default" w:ascii="Times New Roman" w:hAnsi="Times New Roman" w:cs="Times New Roman"/>
                <w:color w:val="auto"/>
                <w:highlight w:val="none"/>
                <w:lang w:val="en-US" w:eastAsia="zh-CN" w:bidi="ar"/>
              </w:rPr>
              <w:t>管理</w:t>
            </w: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按规定悬挂标牌。</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2"/>
                <w:szCs w:val="22"/>
                <w:highlight w:val="none"/>
                <w:u w:val="none"/>
                <w:lang w:val="en-US" w:eastAsia="zh-CN"/>
              </w:rPr>
            </w:pPr>
            <w:r>
              <w:rPr>
                <w:rFonts w:hint="default" w:ascii="Times New Roman" w:hAnsi="Times New Roman" w:eastAsia="方正仿宋_GBK" w:cs="Times New Roman"/>
                <w:i w:val="0"/>
                <w:iCs w:val="0"/>
                <w:color w:val="auto"/>
                <w:sz w:val="22"/>
                <w:szCs w:val="22"/>
                <w:highlight w:val="none"/>
                <w:u w:val="none"/>
                <w:lang w:val="en-US" w:eastAsia="zh-CN"/>
              </w:rPr>
              <w:t>30</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126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auto"/>
                <w:highlight w:val="none"/>
              </w:rPr>
            </w:pP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按要求悬挂统一格式的广州市医疗保障定点医疗机构标牌。</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20</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26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auto"/>
                <w:highlight w:val="none"/>
              </w:rPr>
            </w:pP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妥善保存协议年度内协议电子版或纸质版。</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30</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26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auto"/>
                <w:highlight w:val="none"/>
              </w:rPr>
            </w:pP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书宋_GBK" w:cs="Times New Roman"/>
                <w:i w:val="0"/>
                <w:iCs w:val="0"/>
                <w:color w:val="auto"/>
                <w:kern w:val="0"/>
                <w:sz w:val="22"/>
                <w:szCs w:val="22"/>
                <w:highlight w:val="none"/>
                <w:u w:val="none"/>
                <w:lang w:val="en-US" w:eastAsia="zh-CN" w:bidi="ar"/>
              </w:rPr>
            </w:pPr>
            <w:r>
              <w:rPr>
                <w:rStyle w:val="14"/>
                <w:rFonts w:hint="default" w:ascii="Times New Roman" w:hAnsi="Times New Roman" w:cs="Times New Roman"/>
                <w:color w:val="auto"/>
                <w:sz w:val="22"/>
                <w:szCs w:val="22"/>
                <w:highlight w:val="none"/>
                <w:lang w:val="en-US" w:eastAsia="zh-CN" w:bidi="ar"/>
              </w:rPr>
              <w:t>协议年度内协议内容发生变更的，妥善保管《广州市医疗保障定点医疗机构医疗服务范围、项目及结算方式补充协议》协议变更页回执。</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20</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书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26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宋体" w:cs="Times New Roman"/>
                <w:color w:val="auto"/>
                <w:highlight w:val="none"/>
                <w:lang w:eastAsia="zh-CN"/>
              </w:rPr>
            </w:pPr>
            <w:r>
              <w:rPr>
                <w:rStyle w:val="13"/>
                <w:rFonts w:hint="eastAsia" w:ascii="Times New Roman" w:hAnsi="Times New Roman" w:cs="Times New Roman"/>
                <w:i w:val="0"/>
                <w:iCs w:val="0"/>
                <w:color w:val="auto"/>
                <w:highlight w:val="none"/>
                <w:lang w:val="en-US" w:eastAsia="zh-CN" w:bidi="ar"/>
              </w:rPr>
              <w:t>培训管理</w:t>
            </w: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4"/>
                <w:rFonts w:hint="default" w:ascii="Times New Roman" w:hAnsi="Times New Roman" w:eastAsia="方正仿宋_GBK" w:cs="Times New Roman"/>
                <w:color w:val="auto"/>
                <w:sz w:val="22"/>
                <w:szCs w:val="22"/>
                <w:highlight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按规定组织开展院内</w:t>
            </w:r>
            <w:r>
              <w:rPr>
                <w:rStyle w:val="12"/>
                <w:rFonts w:hint="default" w:ascii="Times New Roman" w:hAnsi="Times New Roman" w:eastAsia="方正仿宋_GBK" w:cs="Times New Roman"/>
                <w:color w:val="auto"/>
                <w:sz w:val="22"/>
                <w:szCs w:val="22"/>
                <w:highlight w:val="none"/>
                <w:lang w:val="en-US" w:eastAsia="zh-CN" w:bidi="ar"/>
              </w:rPr>
              <w:t>医疗保险相关政策培训的。</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50</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26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auto"/>
                <w:highlight w:val="none"/>
              </w:rPr>
            </w:pP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4"/>
                <w:rFonts w:hint="default" w:ascii="Times New Roman" w:hAnsi="Times New Roman" w:eastAsia="方正仿宋_GBK" w:cs="Times New Roman"/>
                <w:color w:val="auto"/>
                <w:sz w:val="22"/>
                <w:szCs w:val="22"/>
                <w:highlight w:val="none"/>
                <w:lang w:val="en-US" w:eastAsia="zh-CN" w:bidi="ar"/>
              </w:rPr>
            </w:pPr>
            <w:r>
              <w:rPr>
                <w:rStyle w:val="12"/>
                <w:rFonts w:hint="default" w:ascii="Times New Roman" w:hAnsi="Times New Roman" w:eastAsia="方正仿宋_GBK" w:cs="Times New Roman"/>
                <w:color w:val="auto"/>
                <w:sz w:val="22"/>
                <w:szCs w:val="22"/>
                <w:highlight w:val="none"/>
                <w:lang w:val="en-US" w:eastAsia="zh-CN" w:bidi="ar"/>
              </w:rPr>
              <w:t>制定详细、具体的医疗保险政策培训计划并实施。</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30</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126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auto"/>
                <w:highlight w:val="none"/>
              </w:rPr>
            </w:pP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4"/>
                <w:rFonts w:hint="default" w:ascii="Times New Roman" w:hAnsi="Times New Roman" w:eastAsia="方正仿宋_GBK" w:cs="Times New Roman"/>
                <w:color w:val="auto"/>
                <w:sz w:val="22"/>
                <w:szCs w:val="22"/>
                <w:highlight w:val="none"/>
                <w:lang w:val="en-US" w:eastAsia="zh-CN" w:bidi="ar"/>
              </w:rPr>
            </w:pPr>
            <w:r>
              <w:rPr>
                <w:rStyle w:val="12"/>
                <w:rFonts w:hint="default" w:ascii="Times New Roman" w:hAnsi="Times New Roman" w:eastAsia="方正仿宋_GBK" w:cs="Times New Roman"/>
                <w:color w:val="auto"/>
                <w:sz w:val="22"/>
                <w:szCs w:val="22"/>
                <w:highlight w:val="none"/>
                <w:lang w:val="en-US" w:eastAsia="zh-CN" w:bidi="ar"/>
              </w:rPr>
              <w:t>编制院内培训教材</w:t>
            </w:r>
            <w:r>
              <w:rPr>
                <w:rStyle w:val="12"/>
                <w:rFonts w:hint="eastAsia" w:eastAsia="方正仿宋_GBK" w:cs="Times New Roman"/>
                <w:color w:val="auto"/>
                <w:sz w:val="22"/>
                <w:szCs w:val="22"/>
                <w:highlight w:val="none"/>
                <w:lang w:val="en-US" w:eastAsia="zh-CN" w:bidi="ar"/>
              </w:rPr>
              <w:t>。</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20</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126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cs="Times New Roman"/>
                <w:color w:val="auto"/>
                <w:highlight w:val="none"/>
              </w:rPr>
            </w:pP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4"/>
                <w:rFonts w:hint="default" w:ascii="Times New Roman" w:hAnsi="Times New Roman" w:eastAsia="方正仿宋_GBK" w:cs="Times New Roman"/>
                <w:color w:val="auto"/>
                <w:sz w:val="22"/>
                <w:szCs w:val="22"/>
                <w:highlight w:val="none"/>
                <w:lang w:val="en-US" w:eastAsia="zh-CN" w:bidi="ar"/>
              </w:rPr>
            </w:pPr>
            <w:r>
              <w:rPr>
                <w:rStyle w:val="12"/>
                <w:rFonts w:hint="default" w:ascii="Times New Roman" w:hAnsi="Times New Roman" w:eastAsia="方正仿宋_GBK" w:cs="Times New Roman"/>
                <w:color w:val="auto"/>
                <w:sz w:val="22"/>
                <w:szCs w:val="22"/>
                <w:highlight w:val="none"/>
                <w:lang w:val="en-US" w:eastAsia="zh-CN" w:bidi="ar"/>
              </w:rPr>
              <w:t>院内培训教材</w:t>
            </w:r>
            <w:r>
              <w:rPr>
                <w:rStyle w:val="12"/>
                <w:rFonts w:hint="eastAsia" w:eastAsia="方正仿宋_GBK" w:cs="Times New Roman"/>
                <w:color w:val="auto"/>
                <w:sz w:val="22"/>
                <w:szCs w:val="22"/>
                <w:highlight w:val="none"/>
                <w:lang w:val="en-US" w:eastAsia="zh-CN" w:bidi="ar"/>
              </w:rPr>
              <w:t>内容编制准确。</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10/</w:t>
            </w:r>
            <w:r>
              <w:rPr>
                <w:rFonts w:hint="eastAsia" w:eastAsia="方正仿宋_GBK" w:cs="Times New Roman"/>
                <w:i w:val="0"/>
                <w:iCs w:val="0"/>
                <w:color w:val="auto"/>
                <w:kern w:val="0"/>
                <w:sz w:val="22"/>
                <w:szCs w:val="22"/>
                <w:highlight w:val="none"/>
                <w:u w:val="none"/>
                <w:lang w:val="en-US" w:eastAsia="zh-CN" w:bidi="ar"/>
              </w:rPr>
              <w:t>例</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26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13"/>
                <w:rFonts w:hint="default" w:ascii="Times New Roman" w:hAnsi="Times New Roman" w:cs="Times New Roman"/>
                <w:color w:val="auto"/>
                <w:highlight w:val="none"/>
                <w:lang w:val="en-US" w:eastAsia="zh-CN" w:bidi="ar"/>
              </w:rPr>
            </w:pPr>
            <w:r>
              <w:rPr>
                <w:rStyle w:val="13"/>
                <w:rFonts w:hint="default" w:ascii="Times New Roman" w:hAnsi="Times New Roman" w:cs="Times New Roman"/>
                <w:color w:val="auto"/>
                <w:highlight w:val="none"/>
                <w:lang w:val="en-US" w:eastAsia="zh-CN" w:bidi="ar"/>
              </w:rPr>
              <w:t>咨询投诉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2"/>
                <w:szCs w:val="22"/>
                <w:highlight w:val="none"/>
                <w:u w:val="none"/>
              </w:rPr>
            </w:pPr>
            <w:r>
              <w:rPr>
                <w:rStyle w:val="13"/>
                <w:rFonts w:hint="default" w:ascii="Times New Roman" w:hAnsi="Times New Roman" w:cs="Times New Roman"/>
                <w:color w:val="auto"/>
                <w:highlight w:val="none"/>
                <w:lang w:val="en-US" w:eastAsia="zh-CN" w:bidi="ar"/>
              </w:rPr>
              <w:t>管理</w:t>
            </w: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设立医疗保险咨询服务台或张贴就医流程图及在院区显著位置设置</w:t>
            </w:r>
            <w:r>
              <w:rPr>
                <w:rFonts w:hint="eastAsia" w:ascii="方正仿宋_GBK" w:hAnsi="方正仿宋_GBK" w:eastAsia="方正仿宋_GBK" w:cs="方正仿宋_GBK"/>
                <w:color w:val="auto"/>
                <w:sz w:val="22"/>
                <w:szCs w:val="22"/>
                <w:highlight w:val="none"/>
                <w:lang w:eastAsia="zh-CN"/>
              </w:rPr>
              <w:t>“</w:t>
            </w:r>
            <w:r>
              <w:rPr>
                <w:rStyle w:val="14"/>
                <w:rFonts w:hint="default" w:ascii="Times New Roman" w:hAnsi="Times New Roman" w:cs="Times New Roman"/>
                <w:color w:val="auto"/>
                <w:sz w:val="22"/>
                <w:szCs w:val="22"/>
                <w:highlight w:val="none"/>
                <w:lang w:val="en-US" w:eastAsia="zh-CN" w:bidi="ar"/>
              </w:rPr>
              <w:t>社会保障医疗服务宣传栏</w:t>
            </w:r>
            <w:r>
              <w:rPr>
                <w:rFonts w:hint="eastAsia" w:ascii="方正仿宋_GBK" w:hAnsi="方正仿宋_GBK" w:eastAsia="方正仿宋_GBK" w:cs="方正仿宋_GBK"/>
                <w:color w:val="auto"/>
                <w:sz w:val="22"/>
                <w:szCs w:val="22"/>
                <w:highlight w:val="none"/>
                <w:lang w:eastAsia="zh-CN"/>
              </w:rPr>
              <w:t>”</w:t>
            </w:r>
            <w:r>
              <w:rPr>
                <w:rStyle w:val="14"/>
                <w:rFonts w:hint="default" w:ascii="Times New Roman" w:hAnsi="Times New Roman" w:cs="Times New Roman"/>
                <w:color w:val="auto"/>
                <w:sz w:val="22"/>
                <w:szCs w:val="22"/>
                <w:highlight w:val="none"/>
                <w:lang w:val="en-US" w:eastAsia="zh-CN" w:bidi="ar"/>
              </w:rPr>
              <w:t>。</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2"/>
                <w:szCs w:val="22"/>
                <w:highlight w:val="none"/>
                <w:u w:val="none"/>
                <w:lang w:val="en-US" w:eastAsia="zh-CN"/>
              </w:rPr>
            </w:pPr>
            <w:r>
              <w:rPr>
                <w:rFonts w:hint="default" w:ascii="Times New Roman" w:hAnsi="Times New Roman" w:eastAsia="方正仿宋_GBK" w:cs="Times New Roman"/>
                <w:i w:val="0"/>
                <w:iCs w:val="0"/>
                <w:color w:val="auto"/>
                <w:sz w:val="22"/>
                <w:szCs w:val="22"/>
                <w:highlight w:val="none"/>
                <w:u w:val="none"/>
                <w:lang w:val="en-US" w:eastAsia="zh-CN"/>
              </w:rPr>
              <w:t>20/项</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6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auto"/>
                <w:highlight w:val="none"/>
              </w:rPr>
            </w:pP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Style w:val="14"/>
                <w:rFonts w:hint="default" w:ascii="Times New Roman" w:hAnsi="Times New Roman" w:cs="Times New Roman"/>
                <w:color w:val="auto"/>
                <w:sz w:val="22"/>
                <w:szCs w:val="22"/>
                <w:highlight w:val="none"/>
                <w:lang w:val="en-US" w:eastAsia="zh-CN" w:bidi="ar"/>
              </w:rPr>
              <w:t>按规定设置异地就医结算专窗或悬挂明显专窗标识。</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20</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26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Style w:val="14"/>
                <w:rFonts w:hint="default" w:ascii="Times New Roman" w:hAnsi="Times New Roman" w:cs="Times New Roman"/>
                <w:color w:val="auto"/>
                <w:sz w:val="22"/>
                <w:szCs w:val="22"/>
                <w:highlight w:val="none"/>
                <w:lang w:val="en-US" w:eastAsia="zh-CN" w:bidi="ar"/>
              </w:rPr>
              <w:t>为参保人提供基本医疗保险和生育保险药品目录、医疗服务项目目录、医用耗材目录查询渠道。</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40</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6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Style w:val="14"/>
                <w:rFonts w:hint="default" w:ascii="Times New Roman" w:hAnsi="Times New Roman" w:cs="Times New Roman"/>
                <w:color w:val="auto"/>
                <w:sz w:val="22"/>
                <w:szCs w:val="22"/>
                <w:highlight w:val="none"/>
                <w:lang w:val="en-US" w:eastAsia="zh-CN" w:bidi="ar"/>
              </w:rPr>
              <w:t>在医疗机构显著位置采取适当的方式公开投诉、意见收集渠道。</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50</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6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Style w:val="14"/>
                <w:rFonts w:hint="default" w:ascii="Times New Roman" w:hAnsi="Times New Roman" w:cs="Times New Roman"/>
                <w:color w:val="auto"/>
                <w:sz w:val="22"/>
                <w:szCs w:val="22"/>
                <w:highlight w:val="none"/>
                <w:lang w:val="en-US" w:eastAsia="zh-CN" w:bidi="ar"/>
              </w:rPr>
              <w:t>及时（超过</w:t>
            </w:r>
            <w:r>
              <w:rPr>
                <w:rStyle w:val="15"/>
                <w:rFonts w:hint="default" w:ascii="Times New Roman" w:hAnsi="Times New Roman" w:eastAsia="方正仿宋_GBK" w:cs="Times New Roman"/>
                <w:color w:val="auto"/>
                <w:sz w:val="22"/>
                <w:szCs w:val="22"/>
                <w:highlight w:val="none"/>
                <w:lang w:val="en-US" w:eastAsia="zh-CN" w:bidi="ar"/>
              </w:rPr>
              <w:t>5</w:t>
            </w:r>
            <w:r>
              <w:rPr>
                <w:rStyle w:val="14"/>
                <w:rFonts w:hint="default" w:ascii="Times New Roman" w:hAnsi="Times New Roman" w:cs="Times New Roman"/>
                <w:color w:val="auto"/>
                <w:sz w:val="22"/>
                <w:szCs w:val="22"/>
                <w:highlight w:val="none"/>
                <w:lang w:val="en-US" w:eastAsia="zh-CN" w:bidi="ar"/>
              </w:rPr>
              <w:t>个工作日的）处理医疗保险投诉箱内的举报信件。</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sz w:val="22"/>
                <w:szCs w:val="22"/>
                <w:highlight w:val="none"/>
                <w:u w:val="none"/>
                <w:lang w:val="en-US" w:eastAsia="zh-CN"/>
              </w:rPr>
              <w:t>20/例</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6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sz w:val="22"/>
                <w:szCs w:val="22"/>
                <w:highlight w:val="none"/>
                <w:u w:val="none"/>
              </w:rPr>
            </w:pPr>
            <w:r>
              <w:rPr>
                <w:rStyle w:val="13"/>
                <w:rFonts w:hint="default" w:ascii="Times New Roman" w:hAnsi="Times New Roman" w:cs="Times New Roman"/>
                <w:color w:val="auto"/>
                <w:highlight w:val="none"/>
                <w:lang w:val="en-US" w:eastAsia="zh-CN" w:bidi="ar"/>
              </w:rPr>
              <w:t>医保</w:t>
            </w:r>
            <w:r>
              <w:rPr>
                <w:rStyle w:val="15"/>
                <w:rFonts w:hint="default" w:ascii="Times New Roman" w:hAnsi="Times New Roman" w:eastAsia="宋体" w:cs="Times New Roman"/>
                <w:color w:val="auto"/>
                <w:highlight w:val="none"/>
                <w:lang w:val="en-US" w:eastAsia="zh-CN" w:bidi="ar"/>
              </w:rPr>
              <w:t>POS</w:t>
            </w:r>
            <w:r>
              <w:rPr>
                <w:rStyle w:val="16"/>
                <w:rFonts w:hint="default" w:ascii="Times New Roman" w:hAnsi="Times New Roman" w:cs="Times New Roman"/>
                <w:color w:val="auto"/>
                <w:highlight w:val="none"/>
                <w:lang w:val="en-US" w:eastAsia="zh-CN" w:bidi="ar"/>
              </w:rPr>
              <w:t>机管理</w:t>
            </w: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合理配备使用医疗保险专用</w:t>
            </w:r>
            <w:r>
              <w:rPr>
                <w:rStyle w:val="15"/>
                <w:rFonts w:hint="default" w:ascii="Times New Roman" w:hAnsi="Times New Roman" w:eastAsia="方正仿宋_GBK" w:cs="Times New Roman"/>
                <w:color w:val="auto"/>
                <w:sz w:val="22"/>
                <w:szCs w:val="22"/>
                <w:highlight w:val="none"/>
                <w:lang w:val="en-US" w:eastAsia="zh-CN" w:bidi="ar"/>
              </w:rPr>
              <w:t>POS</w:t>
            </w:r>
            <w:r>
              <w:rPr>
                <w:rStyle w:val="14"/>
                <w:rFonts w:hint="default" w:ascii="Times New Roman" w:hAnsi="Times New Roman" w:cs="Times New Roman"/>
                <w:color w:val="auto"/>
                <w:sz w:val="22"/>
                <w:szCs w:val="22"/>
                <w:highlight w:val="none"/>
                <w:lang w:val="en-US" w:eastAsia="zh-CN" w:bidi="ar"/>
              </w:rPr>
              <w:t>机，弃置不使用的或新增及时向医保部门报备。</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2"/>
                <w:szCs w:val="22"/>
                <w:highlight w:val="none"/>
                <w:u w:val="none"/>
                <w:lang w:val="en-US" w:eastAsia="zh-CN"/>
              </w:rPr>
            </w:pPr>
            <w:r>
              <w:rPr>
                <w:rFonts w:hint="default" w:ascii="Times New Roman" w:hAnsi="Times New Roman" w:eastAsia="方正仿宋_GBK" w:cs="Times New Roman"/>
                <w:i w:val="0"/>
                <w:iCs w:val="0"/>
                <w:color w:val="auto"/>
                <w:sz w:val="22"/>
                <w:szCs w:val="22"/>
                <w:highlight w:val="none"/>
                <w:u w:val="none"/>
                <w:lang w:val="en-US" w:eastAsia="zh-CN"/>
              </w:rPr>
              <w:t>10/台</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6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auto"/>
                <w:highlight w:val="none"/>
              </w:rPr>
            </w:pP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Style w:val="14"/>
                <w:rFonts w:hint="default" w:ascii="Times New Roman" w:hAnsi="Times New Roman" w:cs="Times New Roman"/>
                <w:color w:val="auto"/>
                <w:sz w:val="22"/>
                <w:szCs w:val="22"/>
                <w:highlight w:val="none"/>
                <w:lang w:val="en-US" w:eastAsia="zh-CN" w:bidi="ar"/>
              </w:rPr>
              <w:t>妥善保管本院医保</w:t>
            </w:r>
            <w:r>
              <w:rPr>
                <w:rStyle w:val="15"/>
                <w:rFonts w:hint="default" w:ascii="Times New Roman" w:hAnsi="Times New Roman" w:eastAsia="方正仿宋_GBK" w:cs="Times New Roman"/>
                <w:color w:val="auto"/>
                <w:sz w:val="22"/>
                <w:szCs w:val="22"/>
                <w:highlight w:val="none"/>
                <w:lang w:val="en-US" w:eastAsia="zh-CN" w:bidi="ar"/>
              </w:rPr>
              <w:t>POS</w:t>
            </w:r>
            <w:r>
              <w:rPr>
                <w:rStyle w:val="14"/>
                <w:rFonts w:hint="default" w:ascii="Times New Roman" w:hAnsi="Times New Roman" w:cs="Times New Roman"/>
                <w:color w:val="auto"/>
                <w:sz w:val="22"/>
                <w:szCs w:val="22"/>
                <w:highlight w:val="none"/>
                <w:lang w:val="en-US" w:eastAsia="zh-CN" w:bidi="ar"/>
              </w:rPr>
              <w:t>机信息登记表。</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10</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6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auto"/>
                <w:kern w:val="0"/>
                <w:sz w:val="22"/>
                <w:szCs w:val="22"/>
                <w:highlight w:val="none"/>
                <w:u w:val="none"/>
                <w:lang w:val="en-US" w:eastAsia="zh-CN" w:bidi="ar"/>
              </w:rPr>
            </w:pPr>
            <w:r>
              <w:rPr>
                <w:rFonts w:hint="default" w:ascii="Times New Roman" w:hAnsi="Times New Roman" w:eastAsia="方正黑体_GBK" w:cs="Times New Roman"/>
                <w:i w:val="0"/>
                <w:iCs w:val="0"/>
                <w:color w:val="auto"/>
                <w:kern w:val="0"/>
                <w:sz w:val="22"/>
                <w:szCs w:val="22"/>
                <w:highlight w:val="none"/>
                <w:u w:val="none"/>
                <w:lang w:val="en-US" w:eastAsia="zh-CN" w:bidi="ar"/>
              </w:rPr>
              <w:t>基础信息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auto"/>
                <w:sz w:val="22"/>
                <w:szCs w:val="22"/>
                <w:highlight w:val="none"/>
                <w:u w:val="none"/>
              </w:rPr>
            </w:pPr>
            <w:r>
              <w:rPr>
                <w:rFonts w:hint="default" w:ascii="Times New Roman" w:hAnsi="Times New Roman" w:eastAsia="方正黑体_GBK" w:cs="Times New Roman"/>
                <w:i w:val="0"/>
                <w:iCs w:val="0"/>
                <w:color w:val="auto"/>
                <w:kern w:val="0"/>
                <w:sz w:val="22"/>
                <w:szCs w:val="22"/>
                <w:highlight w:val="none"/>
                <w:u w:val="none"/>
                <w:lang w:val="en-US" w:eastAsia="zh-CN" w:bidi="ar"/>
              </w:rPr>
              <w:t>管理</w:t>
            </w: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sz w:val="22"/>
                <w:szCs w:val="22"/>
                <w:highlight w:val="none"/>
                <w:u w:val="none"/>
                <w:lang w:val="en-US"/>
              </w:rPr>
            </w:pPr>
            <w:r>
              <w:rPr>
                <w:rFonts w:hint="default" w:ascii="Times New Roman" w:hAnsi="Times New Roman" w:eastAsia="方正仿宋_GBK" w:cs="Times New Roman"/>
                <w:i w:val="0"/>
                <w:iCs w:val="0"/>
                <w:color w:val="auto"/>
                <w:kern w:val="0"/>
                <w:sz w:val="22"/>
                <w:szCs w:val="22"/>
                <w:highlight w:val="none"/>
                <w:u w:val="none"/>
                <w:lang w:val="en-US" w:eastAsia="zh-CN" w:bidi="ar"/>
              </w:rPr>
              <w:t>准确维护医疗保障基础信息数据（含联系人等）。</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2"/>
                <w:szCs w:val="22"/>
                <w:highlight w:val="none"/>
                <w:u w:val="none"/>
                <w:lang w:val="en-US" w:eastAsia="zh-CN"/>
              </w:rPr>
            </w:pPr>
            <w:r>
              <w:rPr>
                <w:rFonts w:hint="default" w:ascii="Times New Roman" w:hAnsi="Times New Roman" w:eastAsia="方正仿宋_GBK" w:cs="Times New Roman"/>
                <w:i w:val="0"/>
                <w:iCs w:val="0"/>
                <w:color w:val="auto"/>
                <w:sz w:val="22"/>
                <w:szCs w:val="22"/>
                <w:highlight w:val="none"/>
                <w:u w:val="none"/>
                <w:lang w:val="en-US" w:eastAsia="zh-CN"/>
              </w:rPr>
              <w:t>20/项</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6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auto"/>
                <w:highlight w:val="none"/>
              </w:rPr>
            </w:pP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准确维护电子签约系统当年度签署的协议书中乙方、法定代表人、统一社会信用代码及地址。</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20</w:t>
            </w:r>
            <w:r>
              <w:rPr>
                <w:rFonts w:hint="default" w:ascii="Times New Roman" w:hAnsi="Times New Roman" w:eastAsia="方正仿宋_GBK" w:cs="Times New Roman"/>
                <w:i w:val="0"/>
                <w:iCs w:val="0"/>
                <w:color w:val="auto"/>
                <w:sz w:val="22"/>
                <w:szCs w:val="22"/>
                <w:highlight w:val="none"/>
                <w:u w:val="none"/>
                <w:lang w:val="en-US" w:eastAsia="zh-CN"/>
              </w:rPr>
              <w:t>/项</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6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建立医保医师个人档案并准确维护档案登记信息。</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10/例</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6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及时、准确维护国家医保局数据库医保医师、护士信息，赋码率达100%。</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10/例</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2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黑体_GBK" w:cs="Times New Roman"/>
                <w:i w:val="0"/>
                <w:iCs w:val="0"/>
                <w:color w:val="auto"/>
                <w:sz w:val="22"/>
                <w:szCs w:val="22"/>
                <w:highlight w:val="none"/>
                <w:u w:val="none"/>
              </w:rPr>
            </w:pPr>
            <w:r>
              <w:rPr>
                <w:rFonts w:hint="default" w:ascii="Times New Roman" w:hAnsi="Times New Roman" w:eastAsia="方正黑体_GBK" w:cs="Times New Roman"/>
                <w:i w:val="0"/>
                <w:iCs w:val="0"/>
                <w:color w:val="auto"/>
                <w:kern w:val="0"/>
                <w:sz w:val="22"/>
                <w:szCs w:val="22"/>
                <w:highlight w:val="none"/>
                <w:u w:val="none"/>
                <w:lang w:val="en-US" w:eastAsia="zh-CN" w:bidi="ar"/>
              </w:rPr>
              <w:t>药品管理</w:t>
            </w: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公开常用药品价格标准。</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仿宋_GBK" w:cs="Times New Roman"/>
                <w:i w:val="0"/>
                <w:iCs w:val="0"/>
                <w:color w:val="auto"/>
                <w:sz w:val="22"/>
                <w:szCs w:val="22"/>
                <w:highlight w:val="none"/>
                <w:u w:val="none"/>
                <w:lang w:val="en-US" w:eastAsia="zh-CN"/>
              </w:rPr>
            </w:pPr>
            <w:r>
              <w:rPr>
                <w:rFonts w:hint="default" w:ascii="Times New Roman" w:hAnsi="Times New Roman" w:eastAsia="方正仿宋_GBK" w:cs="Times New Roman"/>
                <w:i w:val="0"/>
                <w:iCs w:val="0"/>
                <w:color w:val="auto"/>
                <w:sz w:val="22"/>
                <w:szCs w:val="22"/>
                <w:highlight w:val="none"/>
                <w:u w:val="none"/>
                <w:lang w:val="en-US" w:eastAsia="zh-CN"/>
              </w:rPr>
              <w:t>30</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60" w:type="dxa"/>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auto"/>
                <w:sz w:val="22"/>
                <w:szCs w:val="22"/>
                <w:highlight w:val="none"/>
                <w:u w:val="none"/>
              </w:rPr>
            </w:pPr>
            <w:r>
              <w:rPr>
                <w:rFonts w:hint="default" w:ascii="Times New Roman" w:hAnsi="Times New Roman" w:eastAsia="方正黑体_GBK" w:cs="Times New Roman"/>
                <w:i w:val="0"/>
                <w:iCs w:val="0"/>
                <w:color w:val="auto"/>
                <w:kern w:val="0"/>
                <w:sz w:val="22"/>
                <w:szCs w:val="22"/>
                <w:highlight w:val="none"/>
                <w:u w:val="none"/>
                <w:lang w:val="en-US" w:eastAsia="zh-CN" w:bidi="ar"/>
              </w:rPr>
              <w:t>收费管理</w:t>
            </w: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医疗服务价格按规定公开（参加口腔种植价格专项治理的医疗机构重点公示相关项目价格和调控总价）。</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2"/>
                <w:szCs w:val="22"/>
                <w:highlight w:val="none"/>
                <w:u w:val="none"/>
                <w:lang w:val="en-US" w:eastAsia="zh-CN"/>
              </w:rPr>
            </w:pPr>
            <w:r>
              <w:rPr>
                <w:rFonts w:hint="default" w:ascii="Times New Roman" w:hAnsi="Times New Roman" w:eastAsia="方正仿宋_GBK" w:cs="Times New Roman"/>
                <w:i w:val="0"/>
                <w:iCs w:val="0"/>
                <w:color w:val="auto"/>
                <w:sz w:val="22"/>
                <w:szCs w:val="22"/>
                <w:highlight w:val="none"/>
                <w:u w:val="none"/>
                <w:lang w:val="en-US" w:eastAsia="zh-CN"/>
              </w:rPr>
              <w:t>30</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6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auto"/>
                <w:highlight w:val="none"/>
              </w:rPr>
            </w:pP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按照有关部门有关规定执行药品售价、医疗服务项目和价格。</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sz w:val="22"/>
                <w:szCs w:val="22"/>
                <w:highlight w:val="none"/>
                <w:u w:val="none"/>
                <w:lang w:val="en-US" w:eastAsia="zh-CN"/>
              </w:rPr>
            </w:pPr>
            <w:r>
              <w:rPr>
                <w:rFonts w:hint="default" w:ascii="Times New Roman" w:hAnsi="Times New Roman" w:eastAsia="方正仿宋_GBK" w:cs="Times New Roman"/>
                <w:i w:val="0"/>
                <w:iCs w:val="0"/>
                <w:color w:val="auto"/>
                <w:sz w:val="22"/>
                <w:szCs w:val="22"/>
                <w:highlight w:val="none"/>
                <w:u w:val="none"/>
                <w:lang w:val="en-US" w:eastAsia="zh-CN"/>
              </w:rPr>
              <w:t>10/例</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6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color w:val="auto"/>
                <w:highlight w:val="none"/>
              </w:rPr>
            </w:pP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完整、准确打印收费票据，主动及时为参保人如实提供标准格式的门诊费用清单和财税部门专用票据。</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sz w:val="22"/>
                <w:szCs w:val="22"/>
                <w:highlight w:val="none"/>
                <w:u w:val="none"/>
                <w:lang w:val="en-US" w:eastAsia="zh-CN"/>
              </w:rPr>
              <w:t>10/例</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6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妥善保管参保人就医的财税部门专用票据存根联。</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sz w:val="22"/>
                <w:szCs w:val="22"/>
                <w:highlight w:val="none"/>
                <w:u w:val="none"/>
                <w:lang w:val="en-US" w:eastAsia="zh-CN"/>
              </w:rPr>
              <w:t>20/例</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60" w:type="dxa"/>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p>
        </w:tc>
        <w:tc>
          <w:tcPr>
            <w:tcW w:w="6765" w:type="dxa"/>
            <w:gridSpan w:val="3"/>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收费项目与实际开展情况相符。</w:t>
            </w:r>
          </w:p>
        </w:tc>
        <w:tc>
          <w:tcPr>
            <w:tcW w:w="93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sz w:val="21"/>
                <w:szCs w:val="21"/>
                <w:highlight w:val="none"/>
                <w:u w:val="none"/>
                <w:lang w:val="en-US" w:eastAsia="zh-CN"/>
              </w:rPr>
              <w:t>20/例</w:t>
            </w:r>
          </w:p>
        </w:tc>
        <w:tc>
          <w:tcPr>
            <w:tcW w:w="129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sz w:val="22"/>
                <w:szCs w:val="22"/>
                <w:highlight w:val="none"/>
                <w:u w:val="none"/>
              </w:rPr>
              <w:sym w:font="Wingdings 2" w:char="00A3"/>
            </w:r>
            <w:r>
              <w:rPr>
                <w:rFonts w:hint="default" w:ascii="Times New Roman" w:hAnsi="Times New Roman" w:eastAsia="方正仿宋_GBK" w:cs="Times New Roman"/>
                <w:i w:val="0"/>
                <w:iCs w:val="0"/>
                <w:color w:val="auto"/>
                <w:sz w:val="22"/>
                <w:szCs w:val="22"/>
                <w:highlight w:val="none"/>
                <w:u w:val="none"/>
                <w:lang w:eastAsia="zh-CN"/>
              </w:rPr>
              <w:t>是</w:t>
            </w:r>
            <w:r>
              <w:rPr>
                <w:rFonts w:hint="default" w:ascii="Times New Roman" w:hAnsi="Times New Roman" w:eastAsia="方正仿宋_GBK" w:cs="Times New Roman"/>
                <w:i w:val="0"/>
                <w:iCs w:val="0"/>
                <w:color w:val="auto"/>
                <w:sz w:val="22"/>
                <w:szCs w:val="22"/>
                <w:highlight w:val="none"/>
                <w:u w:val="none"/>
                <w:lang w:val="en-US" w:eastAsia="zh-CN"/>
              </w:rPr>
              <w:t xml:space="preserve"> </w:t>
            </w:r>
            <w:r>
              <w:rPr>
                <w:rFonts w:hint="default" w:ascii="Times New Roman" w:hAnsi="Times New Roman" w:eastAsia="方正仿宋_GBK" w:cs="Times New Roman"/>
                <w:i w:val="0"/>
                <w:iCs w:val="0"/>
                <w:color w:val="auto"/>
                <w:sz w:val="22"/>
                <w:szCs w:val="22"/>
                <w:highlight w:val="none"/>
                <w:u w:val="none"/>
                <w:lang w:val="en-US" w:eastAsia="zh-CN"/>
              </w:rPr>
              <w:sym w:font="Wingdings 2" w:char="00A3"/>
            </w:r>
            <w:r>
              <w:rPr>
                <w:rFonts w:hint="default" w:ascii="Times New Roman" w:hAnsi="Times New Roman" w:eastAsia="方正仿宋_GBK" w:cs="Times New Roman"/>
                <w:i w:val="0"/>
                <w:iCs w:val="0"/>
                <w:color w:val="auto"/>
                <w:sz w:val="22"/>
                <w:szCs w:val="22"/>
                <w:highlight w:val="none"/>
                <w:u w:val="none"/>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12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auto"/>
                <w:sz w:val="22"/>
                <w:szCs w:val="22"/>
                <w:highlight w:val="none"/>
                <w:u w:val="none"/>
              </w:rPr>
            </w:pPr>
            <w:r>
              <w:rPr>
                <w:rFonts w:hint="default" w:ascii="Times New Roman" w:hAnsi="Times New Roman" w:eastAsia="方正黑体_GBK" w:cs="Times New Roman"/>
                <w:i w:val="0"/>
                <w:iCs w:val="0"/>
                <w:color w:val="auto"/>
                <w:kern w:val="0"/>
                <w:sz w:val="22"/>
                <w:szCs w:val="22"/>
                <w:highlight w:val="none"/>
                <w:u w:val="none"/>
                <w:lang w:val="en-US" w:eastAsia="zh-CN" w:bidi="ar"/>
              </w:rPr>
              <w:t>自评报告</w:t>
            </w:r>
          </w:p>
        </w:tc>
        <w:tc>
          <w:tcPr>
            <w:tcW w:w="8985" w:type="dxa"/>
            <w:gridSpan w:val="5"/>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rPr>
        <w:tc>
          <w:tcPr>
            <w:tcW w:w="1260"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黑体_GBK" w:cs="Times New Roman"/>
                <w:i w:val="0"/>
                <w:iCs w:val="0"/>
                <w:color w:val="auto"/>
                <w:sz w:val="22"/>
                <w:szCs w:val="22"/>
                <w:highlight w:val="none"/>
                <w:u w:val="none"/>
              </w:rPr>
            </w:pPr>
            <w:r>
              <w:rPr>
                <w:rFonts w:hint="default" w:ascii="Times New Roman" w:hAnsi="Times New Roman" w:eastAsia="方正黑体_GBK" w:cs="Times New Roman"/>
                <w:i w:val="0"/>
                <w:iCs w:val="0"/>
                <w:color w:val="auto"/>
                <w:kern w:val="0"/>
                <w:sz w:val="22"/>
                <w:szCs w:val="22"/>
                <w:highlight w:val="none"/>
                <w:u w:val="none"/>
                <w:lang w:val="en-US" w:eastAsia="zh-CN" w:bidi="ar"/>
              </w:rPr>
              <w:t>机构确认</w:t>
            </w:r>
          </w:p>
        </w:tc>
        <w:tc>
          <w:tcPr>
            <w:tcW w:w="8985" w:type="dxa"/>
            <w:gridSpan w:val="5"/>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以上自查情况属实：</w:t>
            </w:r>
            <w:r>
              <w:rPr>
                <w:rFonts w:hint="default" w:ascii="Times New Roman" w:hAnsi="Times New Roman" w:eastAsia="Wingdings 2" w:cs="Times New Roman"/>
                <w:i w:val="0"/>
                <w:iCs w:val="0"/>
                <w:color w:val="auto"/>
                <w:kern w:val="0"/>
                <w:sz w:val="22"/>
                <w:szCs w:val="22"/>
                <w:highlight w:val="none"/>
                <w:u w:val="none"/>
                <w:lang w:val="en-US" w:eastAsia="zh-CN" w:bidi="ar"/>
              </w:rPr>
              <w:sym w:font="Wingdings 2" w:char="00A3"/>
            </w:r>
            <w:r>
              <w:rPr>
                <w:rStyle w:val="14"/>
                <w:rFonts w:hint="default" w:ascii="Times New Roman" w:hAnsi="Times New Roman" w:cs="Times New Roman"/>
                <w:color w:val="auto"/>
                <w:highlight w:val="none"/>
                <w:lang w:val="en-US" w:eastAsia="zh-CN" w:bidi="ar"/>
              </w:rPr>
              <w:t xml:space="preserve">是   </w:t>
            </w:r>
            <w:r>
              <w:rPr>
                <w:rStyle w:val="14"/>
                <w:rFonts w:hint="default" w:ascii="Times New Roman" w:hAnsi="Times New Roman" w:eastAsia="Wingdings 2" w:cs="Times New Roman"/>
                <w:i w:val="0"/>
                <w:iCs w:val="0"/>
                <w:color w:val="auto"/>
                <w:kern w:val="0"/>
                <w:sz w:val="22"/>
                <w:szCs w:val="22"/>
                <w:highlight w:val="none"/>
                <w:u w:val="none"/>
                <w:lang w:val="en-US" w:eastAsia="zh-CN" w:bidi="ar"/>
              </w:rPr>
              <w:sym w:font="Wingdings 2" w:char="00A3"/>
            </w:r>
            <w:r>
              <w:rPr>
                <w:rStyle w:val="14"/>
                <w:rFonts w:hint="default" w:ascii="Times New Roman" w:hAnsi="Times New Roman" w:cs="Times New Roman"/>
                <w:color w:val="auto"/>
                <w:highlight w:val="none"/>
                <w:lang w:val="en-US" w:eastAsia="zh-CN" w:bidi="ar"/>
              </w:rPr>
              <w:t>否</w:t>
            </w:r>
            <w:r>
              <w:rPr>
                <w:rStyle w:val="14"/>
                <w:rFonts w:hint="default" w:ascii="Times New Roman" w:hAnsi="Times New Roman" w:cs="Times New Roman"/>
                <w:color w:val="auto"/>
                <w:highlight w:val="none"/>
                <w:lang w:val="en-US" w:eastAsia="zh-CN" w:bidi="ar"/>
              </w:rPr>
              <w:br w:type="textWrapping"/>
            </w:r>
            <w:r>
              <w:rPr>
                <w:rStyle w:val="14"/>
                <w:rFonts w:hint="default" w:ascii="Times New Roman" w:hAnsi="Times New Roman" w:cs="Times New Roman"/>
                <w:color w:val="auto"/>
                <w:highlight w:val="none"/>
                <w:lang w:val="en-US" w:eastAsia="zh-CN" w:bidi="ar"/>
              </w:rPr>
              <w:br w:type="textWrapping"/>
            </w:r>
            <w:r>
              <w:rPr>
                <w:rStyle w:val="14"/>
                <w:rFonts w:hint="default" w:ascii="Times New Roman" w:hAnsi="Times New Roman" w:cs="Times New Roman"/>
                <w:color w:val="auto"/>
                <w:highlight w:val="none"/>
                <w:lang w:val="en-US" w:eastAsia="zh-CN" w:bidi="ar"/>
              </w:rPr>
              <w:t xml:space="preserve">                                                 （盖章）</w:t>
            </w:r>
            <w:r>
              <w:rPr>
                <w:rStyle w:val="14"/>
                <w:rFonts w:hint="default" w:ascii="Times New Roman" w:hAnsi="Times New Roman" w:cs="Times New Roman"/>
                <w:color w:val="auto"/>
                <w:highlight w:val="none"/>
                <w:lang w:val="en-US" w:eastAsia="zh-CN" w:bidi="ar"/>
              </w:rPr>
              <w:br w:type="textWrapping"/>
            </w:r>
            <w:r>
              <w:rPr>
                <w:rStyle w:val="14"/>
                <w:rFonts w:hint="default" w:ascii="Times New Roman" w:hAnsi="Times New Roman" w:cs="Times New Roman"/>
                <w:color w:val="auto"/>
                <w:highlight w:val="none"/>
                <w:lang w:val="en-US" w:eastAsia="zh-CN" w:bidi="ar"/>
              </w:rPr>
              <w:br w:type="textWrapping"/>
            </w:r>
            <w:r>
              <w:rPr>
                <w:rStyle w:val="14"/>
                <w:rFonts w:hint="default" w:ascii="Times New Roman" w:hAnsi="Times New Roman" w:cs="Times New Roman"/>
                <w:color w:val="auto"/>
                <w:highlight w:val="none"/>
                <w:lang w:val="en-US" w:eastAsia="zh-CN" w:bidi="ar"/>
              </w:rPr>
              <w:t>机构负责人签名：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0" w:hRule="atLeast"/>
        </w:trPr>
        <w:tc>
          <w:tcPr>
            <w:tcW w:w="10245"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bCs/>
                <w:i w:val="0"/>
                <w:iCs w:val="0"/>
                <w:color w:val="auto"/>
                <w:kern w:val="0"/>
                <w:sz w:val="22"/>
                <w:szCs w:val="22"/>
                <w:highlight w:val="none"/>
                <w:u w:val="none"/>
                <w:lang w:val="en-US" w:eastAsia="zh-CN" w:bidi="ar"/>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填写说明：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1.如实在以上各项具体内容后的</w:t>
            </w:r>
            <w:r>
              <w:rPr>
                <w:rFonts w:hint="eastAsia" w:ascii="方正仿宋_GBK" w:hAnsi="方正仿宋_GBK" w:eastAsia="方正仿宋_GBK" w:cs="方正仿宋_GBK"/>
                <w:color w:val="auto"/>
                <w:sz w:val="32"/>
                <w:szCs w:val="32"/>
                <w:highlight w:val="none"/>
                <w:lang w:eastAsia="zh-CN"/>
              </w:rPr>
              <w:t>“</w:t>
            </w:r>
            <w:r>
              <w:rPr>
                <w:rFonts w:hint="default" w:ascii="Times New Roman" w:hAnsi="Times New Roman" w:eastAsia="方正仿宋_GBK" w:cs="Times New Roman"/>
                <w:i w:val="0"/>
                <w:iCs w:val="0"/>
                <w:color w:val="auto"/>
                <w:kern w:val="0"/>
                <w:sz w:val="22"/>
                <w:szCs w:val="22"/>
                <w:highlight w:val="none"/>
                <w:u w:val="none"/>
                <w:lang w:val="en-US" w:eastAsia="zh-CN" w:bidi="ar"/>
              </w:rPr>
              <w:sym w:font="Wingdings 2" w:char="00A3"/>
            </w:r>
            <w:r>
              <w:rPr>
                <w:rFonts w:hint="eastAsia" w:ascii="方正仿宋_GBK" w:hAnsi="方正仿宋_GBK" w:eastAsia="方正仿宋_GBK" w:cs="方正仿宋_GBK"/>
                <w:color w:val="auto"/>
                <w:sz w:val="32"/>
                <w:szCs w:val="32"/>
                <w:highlight w:val="none"/>
                <w:lang w:eastAsia="zh-CN"/>
              </w:rPr>
              <w:t>”</w:t>
            </w:r>
            <w:r>
              <w:rPr>
                <w:rFonts w:hint="default" w:ascii="Times New Roman" w:hAnsi="Times New Roman" w:eastAsia="方正仿宋_GBK" w:cs="Times New Roman"/>
                <w:i w:val="0"/>
                <w:iCs w:val="0"/>
                <w:color w:val="auto"/>
                <w:kern w:val="0"/>
                <w:sz w:val="22"/>
                <w:szCs w:val="22"/>
                <w:highlight w:val="none"/>
                <w:u w:val="none"/>
                <w:lang w:val="en-US" w:eastAsia="zh-CN" w:bidi="ar"/>
              </w:rPr>
              <w:t>内打</w:t>
            </w:r>
            <w:r>
              <w:rPr>
                <w:rFonts w:hint="eastAsia" w:ascii="方正仿宋_GBK" w:hAnsi="方正仿宋_GBK" w:eastAsia="方正仿宋_GBK" w:cs="方正仿宋_GBK"/>
                <w:color w:val="auto"/>
                <w:sz w:val="32"/>
                <w:szCs w:val="32"/>
                <w:highlight w:val="none"/>
                <w:lang w:eastAsia="zh-CN"/>
              </w:rPr>
              <w:t>“</w:t>
            </w:r>
            <w:r>
              <w:rPr>
                <w:rFonts w:hint="default" w:ascii="Times New Roman" w:hAnsi="Times New Roman" w:eastAsia="方正仿宋_GBK" w:cs="Times New Roman"/>
                <w:i w:val="0"/>
                <w:iCs w:val="0"/>
                <w:color w:val="auto"/>
                <w:kern w:val="0"/>
                <w:sz w:val="22"/>
                <w:szCs w:val="22"/>
                <w:highlight w:val="none"/>
                <w:u w:val="none"/>
                <w:lang w:val="en-US" w:eastAsia="zh-CN" w:bidi="ar"/>
              </w:rPr>
              <w:t>√</w:t>
            </w:r>
            <w:r>
              <w:rPr>
                <w:rFonts w:hint="eastAsia" w:ascii="方正仿宋_GBK" w:hAnsi="方正仿宋_GBK" w:eastAsia="方正仿宋_GBK" w:cs="方正仿宋_GBK"/>
                <w:color w:val="auto"/>
                <w:sz w:val="32"/>
                <w:szCs w:val="32"/>
                <w:highlight w:val="none"/>
                <w:lang w:eastAsia="zh-CN"/>
              </w:rPr>
              <w:t>”</w:t>
            </w:r>
            <w:r>
              <w:rPr>
                <w:rFonts w:hint="default" w:ascii="Times New Roman" w:hAnsi="Times New Roman" w:eastAsia="方正仿宋_GBK" w:cs="Times New Roman"/>
                <w:i w:val="0"/>
                <w:iCs w:val="0"/>
                <w:color w:val="auto"/>
                <w:kern w:val="0"/>
                <w:sz w:val="22"/>
                <w:szCs w:val="22"/>
                <w:highlight w:val="none"/>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default" w:ascii="Times New Roman" w:hAnsi="Times New Roman" w:eastAsia="方正仿宋_GBK" w:cs="Times New Roman"/>
                <w:i w:val="0"/>
                <w:iCs w:val="0"/>
                <w:color w:val="auto"/>
                <w:kern w:val="0"/>
                <w:sz w:val="22"/>
                <w:szCs w:val="22"/>
                <w:highlight w:val="none"/>
                <w:u w:val="none"/>
                <w:lang w:val="en-US" w:eastAsia="zh-CN" w:bidi="ar"/>
              </w:rPr>
              <w:t>2.请勿缺项，如根据本院情况无法填写，请在</w:t>
            </w:r>
            <w:r>
              <w:rPr>
                <w:rFonts w:hint="eastAsia" w:ascii="方正仿宋_GBK" w:hAnsi="方正仿宋_GBK" w:eastAsia="方正仿宋_GBK" w:cs="方正仿宋_GBK"/>
                <w:color w:val="auto"/>
                <w:sz w:val="32"/>
                <w:szCs w:val="32"/>
                <w:highlight w:val="none"/>
                <w:lang w:eastAsia="zh-CN"/>
              </w:rPr>
              <w:t>“</w:t>
            </w:r>
            <w:r>
              <w:rPr>
                <w:rFonts w:hint="default" w:ascii="Times New Roman" w:hAnsi="Times New Roman" w:eastAsia="方正仿宋_GBK" w:cs="Times New Roman"/>
                <w:i w:val="0"/>
                <w:iCs w:val="0"/>
                <w:color w:val="auto"/>
                <w:kern w:val="0"/>
                <w:sz w:val="22"/>
                <w:szCs w:val="22"/>
                <w:highlight w:val="none"/>
                <w:u w:val="none"/>
                <w:lang w:val="en-US" w:eastAsia="zh-CN" w:bidi="ar"/>
              </w:rPr>
              <w:t>自评报告</w:t>
            </w:r>
            <w:r>
              <w:rPr>
                <w:rFonts w:hint="eastAsia" w:ascii="方正仿宋_GBK" w:hAnsi="方正仿宋_GBK" w:eastAsia="方正仿宋_GBK" w:cs="方正仿宋_GBK"/>
                <w:color w:val="auto"/>
                <w:sz w:val="32"/>
                <w:szCs w:val="32"/>
                <w:highlight w:val="none"/>
                <w:lang w:eastAsia="zh-CN"/>
              </w:rPr>
              <w:t>”</w:t>
            </w:r>
            <w:r>
              <w:rPr>
                <w:rFonts w:hint="default" w:ascii="Times New Roman" w:hAnsi="Times New Roman" w:eastAsia="方正仿宋_GBK" w:cs="Times New Roman"/>
                <w:i w:val="0"/>
                <w:iCs w:val="0"/>
                <w:color w:val="auto"/>
                <w:kern w:val="0"/>
                <w:sz w:val="22"/>
                <w:szCs w:val="22"/>
                <w:highlight w:val="none"/>
                <w:u w:val="none"/>
                <w:lang w:val="en-US" w:eastAsia="zh-CN" w:bidi="ar"/>
              </w:rPr>
              <w:t>一栏补充说明；自查存在问题的须立即做好整改，并在</w:t>
            </w:r>
            <w:r>
              <w:rPr>
                <w:rFonts w:hint="eastAsia" w:ascii="方正仿宋_GBK" w:hAnsi="方正仿宋_GBK" w:eastAsia="方正仿宋_GBK" w:cs="方正仿宋_GBK"/>
                <w:color w:val="auto"/>
                <w:sz w:val="32"/>
                <w:szCs w:val="32"/>
                <w:highlight w:val="none"/>
                <w:lang w:eastAsia="zh-CN"/>
              </w:rPr>
              <w:t>“</w:t>
            </w:r>
            <w:r>
              <w:rPr>
                <w:rFonts w:hint="default" w:ascii="Times New Roman" w:hAnsi="Times New Roman" w:eastAsia="方正仿宋_GBK" w:cs="Times New Roman"/>
                <w:i w:val="0"/>
                <w:iCs w:val="0"/>
                <w:color w:val="auto"/>
                <w:kern w:val="0"/>
                <w:sz w:val="22"/>
                <w:szCs w:val="22"/>
                <w:highlight w:val="none"/>
                <w:u w:val="none"/>
                <w:lang w:val="en-US" w:eastAsia="zh-CN" w:bidi="ar"/>
              </w:rPr>
              <w:t>自评报告</w:t>
            </w:r>
            <w:r>
              <w:rPr>
                <w:rFonts w:hint="eastAsia" w:ascii="方正仿宋_GBK" w:hAnsi="方正仿宋_GBK" w:eastAsia="方正仿宋_GBK" w:cs="方正仿宋_GBK"/>
                <w:color w:val="auto"/>
                <w:sz w:val="32"/>
                <w:szCs w:val="32"/>
                <w:highlight w:val="none"/>
                <w:lang w:eastAsia="zh-CN"/>
              </w:rPr>
              <w:t>”</w:t>
            </w:r>
            <w:r>
              <w:rPr>
                <w:rFonts w:hint="default" w:ascii="Times New Roman" w:hAnsi="Times New Roman" w:eastAsia="方正仿宋_GBK" w:cs="Times New Roman"/>
                <w:i w:val="0"/>
                <w:iCs w:val="0"/>
                <w:color w:val="auto"/>
                <w:kern w:val="0"/>
                <w:sz w:val="22"/>
                <w:szCs w:val="22"/>
                <w:highlight w:val="none"/>
                <w:u w:val="none"/>
                <w:lang w:val="en-US" w:eastAsia="zh-CN" w:bidi="ar"/>
              </w:rPr>
              <w:t>一栏说明整改情况。</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3.请于2023年11月30日前将自评表送至所属管理区的医保分中心，逾期视为未不配合考核工作，年度考核系数按全市最低值计算。自评与实际情况不符的，纳入本次年度考核扣分。</w:t>
            </w:r>
          </w:p>
        </w:tc>
      </w:tr>
      <mc:AlternateContent>
        <mc:Choice Requires="wpsCustomData">
          <wpsCustomData:docfieldEnd id="0"/>
        </mc:Choice>
      </mc:AlternateContent>
    </w:tbl>
    <w:p>
      <w:pPr>
        <w:ind w:right="277" w:rightChars="138"/>
        <w:jc w:val="left"/>
        <w:rPr>
          <w:rFonts w:hint="eastAsia" w:ascii="Times New Roman" w:hAnsi="Times New Roman" w:eastAsia="方正仿宋_GBK" w:cs="Times New Roman"/>
          <w:sz w:val="32"/>
          <w:szCs w:val="32"/>
          <w:lang w:eastAsia="zh-CN"/>
        </w:rPr>
      </w:pPr>
      <w:bookmarkStart w:id="0" w:name="_GoBack"/>
      <w:bookmarkEnd w:id="0"/>
    </w:p>
    <w:sectPr>
      <w:headerReference r:id="rId3" w:type="default"/>
      <w:footerReference r:id="rId5" w:type="default"/>
      <w:headerReference r:id="rId4" w:type="even"/>
      <w:footerReference r:id="rId6" w:type="even"/>
      <w:pgSz w:w="11906" w:h="16838"/>
      <w:pgMar w:top="2098" w:right="1474" w:bottom="1984" w:left="1588" w:header="851" w:footer="1417"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92" w:rightChars="139"/>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01" w:leftChars="191"/>
      <w:rPr>
        <w:rFonts w:ascii="宋体" w:hAnsi="宋体"/>
      </w:rPr>
    </w:pPr>
    <w:r>
      <w:rPr>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1"/>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Mzc4M2YxNjU5YWIwZDZjOGJmZjgxOTJhNjlmZmMifQ=="/>
  </w:docVars>
  <w:rsids>
    <w:rsidRoot w:val="FC76582E"/>
    <w:rsid w:val="00055B3A"/>
    <w:rsid w:val="00070002"/>
    <w:rsid w:val="00095F89"/>
    <w:rsid w:val="000C7388"/>
    <w:rsid w:val="001025EE"/>
    <w:rsid w:val="0020390D"/>
    <w:rsid w:val="00240406"/>
    <w:rsid w:val="002557DF"/>
    <w:rsid w:val="00285222"/>
    <w:rsid w:val="002F5CB6"/>
    <w:rsid w:val="00314A43"/>
    <w:rsid w:val="00345B00"/>
    <w:rsid w:val="003C6FFF"/>
    <w:rsid w:val="00416DF2"/>
    <w:rsid w:val="004E5163"/>
    <w:rsid w:val="004F1ADE"/>
    <w:rsid w:val="00530F67"/>
    <w:rsid w:val="00593961"/>
    <w:rsid w:val="005C322D"/>
    <w:rsid w:val="005F62B6"/>
    <w:rsid w:val="00647CE5"/>
    <w:rsid w:val="00657391"/>
    <w:rsid w:val="00705189"/>
    <w:rsid w:val="00723706"/>
    <w:rsid w:val="0074405A"/>
    <w:rsid w:val="007602E0"/>
    <w:rsid w:val="007A51C4"/>
    <w:rsid w:val="007F58C4"/>
    <w:rsid w:val="008570C8"/>
    <w:rsid w:val="00862528"/>
    <w:rsid w:val="008645F9"/>
    <w:rsid w:val="00925061"/>
    <w:rsid w:val="0095449A"/>
    <w:rsid w:val="0098615B"/>
    <w:rsid w:val="009A0883"/>
    <w:rsid w:val="00A00000"/>
    <w:rsid w:val="00A343CE"/>
    <w:rsid w:val="00A6191D"/>
    <w:rsid w:val="00AE0F3E"/>
    <w:rsid w:val="00AE157E"/>
    <w:rsid w:val="00B03550"/>
    <w:rsid w:val="00B066B7"/>
    <w:rsid w:val="00B81653"/>
    <w:rsid w:val="00C10E39"/>
    <w:rsid w:val="00C24818"/>
    <w:rsid w:val="00C46545"/>
    <w:rsid w:val="00C86641"/>
    <w:rsid w:val="00CD162B"/>
    <w:rsid w:val="00CD1D6C"/>
    <w:rsid w:val="00CE4DA3"/>
    <w:rsid w:val="00D13B94"/>
    <w:rsid w:val="00D21809"/>
    <w:rsid w:val="00D21AAD"/>
    <w:rsid w:val="00D427FF"/>
    <w:rsid w:val="00D663B7"/>
    <w:rsid w:val="00D7674E"/>
    <w:rsid w:val="00DD03A0"/>
    <w:rsid w:val="00DF6E60"/>
    <w:rsid w:val="00E63524"/>
    <w:rsid w:val="00E768BF"/>
    <w:rsid w:val="00FE343B"/>
    <w:rsid w:val="034F682E"/>
    <w:rsid w:val="06DF661B"/>
    <w:rsid w:val="06EF2907"/>
    <w:rsid w:val="06FF9DFB"/>
    <w:rsid w:val="089C3E84"/>
    <w:rsid w:val="09101879"/>
    <w:rsid w:val="0DC9777B"/>
    <w:rsid w:val="0F962160"/>
    <w:rsid w:val="0FD86F8F"/>
    <w:rsid w:val="111524F5"/>
    <w:rsid w:val="12802E88"/>
    <w:rsid w:val="12AD4582"/>
    <w:rsid w:val="15D54884"/>
    <w:rsid w:val="17466F7C"/>
    <w:rsid w:val="17A503D7"/>
    <w:rsid w:val="194C2CEB"/>
    <w:rsid w:val="19A66B06"/>
    <w:rsid w:val="1B414B6C"/>
    <w:rsid w:val="1C61429E"/>
    <w:rsid w:val="22F5C184"/>
    <w:rsid w:val="261A0BB1"/>
    <w:rsid w:val="26C92E7D"/>
    <w:rsid w:val="27572004"/>
    <w:rsid w:val="27B34EFE"/>
    <w:rsid w:val="28311117"/>
    <w:rsid w:val="2A142034"/>
    <w:rsid w:val="2ECF73B9"/>
    <w:rsid w:val="2ED324B8"/>
    <w:rsid w:val="2FFB5508"/>
    <w:rsid w:val="30E83936"/>
    <w:rsid w:val="34BC602D"/>
    <w:rsid w:val="350C6B11"/>
    <w:rsid w:val="37C44C68"/>
    <w:rsid w:val="37C911D3"/>
    <w:rsid w:val="37DC622A"/>
    <w:rsid w:val="388A690E"/>
    <w:rsid w:val="3AC31BB0"/>
    <w:rsid w:val="3C5E441C"/>
    <w:rsid w:val="3E2B1FEB"/>
    <w:rsid w:val="3F1125E5"/>
    <w:rsid w:val="3F6F022F"/>
    <w:rsid w:val="3FEE6163"/>
    <w:rsid w:val="40676225"/>
    <w:rsid w:val="4B605D8C"/>
    <w:rsid w:val="4B661184"/>
    <w:rsid w:val="4BF15866"/>
    <w:rsid w:val="4F7773D4"/>
    <w:rsid w:val="4FBF1F5C"/>
    <w:rsid w:val="4FBF3127"/>
    <w:rsid w:val="502E554F"/>
    <w:rsid w:val="50543F0B"/>
    <w:rsid w:val="58E44452"/>
    <w:rsid w:val="5907521B"/>
    <w:rsid w:val="5B2079E6"/>
    <w:rsid w:val="5C896682"/>
    <w:rsid w:val="5D163EF1"/>
    <w:rsid w:val="5EB940A8"/>
    <w:rsid w:val="5FBC2FD8"/>
    <w:rsid w:val="5FFC2D46"/>
    <w:rsid w:val="602C70DB"/>
    <w:rsid w:val="607E5BEE"/>
    <w:rsid w:val="610C6434"/>
    <w:rsid w:val="62350642"/>
    <w:rsid w:val="625E0503"/>
    <w:rsid w:val="62C67235"/>
    <w:rsid w:val="63FEA8DE"/>
    <w:rsid w:val="684302C3"/>
    <w:rsid w:val="6A530919"/>
    <w:rsid w:val="6C3E612B"/>
    <w:rsid w:val="6F37B96B"/>
    <w:rsid w:val="6F855BD4"/>
    <w:rsid w:val="6F9F52A1"/>
    <w:rsid w:val="6FFE5168"/>
    <w:rsid w:val="6FFF3FBB"/>
    <w:rsid w:val="71830F1B"/>
    <w:rsid w:val="73275A2C"/>
    <w:rsid w:val="73B560E0"/>
    <w:rsid w:val="73EF10E2"/>
    <w:rsid w:val="74D47615"/>
    <w:rsid w:val="756F5065"/>
    <w:rsid w:val="75BB4E5F"/>
    <w:rsid w:val="75BB5FC6"/>
    <w:rsid w:val="760060A7"/>
    <w:rsid w:val="79E71462"/>
    <w:rsid w:val="7B3F3CCF"/>
    <w:rsid w:val="7B865683"/>
    <w:rsid w:val="7BB80C84"/>
    <w:rsid w:val="7C8606CC"/>
    <w:rsid w:val="7FCA50C4"/>
    <w:rsid w:val="7FDDC134"/>
    <w:rsid w:val="7FF67F0E"/>
    <w:rsid w:val="9EEF9903"/>
    <w:rsid w:val="B77FB95E"/>
    <w:rsid w:val="BAFA455F"/>
    <w:rsid w:val="BBEF7B1A"/>
    <w:rsid w:val="BE7DF428"/>
    <w:rsid w:val="BFDF29D3"/>
    <w:rsid w:val="C7FE4C4F"/>
    <w:rsid w:val="DED50845"/>
    <w:rsid w:val="DEEE5A54"/>
    <w:rsid w:val="E75F34D7"/>
    <w:rsid w:val="E9BB4649"/>
    <w:rsid w:val="EBEFFF8C"/>
    <w:rsid w:val="F5ABE9F5"/>
    <w:rsid w:val="FBFEC0CC"/>
    <w:rsid w:val="FC76582E"/>
    <w:rsid w:val="FEDF85F3"/>
    <w:rsid w:val="FFFEBB49"/>
    <w:rsid w:val="FFFF57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TML Typewriter"/>
    <w:basedOn w:val="5"/>
    <w:qFormat/>
    <w:uiPriority w:val="0"/>
    <w:rPr>
      <w:rFonts w:ascii="Times New Roman" w:hAnsi="Times New Roman"/>
      <w:sz w:val="20"/>
    </w:rPr>
  </w:style>
  <w:style w:type="character" w:styleId="8">
    <w:name w:val="HTML Code"/>
    <w:basedOn w:val="5"/>
    <w:qFormat/>
    <w:uiPriority w:val="0"/>
    <w:rPr>
      <w:rFonts w:ascii="Times New Roman" w:hAnsi="Times New Roman"/>
      <w:sz w:val="20"/>
    </w:rPr>
  </w:style>
  <w:style w:type="character" w:styleId="9">
    <w:name w:val="HTML Keyboard"/>
    <w:basedOn w:val="5"/>
    <w:qFormat/>
    <w:uiPriority w:val="0"/>
    <w:rPr>
      <w:rFonts w:ascii="Times New Roman" w:hAnsi="Times New Roman"/>
      <w:sz w:val="20"/>
    </w:rPr>
  </w:style>
  <w:style w:type="character" w:styleId="10">
    <w:name w:val="HTML Sample"/>
    <w:basedOn w:val="5"/>
    <w:qFormat/>
    <w:uiPriority w:val="0"/>
    <w:rPr>
      <w:rFonts w:ascii="Times New Roman" w:hAnsi="Times New Roman"/>
    </w:rPr>
  </w:style>
  <w:style w:type="paragraph" w:customStyle="1" w:styleId="11">
    <w:name w:val="Char"/>
    <w:basedOn w:val="1"/>
    <w:qFormat/>
    <w:uiPriority w:val="0"/>
    <w:pPr>
      <w:spacing w:beforeLines="20"/>
      <w:ind w:firstLine="641" w:firstLineChars="200"/>
      <w:jc w:val="left"/>
    </w:pPr>
    <w:rPr>
      <w:rFonts w:ascii="Times New Roman" w:hAnsi="Times New Roman" w:eastAsia="方正仿宋_GBK"/>
      <w:sz w:val="32"/>
      <w:szCs w:val="32"/>
    </w:rPr>
  </w:style>
  <w:style w:type="character" w:customStyle="1" w:styleId="12">
    <w:name w:val="font01"/>
    <w:basedOn w:val="5"/>
    <w:qFormat/>
    <w:uiPriority w:val="0"/>
    <w:rPr>
      <w:rFonts w:hint="eastAsia" w:ascii="宋体" w:hAnsi="宋体" w:eastAsia="宋体" w:cs="宋体"/>
      <w:color w:val="000000"/>
      <w:sz w:val="22"/>
      <w:szCs w:val="22"/>
      <w:u w:val="none"/>
    </w:rPr>
  </w:style>
  <w:style w:type="character" w:customStyle="1" w:styleId="13">
    <w:name w:val="font101"/>
    <w:basedOn w:val="5"/>
    <w:qFormat/>
    <w:uiPriority w:val="0"/>
    <w:rPr>
      <w:rFonts w:hint="eastAsia" w:ascii="方正黑体_GBK" w:hAnsi="方正黑体_GBK" w:eastAsia="方正黑体_GBK" w:cs="方正黑体_GBK"/>
      <w:color w:val="000000"/>
      <w:sz w:val="22"/>
      <w:szCs w:val="22"/>
      <w:u w:val="none"/>
    </w:rPr>
  </w:style>
  <w:style w:type="character" w:customStyle="1" w:styleId="14">
    <w:name w:val="font51"/>
    <w:basedOn w:val="5"/>
    <w:qFormat/>
    <w:uiPriority w:val="0"/>
    <w:rPr>
      <w:rFonts w:hint="eastAsia" w:ascii="方正仿宋_GBK" w:hAnsi="方正仿宋_GBK" w:eastAsia="方正仿宋_GBK" w:cs="方正仿宋_GBK"/>
      <w:color w:val="000000"/>
      <w:sz w:val="22"/>
      <w:szCs w:val="22"/>
      <w:u w:val="none"/>
    </w:rPr>
  </w:style>
  <w:style w:type="character" w:customStyle="1" w:styleId="15">
    <w:name w:val="font31"/>
    <w:basedOn w:val="5"/>
    <w:qFormat/>
    <w:uiPriority w:val="0"/>
    <w:rPr>
      <w:rFonts w:hint="default" w:ascii="Times New Roman" w:hAnsi="Times New Roman" w:eastAsia="宋体" w:cs="Times New Roman"/>
      <w:color w:val="000000"/>
      <w:sz w:val="22"/>
      <w:szCs w:val="22"/>
      <w:u w:val="none"/>
    </w:rPr>
  </w:style>
  <w:style w:type="character" w:customStyle="1" w:styleId="16">
    <w:name w:val="font11"/>
    <w:basedOn w:val="5"/>
    <w:qFormat/>
    <w:uiPriority w:val="0"/>
    <w:rPr>
      <w:rFonts w:hint="eastAsia" w:ascii="方正黑体_GBK" w:hAnsi="方正黑体_GBK" w:eastAsia="方正黑体_GBK" w:cs="方正黑体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公文模版2023.wpt</Template>
  <Pages>10</Pages>
  <Words>964</Words>
  <Characters>1097</Characters>
  <Lines>6</Lines>
  <Paragraphs>1</Paragraphs>
  <TotalTime>7</TotalTime>
  <ScaleCrop>false</ScaleCrop>
  <LinksUpToDate>false</LinksUpToDate>
  <CharactersWithSpaces>1467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2023-06-10T09:18:00Z</dcterms:created>
  <dc:creator>沈翠兰</dc:creator>
  <cp:lastModifiedBy>wilkins</cp:lastModifiedBy>
  <dcterms:modified xsi:type="dcterms:W3CDTF">2023-10-12T10:36:25Z</dcterms:modified>
  <dc:title>穗医管函〔2013〕号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D47F8431BE7DAF6F1DAA246598D85D64</vt:lpwstr>
  </property>
</Properties>
</file>