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2" w:rsidRDefault="00703C92" w:rsidP="00703C92">
      <w:pPr>
        <w:pStyle w:val="a4"/>
        <w:adjustRightInd w:val="0"/>
        <w:snapToGrid w:val="0"/>
        <w:spacing w:line="640" w:lineRule="exact"/>
        <w:rPr>
          <w:rFonts w:hint="eastAsia"/>
        </w:rPr>
      </w:pPr>
      <w:r>
        <w:t>四川省实施基本医疗保险省级统筹</w:t>
      </w:r>
    </w:p>
    <w:p w:rsidR="00703C92" w:rsidRDefault="00703C92" w:rsidP="00703C92">
      <w:pPr>
        <w:pStyle w:val="a4"/>
        <w:adjustRightInd w:val="0"/>
        <w:snapToGrid w:val="0"/>
        <w:spacing w:line="640" w:lineRule="exact"/>
      </w:pPr>
      <w:r>
        <w:t>指导意见</w:t>
      </w:r>
    </w:p>
    <w:p w:rsidR="00703C92" w:rsidRDefault="00703C92" w:rsidP="00703C92">
      <w:pPr>
        <w:pStyle w:val="a4"/>
        <w:adjustRightInd w:val="0"/>
        <w:snapToGrid w:val="0"/>
        <w:spacing w:line="640" w:lineRule="exact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（征求意见稿）</w:t>
      </w:r>
    </w:p>
    <w:p w:rsidR="00703C92" w:rsidRDefault="00703C92" w:rsidP="00703C92">
      <w:pPr>
        <w:shd w:val="clear" w:color="auto" w:fill="FFFFFF"/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snapToGrid w:val="0"/>
          <w:color w:val="000000"/>
          <w:kern w:val="21"/>
          <w:szCs w:val="32"/>
        </w:rPr>
        <w:t>为加快推动我省基本医疗</w:t>
      </w:r>
      <w:r>
        <w:rPr>
          <w:snapToGrid w:val="0"/>
          <w:color w:val="000000"/>
          <w:kern w:val="21"/>
          <w:szCs w:val="32"/>
          <w:lang/>
        </w:rPr>
        <w:t>保</w:t>
      </w:r>
      <w:r>
        <w:rPr>
          <w:snapToGrid w:val="0"/>
          <w:color w:val="000000"/>
          <w:kern w:val="21"/>
          <w:szCs w:val="32"/>
        </w:rPr>
        <w:t>险省级统筹，根据《中共中央、国务院关于深化医疗保障制度改革的意见》《国务院办公厅关于印发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“</w:t>
      </w:r>
      <w:r>
        <w:rPr>
          <w:snapToGrid w:val="0"/>
          <w:color w:val="000000"/>
          <w:kern w:val="21"/>
          <w:szCs w:val="32"/>
        </w:rPr>
        <w:t>十四五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”</w:t>
      </w:r>
      <w:r>
        <w:rPr>
          <w:snapToGrid w:val="0"/>
          <w:color w:val="000000"/>
          <w:kern w:val="21"/>
          <w:szCs w:val="32"/>
        </w:rPr>
        <w:t>全民医疗保障规划的通知》要求，结合我省实际，提出如下指导意见。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黑体"/>
          <w:snapToGrid w:val="0"/>
          <w:color w:val="000000"/>
          <w:kern w:val="21"/>
          <w:szCs w:val="32"/>
        </w:rPr>
      </w:pPr>
      <w:r>
        <w:rPr>
          <w:rFonts w:eastAsia="黑体"/>
          <w:snapToGrid w:val="0"/>
          <w:color w:val="000000"/>
          <w:kern w:val="21"/>
          <w:szCs w:val="32"/>
        </w:rPr>
        <w:t>一、总体要求</w:t>
      </w:r>
    </w:p>
    <w:p w:rsidR="00703C92" w:rsidRDefault="00703C92" w:rsidP="00703C92">
      <w:pPr>
        <w:numPr>
          <w:ilvl w:val="255"/>
          <w:numId w:val="0"/>
        </w:num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（一）指导思想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snapToGrid w:val="0"/>
          <w:color w:val="000000"/>
          <w:kern w:val="21"/>
          <w:szCs w:val="32"/>
        </w:rPr>
        <w:t>坚持以习近平新时代中国特色社会主义思想为指导，全面贯彻落实党的二十大和省委十二届二次、三次全会精神，坚持以人民为中心的发展思想，以解决医疗保障发展不平衡不充分的问题为导向，统一制度、完善政策、健全机制、规范服务为抓手，着力解决地区间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保基金结构性矛盾，有效防范基金运行风险，增强医疗保障制度公平性、均衡性和可及性，不断提升人民群众获得感、幸福感、安全感。</w:t>
      </w:r>
    </w:p>
    <w:p w:rsidR="00703C92" w:rsidRDefault="00703C92" w:rsidP="00703C92">
      <w:pPr>
        <w:numPr>
          <w:ilvl w:val="255"/>
          <w:numId w:val="0"/>
        </w:num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（二）基本原则</w:t>
      </w:r>
    </w:p>
    <w:p w:rsidR="00703C92" w:rsidRDefault="00703C92" w:rsidP="00703C92">
      <w:pPr>
        <w:pStyle w:val="a3"/>
        <w:widowControl w:val="0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统一政策，促进公平。严格落实医疗保障待遇清单制度，规范统一全省基本医疗保险（以下简称基本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保）各项政策，</w:t>
      </w:r>
      <w:r>
        <w:rPr>
          <w:rFonts w:ascii="Times New Roman" w:eastAsia="仿宋_GB2312" w:hAnsi="Times New Roman" w:cs="Times New Roman"/>
          <w:kern w:val="2"/>
          <w:sz w:val="32"/>
          <w:szCs w:val="32"/>
          <w:lang/>
        </w:rPr>
        <w:t>建立</w:t>
      </w:r>
      <w:proofErr w:type="gramStart"/>
      <w:r>
        <w:rPr>
          <w:rFonts w:ascii="Times New Roman" w:eastAsia="仿宋_GB2312" w:hAnsi="Times New Roman" w:cs="Times New Roman"/>
          <w:kern w:val="2"/>
          <w:sz w:val="32"/>
          <w:szCs w:val="32"/>
          <w:lang/>
        </w:rPr>
        <w:t>医</w:t>
      </w:r>
      <w:proofErr w:type="gramEnd"/>
      <w:r>
        <w:rPr>
          <w:rFonts w:ascii="Times New Roman" w:eastAsia="仿宋_GB2312" w:hAnsi="Times New Roman" w:cs="Times New Roman"/>
          <w:kern w:val="2"/>
          <w:sz w:val="32"/>
          <w:szCs w:val="32"/>
          <w:lang/>
        </w:rPr>
        <w:t>保待遇动态调整机制，缩小区域间差距，促进社会发展成果共享，增强社会公平。</w:t>
      </w:r>
    </w:p>
    <w:p w:rsidR="00703C92" w:rsidRDefault="00703C92" w:rsidP="00703C92">
      <w:pPr>
        <w:pStyle w:val="a3"/>
        <w:widowControl w:val="0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调剂平衡，合理分担。建立基本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保基金统筹调剂制度，发挥</w:t>
      </w:r>
      <w:r>
        <w:rPr>
          <w:rFonts w:ascii="仿宋_GB2312" w:eastAsia="仿宋_GB2312" w:hAnsi="仿宋_GB2312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大数法则</w:t>
      </w:r>
      <w:r>
        <w:rPr>
          <w:rFonts w:ascii="仿宋_GB2312" w:eastAsia="仿宋_GB2312" w:hAnsi="仿宋_GB2312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效应，均衡各地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保基金支撑能力，</w:t>
      </w:r>
      <w:r>
        <w:rPr>
          <w:rFonts w:ascii="Times New Roman" w:eastAsia="仿宋_GB2312" w:hAnsi="Times New Roman" w:cs="Times New Roman"/>
          <w:snapToGrid w:val="0"/>
          <w:kern w:val="21"/>
          <w:sz w:val="32"/>
          <w:szCs w:val="32"/>
        </w:rPr>
        <w:t>建立事权与支出责任相适应的分担机制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03C92" w:rsidRDefault="00703C92" w:rsidP="00703C92">
      <w:pPr>
        <w:pStyle w:val="a3"/>
        <w:widowControl w:val="0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>
        <w:rPr>
          <w:rFonts w:ascii="仿宋_GB2312" w:eastAsia="仿宋_GB2312" w:hAnsi="仿宋_GB2312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分级管理，防范风险。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强化地方各级政府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保管理的主体责任</w:t>
      </w:r>
      <w:r>
        <w:rPr>
          <w:rFonts w:ascii="Times New Roman" w:eastAsia="仿宋_GB2312" w:hAnsi="Times New Roman" w:cs="Times New Roman"/>
          <w:sz w:val="32"/>
          <w:szCs w:val="32"/>
        </w:rPr>
        <w:t>，明确工作目标，严格基金监管，防范基金运行风险向省级集中。</w:t>
      </w:r>
    </w:p>
    <w:p w:rsidR="00703C92" w:rsidRDefault="00703C92" w:rsidP="00703C92">
      <w:pPr>
        <w:pStyle w:val="a3"/>
        <w:widowControl w:val="0"/>
        <w:adjustRightInd w:val="0"/>
        <w:snapToGrid w:val="0"/>
        <w:spacing w:before="0" w:beforeAutospacing="0" w:after="0" w:afterAutospacing="0" w:line="530" w:lineRule="exact"/>
        <w:ind w:firstLineChars="200" w:firstLine="640"/>
        <w:jc w:val="both"/>
        <w:rPr>
          <w:rFonts w:ascii="Times New Roman" w:eastAsia="仿宋_GB2312" w:hAnsi="Times New Roman" w:cs="Times New Roman"/>
          <w:snapToGrid w:val="0"/>
          <w:kern w:val="2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_GB2312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稳妥推进，平稳实施。</w:t>
      </w:r>
      <w:r>
        <w:rPr>
          <w:rFonts w:ascii="Times New Roman" w:eastAsia="仿宋_GB2312" w:hAnsi="Times New Roman" w:cs="Times New Roman"/>
          <w:snapToGrid w:val="0"/>
          <w:kern w:val="21"/>
          <w:sz w:val="32"/>
          <w:szCs w:val="32"/>
        </w:rPr>
        <w:t>根据经济高质量发展和</w:t>
      </w:r>
      <w:proofErr w:type="gramStart"/>
      <w:r>
        <w:rPr>
          <w:rFonts w:ascii="Times New Roman" w:eastAsia="仿宋_GB2312" w:hAnsi="Times New Roman" w:cs="Times New Roman"/>
          <w:snapToGrid w:val="0"/>
          <w:kern w:val="21"/>
          <w:sz w:val="32"/>
          <w:szCs w:val="32"/>
        </w:rPr>
        <w:t>医保</w:t>
      </w:r>
      <w:proofErr w:type="gramEnd"/>
      <w:r>
        <w:rPr>
          <w:rFonts w:ascii="Times New Roman" w:eastAsia="仿宋_GB2312" w:hAnsi="Times New Roman" w:cs="Times New Roman"/>
          <w:snapToGrid w:val="0"/>
          <w:kern w:val="21"/>
          <w:sz w:val="32"/>
          <w:szCs w:val="32"/>
        </w:rPr>
        <w:t>制度可持续的内在要求，平稳有序推进改革进程，确保</w:t>
      </w:r>
      <w:proofErr w:type="gramStart"/>
      <w:r>
        <w:rPr>
          <w:rFonts w:ascii="Times New Roman" w:eastAsia="仿宋_GB2312" w:hAnsi="Times New Roman" w:cs="Times New Roman"/>
          <w:snapToGrid w:val="0"/>
          <w:kern w:val="21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cs="Times New Roman"/>
          <w:snapToGrid w:val="0"/>
          <w:kern w:val="21"/>
          <w:sz w:val="32"/>
          <w:szCs w:val="32"/>
        </w:rPr>
        <w:t>保基金在中长期保持稳健、可持续运行。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黑体"/>
          <w:snapToGrid w:val="0"/>
          <w:color w:val="000000"/>
          <w:kern w:val="21"/>
          <w:szCs w:val="32"/>
        </w:rPr>
      </w:pPr>
      <w:r>
        <w:rPr>
          <w:rFonts w:eastAsia="黑体"/>
          <w:snapToGrid w:val="0"/>
          <w:color w:val="000000"/>
          <w:kern w:val="21"/>
          <w:szCs w:val="32"/>
        </w:rPr>
        <w:t>二、主要任务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（一）加强基金预算管理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snapToGrid w:val="0"/>
          <w:color w:val="000000"/>
          <w:kern w:val="21"/>
          <w:szCs w:val="32"/>
        </w:rPr>
        <w:t>2024</w:t>
      </w:r>
      <w:r>
        <w:rPr>
          <w:snapToGrid w:val="0"/>
          <w:color w:val="000000"/>
          <w:kern w:val="21"/>
          <w:szCs w:val="32"/>
        </w:rPr>
        <w:t>年起建立全省统一的基本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保基金预算管理制度，执行统一的预算管理办法。基金预算编制坚持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“</w:t>
      </w:r>
      <w:r>
        <w:rPr>
          <w:snapToGrid w:val="0"/>
          <w:color w:val="000000"/>
          <w:kern w:val="21"/>
          <w:szCs w:val="32"/>
        </w:rPr>
        <w:t>收支平衡，略有结余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”</w:t>
      </w:r>
      <w:r>
        <w:rPr>
          <w:snapToGrid w:val="0"/>
          <w:color w:val="000000"/>
          <w:kern w:val="21"/>
          <w:szCs w:val="32"/>
        </w:rPr>
        <w:t>的原则，省级统一组织编制全省基金预算草案，按法定程序报批后组织执行。预算编制要与国民经济和社会发展规划相适应，综合考虑影响基本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基金收支的各种因素，严格规范收支内容、标准和范围，全面、准确、真实、完整地反映基金收入、支出和结余情况。进一步强化基金预算的严肃性和约束力，不得随意调整收支预算，确保基金应收尽收，杜绝违规支出。各地因违规支出基金造成的基金损失，由当地政府弥补。全面实施基金预算绩效管理，强化基金预算绩效评价结果应用，提高基金使用效益。基金预算管理办法由省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保局会同财政厅、省税务局另行制定。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（二）建立基金调剂制度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color w:val="000000"/>
          <w:szCs w:val="32"/>
        </w:rPr>
        <w:t>2024</w:t>
      </w:r>
      <w:r>
        <w:rPr>
          <w:color w:val="000000"/>
          <w:szCs w:val="32"/>
        </w:rPr>
        <w:t>年起建立省级统筹调剂制度。设立省级统筹调剂基金（以下简称省级调剂金），每年按一定比例从各地基金收入中筹集，用于调剂各地基金余缺，确保基本</w:t>
      </w:r>
      <w:proofErr w:type="gramStart"/>
      <w:r>
        <w:rPr>
          <w:color w:val="000000"/>
          <w:szCs w:val="32"/>
        </w:rPr>
        <w:t>医</w:t>
      </w:r>
      <w:proofErr w:type="gramEnd"/>
      <w:r>
        <w:rPr>
          <w:color w:val="000000"/>
          <w:szCs w:val="32"/>
        </w:rPr>
        <w:t>保待遇按时足额支付</w:t>
      </w:r>
      <w:r>
        <w:rPr>
          <w:snapToGrid w:val="0"/>
          <w:color w:val="000000"/>
          <w:kern w:val="21"/>
          <w:szCs w:val="32"/>
        </w:rPr>
        <w:t>。</w:t>
      </w:r>
      <w:r>
        <w:rPr>
          <w:color w:val="000000"/>
          <w:szCs w:val="32"/>
        </w:rPr>
        <w:t>省级调剂金按年缴拨，纳入基金预算管理。</w:t>
      </w:r>
      <w:r>
        <w:rPr>
          <w:snapToGrid w:val="0"/>
          <w:color w:val="000000"/>
          <w:kern w:val="21"/>
          <w:szCs w:val="32"/>
        </w:rPr>
        <w:t>在省级调剂金中</w:t>
      </w:r>
      <w:r>
        <w:rPr>
          <w:snapToGrid w:val="0"/>
          <w:color w:val="000000"/>
          <w:szCs w:val="32"/>
          <w:lang/>
        </w:rPr>
        <w:t>预留</w:t>
      </w:r>
      <w:r>
        <w:rPr>
          <w:snapToGrid w:val="0"/>
          <w:color w:val="000000"/>
          <w:kern w:val="21"/>
          <w:szCs w:val="32"/>
        </w:rPr>
        <w:t>一定比例</w:t>
      </w:r>
      <w:r>
        <w:rPr>
          <w:snapToGrid w:val="0"/>
          <w:color w:val="000000"/>
          <w:szCs w:val="32"/>
          <w:lang/>
        </w:rPr>
        <w:t>作为省级风险调剂金，用于应对</w:t>
      </w:r>
      <w:r>
        <w:rPr>
          <w:color w:val="000000"/>
          <w:kern w:val="0"/>
          <w:szCs w:val="32"/>
        </w:rPr>
        <w:t>重</w:t>
      </w:r>
      <w:r>
        <w:rPr>
          <w:color w:val="000000"/>
          <w:kern w:val="0"/>
          <w:szCs w:val="32"/>
        </w:rPr>
        <w:lastRenderedPageBreak/>
        <w:t>大疫情、重大自然灾害等突发事件</w:t>
      </w:r>
      <w:r>
        <w:rPr>
          <w:snapToGrid w:val="0"/>
          <w:color w:val="000000"/>
          <w:szCs w:val="32"/>
          <w:lang/>
        </w:rPr>
        <w:t>。当年筹集的</w:t>
      </w:r>
      <w:r>
        <w:rPr>
          <w:color w:val="000000"/>
          <w:szCs w:val="32"/>
        </w:rPr>
        <w:t>省级</w:t>
      </w:r>
      <w:proofErr w:type="gramStart"/>
      <w:r>
        <w:rPr>
          <w:color w:val="000000"/>
          <w:szCs w:val="32"/>
        </w:rPr>
        <w:t>调剂金</w:t>
      </w:r>
      <w:r>
        <w:rPr>
          <w:snapToGrid w:val="0"/>
          <w:color w:val="000000"/>
          <w:szCs w:val="32"/>
          <w:lang/>
        </w:rPr>
        <w:t>除预留</w:t>
      </w:r>
      <w:proofErr w:type="gramEnd"/>
      <w:r>
        <w:rPr>
          <w:snapToGrid w:val="0"/>
          <w:color w:val="000000"/>
          <w:szCs w:val="32"/>
          <w:lang/>
        </w:rPr>
        <w:t>的省级风险调剂金</w:t>
      </w:r>
      <w:r>
        <w:rPr>
          <w:color w:val="000000"/>
          <w:kern w:val="0"/>
          <w:szCs w:val="32"/>
        </w:rPr>
        <w:t>外</w:t>
      </w:r>
      <w:r>
        <w:rPr>
          <w:snapToGrid w:val="0"/>
          <w:color w:val="000000"/>
          <w:szCs w:val="32"/>
          <w:lang/>
        </w:rPr>
        <w:t>，全部分配各地。实行统筹调剂后的基金缺口，由各地自行弥补。</w:t>
      </w:r>
      <w:r>
        <w:rPr>
          <w:snapToGrid w:val="0"/>
          <w:color w:val="000000"/>
          <w:kern w:val="21"/>
          <w:szCs w:val="32"/>
        </w:rPr>
        <w:t>2024</w:t>
      </w:r>
      <w:r>
        <w:rPr>
          <w:snapToGrid w:val="0"/>
          <w:color w:val="000000"/>
          <w:kern w:val="21"/>
          <w:szCs w:val="32"/>
        </w:rPr>
        <w:t>年以前各地基金累计结余留存市级管理，用于弥补本地区基金缺口，未按规定报请同意，不得作其他用途。</w:t>
      </w:r>
      <w:r>
        <w:rPr>
          <w:color w:val="000000"/>
          <w:szCs w:val="32"/>
        </w:rPr>
        <w:t>省级调剂金</w:t>
      </w:r>
      <w:r>
        <w:rPr>
          <w:snapToGrid w:val="0"/>
          <w:color w:val="000000"/>
          <w:kern w:val="21"/>
          <w:szCs w:val="32"/>
        </w:rPr>
        <w:t>纳入省级社会保障基金财政专户实行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“</w:t>
      </w:r>
      <w:r>
        <w:rPr>
          <w:snapToGrid w:val="0"/>
          <w:color w:val="000000"/>
          <w:kern w:val="21"/>
          <w:szCs w:val="32"/>
        </w:rPr>
        <w:t>收支两条线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”</w:t>
      </w:r>
      <w:r>
        <w:rPr>
          <w:snapToGrid w:val="0"/>
          <w:color w:val="000000"/>
          <w:kern w:val="21"/>
          <w:szCs w:val="32"/>
        </w:rPr>
        <w:t>管理，专款专用、分账核算，险种间不得相互调剂，不得用于平衡一般公共预算。省级统筹调剂办法由省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保局会同财政厅、省税务局另行制定。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（三）完善参保筹资政策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color w:val="000000"/>
        </w:rPr>
      </w:pPr>
      <w:r>
        <w:rPr>
          <w:color w:val="000000"/>
        </w:rPr>
        <w:t>明确参保人员范围，职工基本医疗保险（以下简称职工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保）覆盖所有用人单位职工，无雇工的个体工商户、未在用人单位参加职工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保的非全日制从业人员以及其他灵活就业人员可以参加职工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保；城乡居民基本医疗保险（以下简称居民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保）覆盖除职工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保应参保人员或按规定享有其他保障的人员以外的全体城乡居民。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color w:val="000000"/>
        </w:rPr>
      </w:pPr>
      <w:r>
        <w:rPr>
          <w:color w:val="000000"/>
        </w:rPr>
        <w:t>逐步统一筹资政策，着眼基本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保基金中长期平衡和制度可持续发展，建立与社会经济发展水平相适应的稳定可持续的筹资机制，均衡个人、单位和政府三方筹资责任，职工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保费（含生育保险费，下同）由用人单位和职工按照国家规定共同缴纳，居民</w:t>
      </w:r>
      <w:proofErr w:type="gramStart"/>
      <w:r>
        <w:rPr>
          <w:color w:val="000000"/>
        </w:rPr>
        <w:t>医保实行</w:t>
      </w:r>
      <w:proofErr w:type="gramEnd"/>
      <w:r>
        <w:rPr>
          <w:color w:val="000000"/>
        </w:rPr>
        <w:t>个人缴费与政府补助相结合的筹资机制。从</w:t>
      </w:r>
      <w:r>
        <w:rPr>
          <w:color w:val="000000"/>
        </w:rPr>
        <w:t>2024</w:t>
      </w:r>
      <w:r>
        <w:rPr>
          <w:color w:val="000000"/>
        </w:rPr>
        <w:t>年起统一居民</w:t>
      </w:r>
      <w:proofErr w:type="gramStart"/>
      <w:r>
        <w:rPr>
          <w:color w:val="000000"/>
        </w:rPr>
        <w:t>医保集中</w:t>
      </w:r>
      <w:proofErr w:type="gramEnd"/>
      <w:r>
        <w:rPr>
          <w:color w:val="000000"/>
        </w:rPr>
        <w:t>缴费期，逐步统一全省居民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保个人缴费标准和财政补助标准，</w:t>
      </w:r>
      <w:r>
        <w:rPr>
          <w:color w:val="000000"/>
          <w:lang/>
        </w:rPr>
        <w:t>逐步统一职工</w:t>
      </w:r>
      <w:proofErr w:type="gramStart"/>
      <w:r>
        <w:rPr>
          <w:color w:val="000000"/>
          <w:lang/>
        </w:rPr>
        <w:t>医</w:t>
      </w:r>
      <w:proofErr w:type="gramEnd"/>
      <w:r>
        <w:rPr>
          <w:color w:val="000000"/>
          <w:lang/>
        </w:rPr>
        <w:t>保缴费基数、缴费费率、缴费年限等</w:t>
      </w:r>
      <w:r>
        <w:rPr>
          <w:color w:val="000000"/>
        </w:rPr>
        <w:t>，实行费率与支付水平相协调的动态调整机制。具体筹资政策由省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保局会同财政厅、省税务局另行制定，各市（州）严格遵照执行。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（四）规范待遇保障政策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color w:val="000000"/>
          <w:kern w:val="21"/>
          <w:szCs w:val="32"/>
        </w:rPr>
      </w:pPr>
      <w:r>
        <w:rPr>
          <w:color w:val="000000"/>
          <w:kern w:val="21"/>
          <w:szCs w:val="32"/>
        </w:rPr>
        <w:lastRenderedPageBreak/>
        <w:t>全面执行国家医疗保障待遇清单管理制度，</w:t>
      </w:r>
      <w:r>
        <w:rPr>
          <w:color w:val="000000"/>
        </w:rPr>
        <w:t>规范决策权限，厘清基本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</w:t>
      </w:r>
      <w:r>
        <w:rPr>
          <w:color w:val="000000"/>
          <w:kern w:val="21"/>
          <w:szCs w:val="32"/>
        </w:rPr>
        <w:t>制度政策框架。</w:t>
      </w:r>
      <w:r>
        <w:rPr>
          <w:color w:val="000000"/>
          <w:szCs w:val="32"/>
        </w:rPr>
        <w:t>以强化资金共济能力、提高基金使用效益、减轻参保人员医疗费用负担为目标，综合考虑参保人</w:t>
      </w:r>
      <w:proofErr w:type="gramStart"/>
      <w:r>
        <w:rPr>
          <w:color w:val="000000"/>
          <w:szCs w:val="32"/>
        </w:rPr>
        <w:t>员医疗</w:t>
      </w:r>
      <w:proofErr w:type="gramEnd"/>
      <w:r>
        <w:rPr>
          <w:color w:val="000000"/>
          <w:szCs w:val="32"/>
        </w:rPr>
        <w:t>保障需求、基本</w:t>
      </w:r>
      <w:proofErr w:type="gramStart"/>
      <w:r>
        <w:rPr>
          <w:color w:val="000000"/>
          <w:szCs w:val="32"/>
        </w:rPr>
        <w:t>医</w:t>
      </w:r>
      <w:proofErr w:type="gramEnd"/>
      <w:r>
        <w:rPr>
          <w:color w:val="000000"/>
          <w:szCs w:val="32"/>
        </w:rPr>
        <w:t>保基金收支情况和中长期支撑能力等因素，</w:t>
      </w:r>
      <w:r>
        <w:rPr>
          <w:color w:val="000000"/>
          <w:lang/>
        </w:rPr>
        <w:t>制定与社会经济发展相适宜的基本</w:t>
      </w:r>
      <w:proofErr w:type="gramStart"/>
      <w:r>
        <w:rPr>
          <w:color w:val="000000"/>
          <w:lang/>
        </w:rPr>
        <w:t>医</w:t>
      </w:r>
      <w:proofErr w:type="gramEnd"/>
      <w:r>
        <w:rPr>
          <w:color w:val="000000"/>
          <w:lang/>
        </w:rPr>
        <w:t>保待遇保障政策</w:t>
      </w:r>
      <w:r>
        <w:rPr>
          <w:color w:val="000000"/>
          <w:szCs w:val="32"/>
          <w:lang/>
        </w:rPr>
        <w:t>。</w:t>
      </w:r>
      <w:r>
        <w:rPr>
          <w:color w:val="000000"/>
          <w:szCs w:val="32"/>
          <w:lang/>
        </w:rPr>
        <w:t>2024</w:t>
      </w:r>
      <w:r>
        <w:rPr>
          <w:color w:val="000000"/>
          <w:szCs w:val="32"/>
          <w:lang/>
        </w:rPr>
        <w:t>年起</w:t>
      </w:r>
      <w:r>
        <w:rPr>
          <w:color w:val="000000"/>
          <w:kern w:val="21"/>
          <w:szCs w:val="32"/>
        </w:rPr>
        <w:t>逐步统一全省</w:t>
      </w:r>
      <w:r>
        <w:rPr>
          <w:color w:val="000000"/>
        </w:rPr>
        <w:t>职工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</w:t>
      </w:r>
      <w:r>
        <w:rPr>
          <w:color w:val="000000"/>
          <w:kern w:val="21"/>
          <w:szCs w:val="32"/>
        </w:rPr>
        <w:t>、</w:t>
      </w:r>
      <w:r>
        <w:rPr>
          <w:color w:val="000000"/>
        </w:rPr>
        <w:t>居民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保同一</w:t>
      </w:r>
      <w:r>
        <w:rPr>
          <w:color w:val="000000"/>
          <w:kern w:val="21"/>
          <w:szCs w:val="32"/>
        </w:rPr>
        <w:t>制度内参保人员住院、门诊等</w:t>
      </w:r>
      <w:r>
        <w:rPr>
          <w:color w:val="000000"/>
        </w:rPr>
        <w:t>待遇政策，逐步实现基本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保基金支付</w:t>
      </w:r>
      <w:proofErr w:type="gramStart"/>
      <w:r>
        <w:rPr>
          <w:color w:val="000000"/>
        </w:rPr>
        <w:t>医</w:t>
      </w:r>
      <w:proofErr w:type="gramEnd"/>
      <w:r>
        <w:rPr>
          <w:color w:val="000000"/>
        </w:rPr>
        <w:t>保政策</w:t>
      </w:r>
      <w:r>
        <w:rPr>
          <w:color w:val="000000"/>
          <w:kern w:val="21"/>
          <w:szCs w:val="32"/>
        </w:rPr>
        <w:t>范围内医疗费用的起付线、支付比例及最高支付限额等政策规范统一。具体待遇保障政策由省</w:t>
      </w:r>
      <w:proofErr w:type="gramStart"/>
      <w:r>
        <w:rPr>
          <w:color w:val="000000"/>
          <w:kern w:val="21"/>
          <w:szCs w:val="32"/>
        </w:rPr>
        <w:t>医</w:t>
      </w:r>
      <w:proofErr w:type="gramEnd"/>
      <w:r>
        <w:rPr>
          <w:color w:val="000000"/>
          <w:kern w:val="21"/>
          <w:szCs w:val="32"/>
        </w:rPr>
        <w:t>保局会同财政厅另行制定。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（五）统一</w:t>
      </w:r>
      <w:proofErr w:type="gramStart"/>
      <w:r>
        <w:rPr>
          <w:rFonts w:eastAsia="楷体_GB2312"/>
          <w:snapToGrid w:val="0"/>
          <w:color w:val="000000"/>
          <w:kern w:val="21"/>
          <w:szCs w:val="32"/>
        </w:rPr>
        <w:t>医</w:t>
      </w:r>
      <w:proofErr w:type="gramEnd"/>
      <w:r>
        <w:rPr>
          <w:rFonts w:eastAsia="楷体_GB2312"/>
          <w:snapToGrid w:val="0"/>
          <w:color w:val="000000"/>
          <w:kern w:val="21"/>
          <w:szCs w:val="32"/>
        </w:rPr>
        <w:t>保支付机制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color w:val="000000"/>
          <w:kern w:val="21"/>
          <w:szCs w:val="32"/>
        </w:rPr>
      </w:pPr>
      <w:r>
        <w:rPr>
          <w:color w:val="000000"/>
          <w:kern w:val="21"/>
          <w:szCs w:val="32"/>
        </w:rPr>
        <w:t>严格落实国家基本</w:t>
      </w:r>
      <w:proofErr w:type="gramStart"/>
      <w:r>
        <w:rPr>
          <w:color w:val="000000"/>
          <w:kern w:val="21"/>
          <w:szCs w:val="32"/>
        </w:rPr>
        <w:t>医</w:t>
      </w:r>
      <w:proofErr w:type="gramEnd"/>
      <w:r>
        <w:rPr>
          <w:color w:val="000000"/>
          <w:kern w:val="21"/>
          <w:szCs w:val="32"/>
        </w:rPr>
        <w:t>保目录，</w:t>
      </w:r>
      <w:r>
        <w:rPr>
          <w:color w:val="000000"/>
          <w:kern w:val="21"/>
          <w:szCs w:val="32"/>
        </w:rPr>
        <w:t>2025</w:t>
      </w:r>
      <w:r>
        <w:rPr>
          <w:color w:val="000000"/>
          <w:kern w:val="21"/>
          <w:szCs w:val="32"/>
        </w:rPr>
        <w:t>年基本统一全省</w:t>
      </w:r>
      <w:proofErr w:type="gramStart"/>
      <w:r>
        <w:rPr>
          <w:color w:val="000000"/>
          <w:kern w:val="21"/>
          <w:szCs w:val="32"/>
        </w:rPr>
        <w:t>医</w:t>
      </w:r>
      <w:proofErr w:type="gramEnd"/>
      <w:r>
        <w:rPr>
          <w:color w:val="000000"/>
          <w:kern w:val="21"/>
          <w:szCs w:val="32"/>
        </w:rPr>
        <w:t>保药品、医疗服务项目、医用耗材目录，统一基本</w:t>
      </w:r>
      <w:proofErr w:type="gramStart"/>
      <w:r>
        <w:rPr>
          <w:color w:val="000000"/>
          <w:kern w:val="21"/>
          <w:szCs w:val="32"/>
        </w:rPr>
        <w:t>医</w:t>
      </w:r>
      <w:proofErr w:type="gramEnd"/>
      <w:r>
        <w:rPr>
          <w:color w:val="000000"/>
          <w:kern w:val="21"/>
          <w:szCs w:val="32"/>
        </w:rPr>
        <w:t>保药品、医疗服务项目乙类个人先行自付比例。进一步完善国家谈判药品落地工作机制，执行全省统一的单行支付药品范围。统一民族药品、中药饮片、医疗机构制剂</w:t>
      </w:r>
      <w:proofErr w:type="gramStart"/>
      <w:r>
        <w:rPr>
          <w:color w:val="000000"/>
          <w:kern w:val="21"/>
          <w:szCs w:val="32"/>
        </w:rPr>
        <w:t>医</w:t>
      </w:r>
      <w:proofErr w:type="gramEnd"/>
      <w:r>
        <w:rPr>
          <w:color w:val="000000"/>
          <w:kern w:val="21"/>
          <w:szCs w:val="32"/>
        </w:rPr>
        <w:t>保支付范围和支付类别。完善总额预算管理，推行以按病种付费为主的多元复合式</w:t>
      </w:r>
      <w:proofErr w:type="gramStart"/>
      <w:r>
        <w:rPr>
          <w:color w:val="000000"/>
          <w:kern w:val="21"/>
          <w:szCs w:val="32"/>
        </w:rPr>
        <w:t>医</w:t>
      </w:r>
      <w:proofErr w:type="gramEnd"/>
      <w:r>
        <w:rPr>
          <w:color w:val="000000"/>
          <w:kern w:val="21"/>
          <w:szCs w:val="32"/>
        </w:rPr>
        <w:t>保支付方式，</w:t>
      </w:r>
      <w:r>
        <w:rPr>
          <w:color w:val="000000"/>
          <w:kern w:val="21"/>
          <w:szCs w:val="32"/>
        </w:rPr>
        <w:t>2025</w:t>
      </w:r>
      <w:r>
        <w:rPr>
          <w:color w:val="000000"/>
          <w:kern w:val="21"/>
          <w:szCs w:val="32"/>
        </w:rPr>
        <w:t>年</w:t>
      </w:r>
      <w:r>
        <w:rPr>
          <w:color w:val="000000"/>
          <w:kern w:val="21"/>
          <w:szCs w:val="32"/>
        </w:rPr>
        <w:t>DRG</w:t>
      </w:r>
      <w:r>
        <w:rPr>
          <w:color w:val="000000"/>
          <w:kern w:val="21"/>
          <w:szCs w:val="32"/>
        </w:rPr>
        <w:t>、</w:t>
      </w:r>
      <w:r>
        <w:rPr>
          <w:color w:val="000000"/>
          <w:kern w:val="21"/>
          <w:szCs w:val="32"/>
        </w:rPr>
        <w:t>DIP</w:t>
      </w:r>
      <w:r>
        <w:rPr>
          <w:color w:val="000000"/>
          <w:kern w:val="21"/>
          <w:szCs w:val="32"/>
        </w:rPr>
        <w:t>支付方式覆盖所有符合条件、开展住院服务的医疗机构，基本实现病种全纳入，基金支付达到住院</w:t>
      </w:r>
      <w:proofErr w:type="gramStart"/>
      <w:r>
        <w:rPr>
          <w:color w:val="000000"/>
          <w:kern w:val="21"/>
          <w:szCs w:val="32"/>
        </w:rPr>
        <w:t>医</w:t>
      </w:r>
      <w:proofErr w:type="gramEnd"/>
      <w:r>
        <w:rPr>
          <w:color w:val="000000"/>
          <w:kern w:val="21"/>
          <w:szCs w:val="32"/>
        </w:rPr>
        <w:t>保基金支出的</w:t>
      </w:r>
      <w:r>
        <w:rPr>
          <w:color w:val="000000"/>
          <w:kern w:val="21"/>
          <w:szCs w:val="32"/>
        </w:rPr>
        <w:t>70%</w:t>
      </w:r>
      <w:r>
        <w:rPr>
          <w:color w:val="000000"/>
          <w:kern w:val="21"/>
          <w:szCs w:val="32"/>
        </w:rPr>
        <w:t>以上。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（六）提升经办服务能力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snapToGrid w:val="0"/>
          <w:color w:val="000000"/>
          <w:kern w:val="21"/>
          <w:szCs w:val="32"/>
        </w:rPr>
        <w:t>统一全省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保经办政务服务事项和操作规范，逐步统一全省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保经办规程，统一定点医药机构医疗保障服务协议文本，逐步推进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保经办政务服务事项省内通办，提升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保服务便利化水平，实现经办管理服务标准化规范化。完善全省统一的医疗保障经办服务体系，大力推进服务下沉，实现省、</w:t>
      </w:r>
      <w:r>
        <w:rPr>
          <w:snapToGrid w:val="0"/>
          <w:color w:val="000000"/>
          <w:kern w:val="21"/>
          <w:szCs w:val="32"/>
        </w:rPr>
        <w:lastRenderedPageBreak/>
        <w:t>市、县、乡镇（街道）、村（社区）全覆盖。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黑体"/>
          <w:snapToGrid w:val="0"/>
          <w:color w:val="000000"/>
          <w:kern w:val="21"/>
          <w:szCs w:val="32"/>
        </w:rPr>
      </w:pPr>
      <w:r>
        <w:rPr>
          <w:rFonts w:eastAsia="黑体"/>
          <w:snapToGrid w:val="0"/>
          <w:color w:val="000000"/>
          <w:kern w:val="21"/>
          <w:szCs w:val="32"/>
        </w:rPr>
        <w:t>三、保障措施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（一）加强组织领导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snapToGrid w:val="0"/>
          <w:color w:val="000000"/>
          <w:kern w:val="21"/>
          <w:szCs w:val="32"/>
        </w:rPr>
        <w:t>实施基本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省级统筹制度，涉及面广、政策性强，省政府对市（州）政府履行基金收支管理和确保待遇支付责任情况进行考核。各地要高度重视，切实加强组织领导，统筹协调本级相关部门开展工作，坚决压紧压实责任，全力落实各项改革任务和工作要求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（二）履行部门职责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保部门负责基本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保省级统筹的组织实施工作，会同有关部门对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保政策进行动态调整。</w:t>
      </w:r>
      <w:r>
        <w:rPr>
          <w:color w:val="000000"/>
          <w:szCs w:val="32"/>
        </w:rPr>
        <w:t>财政部门牵头做好基金预算管理，履行基金监管职责，按规定足额安排对基金的补助</w:t>
      </w:r>
      <w:r>
        <w:rPr>
          <w:snapToGrid w:val="0"/>
          <w:color w:val="000000"/>
          <w:kern w:val="21"/>
          <w:szCs w:val="32"/>
        </w:rPr>
        <w:t>。税务部门做好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保费征缴工作，优化缴费服务。卫生健康部门进一步规范医疗服务行为，推进分级诊疗，严格控制医疗费用过快增长。审计部门依法依规开展审计监督。大数据、</w:t>
      </w:r>
      <w:proofErr w:type="gramStart"/>
      <w:r>
        <w:rPr>
          <w:snapToGrid w:val="0"/>
          <w:color w:val="000000"/>
          <w:kern w:val="21"/>
          <w:szCs w:val="32"/>
        </w:rPr>
        <w:t>网信等</w:t>
      </w:r>
      <w:proofErr w:type="gramEnd"/>
      <w:r>
        <w:rPr>
          <w:snapToGrid w:val="0"/>
          <w:color w:val="000000"/>
          <w:kern w:val="21"/>
          <w:szCs w:val="32"/>
        </w:rPr>
        <w:t>部门根据职能做好相关工作。省级部门应履行行业主管职能，做好市（州）对口业务部门的督促指导。</w:t>
      </w:r>
    </w:p>
    <w:p w:rsidR="00703C92" w:rsidRDefault="00703C92" w:rsidP="00703C92">
      <w:pPr>
        <w:numPr>
          <w:ilvl w:val="0"/>
          <w:numId w:val="1"/>
        </w:num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强化能力建设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snapToGrid w:val="0"/>
          <w:color w:val="000000"/>
          <w:kern w:val="21"/>
          <w:szCs w:val="32"/>
        </w:rPr>
        <w:t>各地要构建政策、经办、监督和信息化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“</w:t>
      </w:r>
      <w:r>
        <w:rPr>
          <w:snapToGrid w:val="0"/>
          <w:color w:val="000000"/>
          <w:kern w:val="21"/>
          <w:szCs w:val="32"/>
        </w:rPr>
        <w:t>四位一体</w:t>
      </w:r>
      <w:r>
        <w:rPr>
          <w:rFonts w:ascii="仿宋_GB2312" w:hAnsi="仿宋_GB2312"/>
          <w:snapToGrid w:val="0"/>
          <w:color w:val="000000"/>
          <w:kern w:val="21"/>
          <w:szCs w:val="32"/>
        </w:rPr>
        <w:t>”</w:t>
      </w:r>
      <w:r>
        <w:rPr>
          <w:snapToGrid w:val="0"/>
          <w:color w:val="000000"/>
          <w:kern w:val="21"/>
          <w:szCs w:val="32"/>
        </w:rPr>
        <w:t>风险防控体系。完善内部控制制度，严格执行基金收支政策，细化落实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经办风险防控措施。健全基金运行监测及风险预警机制，定期开展风险评估。提升基金监管能力，建立健全异地就医监管机制、部门间协同监管机制、常态化监管机制。加强经办服务队伍建设，完善经办信息系统功能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rFonts w:eastAsia="楷体_GB2312"/>
          <w:snapToGrid w:val="0"/>
          <w:color w:val="000000"/>
          <w:kern w:val="21"/>
          <w:szCs w:val="32"/>
        </w:rPr>
      </w:pPr>
      <w:r>
        <w:rPr>
          <w:rFonts w:eastAsia="楷体_GB2312"/>
          <w:snapToGrid w:val="0"/>
          <w:color w:val="000000"/>
          <w:kern w:val="21"/>
          <w:szCs w:val="32"/>
        </w:rPr>
        <w:t>（四）做好宣传引导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snapToGrid w:val="0"/>
          <w:color w:val="000000"/>
          <w:kern w:val="21"/>
          <w:szCs w:val="32"/>
        </w:rPr>
      </w:pPr>
      <w:r>
        <w:rPr>
          <w:snapToGrid w:val="0"/>
          <w:color w:val="000000"/>
          <w:kern w:val="21"/>
          <w:szCs w:val="32"/>
        </w:rPr>
        <w:t>各地各部门要坚持正确的舆论导向，主动做好基本</w:t>
      </w:r>
      <w:proofErr w:type="gramStart"/>
      <w:r>
        <w:rPr>
          <w:snapToGrid w:val="0"/>
          <w:color w:val="000000"/>
          <w:kern w:val="21"/>
          <w:szCs w:val="32"/>
        </w:rPr>
        <w:t>医</w:t>
      </w:r>
      <w:proofErr w:type="gramEnd"/>
      <w:r>
        <w:rPr>
          <w:snapToGrid w:val="0"/>
          <w:color w:val="000000"/>
          <w:kern w:val="21"/>
          <w:szCs w:val="32"/>
        </w:rPr>
        <w:t>保</w:t>
      </w:r>
      <w:r>
        <w:rPr>
          <w:snapToGrid w:val="0"/>
          <w:color w:val="000000"/>
          <w:kern w:val="21"/>
          <w:szCs w:val="32"/>
        </w:rPr>
        <w:lastRenderedPageBreak/>
        <w:t>省级统筹相关政策解读和宣传，及时回应社会关切，正确引导社会预期，为省级统筹工作顺利推进营造良好的舆论氛围和社会环境。</w:t>
      </w:r>
    </w:p>
    <w:p w:rsidR="00703C92" w:rsidRDefault="00703C92" w:rsidP="00703C92">
      <w:pPr>
        <w:adjustRightInd w:val="0"/>
        <w:snapToGrid w:val="0"/>
        <w:spacing w:line="530" w:lineRule="exact"/>
        <w:ind w:firstLineChars="200" w:firstLine="640"/>
        <w:rPr>
          <w:color w:val="000000"/>
        </w:rPr>
      </w:pPr>
      <w:proofErr w:type="gramStart"/>
      <w:r>
        <w:rPr>
          <w:snapToGrid w:val="0"/>
          <w:color w:val="000000"/>
          <w:kern w:val="21"/>
          <w:szCs w:val="32"/>
        </w:rPr>
        <w:t>本意见自</w:t>
      </w:r>
      <w:r>
        <w:rPr>
          <w:snapToGrid w:val="0"/>
          <w:color w:val="000000"/>
          <w:kern w:val="21"/>
          <w:szCs w:val="32"/>
        </w:rPr>
        <w:t>2024</w:t>
      </w:r>
      <w:r>
        <w:rPr>
          <w:snapToGrid w:val="0"/>
          <w:color w:val="000000"/>
          <w:kern w:val="21"/>
          <w:szCs w:val="32"/>
        </w:rPr>
        <w:t>年</w:t>
      </w:r>
      <w:proofErr w:type="gramEnd"/>
      <w:r>
        <w:rPr>
          <w:snapToGrid w:val="0"/>
          <w:color w:val="000000"/>
          <w:kern w:val="21"/>
          <w:szCs w:val="32"/>
        </w:rPr>
        <w:t xml:space="preserve">  </w:t>
      </w:r>
      <w:r>
        <w:rPr>
          <w:snapToGrid w:val="0"/>
          <w:color w:val="000000"/>
          <w:kern w:val="21"/>
          <w:szCs w:val="32"/>
        </w:rPr>
        <w:t>月</w:t>
      </w:r>
      <w:r>
        <w:rPr>
          <w:snapToGrid w:val="0"/>
          <w:color w:val="000000"/>
          <w:kern w:val="21"/>
          <w:szCs w:val="32"/>
        </w:rPr>
        <w:t xml:space="preserve">  </w:t>
      </w:r>
      <w:r>
        <w:rPr>
          <w:snapToGrid w:val="0"/>
          <w:color w:val="000000"/>
          <w:kern w:val="21"/>
          <w:szCs w:val="32"/>
        </w:rPr>
        <w:t>日起实施，有效期</w:t>
      </w:r>
      <w:r>
        <w:rPr>
          <w:snapToGrid w:val="0"/>
          <w:color w:val="000000"/>
          <w:kern w:val="21"/>
          <w:szCs w:val="32"/>
        </w:rPr>
        <w:t xml:space="preserve">  </w:t>
      </w:r>
      <w:r>
        <w:rPr>
          <w:snapToGrid w:val="0"/>
          <w:color w:val="000000"/>
          <w:kern w:val="21"/>
          <w:szCs w:val="32"/>
        </w:rPr>
        <w:t>年。</w:t>
      </w:r>
    </w:p>
    <w:p w:rsidR="00931B3E" w:rsidRPr="00703C92" w:rsidRDefault="00931B3E"/>
    <w:sectPr w:rsidR="00931B3E" w:rsidRPr="00703C92" w:rsidSect="0093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BE06EB"/>
    <w:multiLevelType w:val="singleLevel"/>
    <w:tmpl w:val="DFBE06E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C92"/>
    <w:rsid w:val="00703C92"/>
    <w:rsid w:val="0093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92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C92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4">
    <w:name w:val="主题标"/>
    <w:basedOn w:val="a"/>
    <w:next w:val="a5"/>
    <w:rsid w:val="00703C92"/>
    <w:pPr>
      <w:ind w:firstLine="0"/>
      <w:jc w:val="center"/>
    </w:pPr>
    <w:rPr>
      <w:rFonts w:eastAsia="方正小标宋简体"/>
      <w:sz w:val="44"/>
    </w:rPr>
  </w:style>
  <w:style w:type="paragraph" w:styleId="a5">
    <w:name w:val="Salutation"/>
    <w:basedOn w:val="a"/>
    <w:next w:val="a"/>
    <w:link w:val="Char"/>
    <w:uiPriority w:val="99"/>
    <w:semiHidden/>
    <w:unhideWhenUsed/>
    <w:rsid w:val="00703C92"/>
  </w:style>
  <w:style w:type="character" w:customStyle="1" w:styleId="Char">
    <w:name w:val="称呼 Char"/>
    <w:basedOn w:val="a0"/>
    <w:link w:val="a5"/>
    <w:uiPriority w:val="99"/>
    <w:semiHidden/>
    <w:rsid w:val="00703C9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1602</Characters>
  <Application>Microsoft Office Word</Application>
  <DocSecurity>0</DocSecurity>
  <Lines>123</Lines>
  <Paragraphs>93</Paragraphs>
  <ScaleCrop>false</ScaleCrop>
  <Company>神州网信技术有限公司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2023-07-25T09:51:00Z</dcterms:created>
  <dcterms:modified xsi:type="dcterms:W3CDTF">2023-07-25T09:52:00Z</dcterms:modified>
</cp:coreProperties>
</file>