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13000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13000" w:cs="Times New Roman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Hans"/>
        </w:rPr>
        <w:t>《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广东省医疗机构药品目录管理指南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Hans"/>
        </w:rPr>
        <w:t>（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Hans"/>
        </w:rPr>
        <w:t>征求意见稿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Hans"/>
        </w:rPr>
        <w:t>）》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Hans"/>
        </w:rPr>
        <w:t>制订说明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一、制订背景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为加强我省医疗机构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用药的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规范管理，建立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公开透明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药品遴选和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动态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管理制度，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2012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年我委印发了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《广东省医疗机构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基本用药供应目录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管理指南》，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为规范医疗机构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新药引进、品种淘汰机制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发挥了重要作用。近年来，随着我国卫生健康事业快速发展，人民群众用药需求日益多样化，国家和省出台了大量药物政策，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2012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年的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《广东省医疗机构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基本用药供应目录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管理指南》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已经无法满足当前药事管理的需要，迫切需要进行修订。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根据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《中华人民共和国药品管理法》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《医疗机构药事管理规定》《处方管理办法》《抗菌药物临床应用管理办法》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《国务院办公厅关于完善国家基本药物制度的意见》（国办发〔2018〕88号）、《国务院办公厅关于进一步做好短缺药品保供稳价工作的意见》（国办发〔2019〕47号）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文件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以落实国家基本药物制度为为基础，以建立公平、公正、高效、科学的医疗机构药品目录管理制度为目标，以加强医疗机构药品供应保障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解决临床实际问题为导向，修订形成《广东省医疗机构药品目录管理指南（征求意见稿）》。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  <w:t>二、制订过程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2022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年，我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着手开展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《广东省医疗机构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基本用药供应目录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管理指南》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修订工作，委托省药事管理与药物治疗学委员会制订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《广东省医疗机构基本用药供应目录管理指南（2022年版，征求意见稿）》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并书面征求省直各有关单位、各地卫生健康行政部门、各医疗机构意见。在收集吸纳各方面意见的过程中，多次组织医疗机构药学、医保等方面专家召开研讨会，赴各地基层开展实地调研，并根据国家和省最新出台的药物政策文件，再次修改完善，形成《广东省医疗机构药品目录管理指南（征求意见稿）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  <w:t>三、主要内容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《广东省医疗机构药品目录管理指南（征求意见稿）》共有六部分内容，分别是：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Hans"/>
        </w:rPr>
        <w:t>（一）成立药事管理与药物治疗学委员会（组）。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要求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二级以上医疗机构应成立药事管理与药物治疗学委员会，其他医疗机构应当成立药事管理与药物治疗学组。应当每季度至少召开一次工作会议，必要时随时召开。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（二）组建药品目录遴选专家库。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遴选专家库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主要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负责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在医疗机构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药品目录品种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遴选过程中出具专业意见，参与投票等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具体事宜。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（三）医疗机构药品目录管理原则。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包括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优先配备国家基本药物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、“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一品两规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”（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同一通用名称药品的品种，注射剂型和口服剂型各不得超过2种，处方组成类同的复方制剂1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）、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严格抗菌药物目录管理、鼓励开展药品临床综合评价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等四部分内容。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（四）医疗机构药品目录调整。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包含药品引进、药品调出、药品信息变更等三方面内容，医疗机构应根据实际制定本机构药品目录调整流程。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（五）加强医疗机构药品供应保障。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包含加强药品储备、短缺药品临时替代使用、药品临时采购等三方面内容。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（六）加强监督管理。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要求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各级卫生健康行政部门要指导督促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辖区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公立医疗机构不断优化药品目录，形成科学合理的用药结构。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Hans"/>
        </w:rPr>
        <w:t>四、主要修订的内容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kern w:val="0"/>
          <w:sz w:val="32"/>
          <w:szCs w:val="32"/>
          <w:lang w:val="en-US" w:eastAsia="zh-Hans"/>
        </w:rPr>
        <w:t>（一）文件名称及功能定位。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Hans" w:bidi="ar-SA"/>
        </w:rPr>
        <w:t>2012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年版“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医疗机构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Hans"/>
        </w:rPr>
        <w:t>基本用药供应目录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”容易与“国家基本药物目录”相混淆，修改为“医疗机构药品目录”更简洁易懂。根据《医疗机构药事管理规定》第九条，医疗机构药事管理与药物治疗学委员会（组）的职责包含：建立药品遴选制度，审核本机构临床科室申请的新购入药品、调整药品品种或者供应企业和申报医院制剂等事宜。药品引进等流程应由医疗机构根据实际自行制定，国家也没有相关文件对医疗机构内部管理流程有强制性要求，因此本文主要起到指导和引导作用，相关工作流程是对医疗机构已经成熟的经验做法进行了提炼，供医疗机构参考使用，并非强制性要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（二）放宽医疗机构配备药品限制。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删除了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Hans" w:bidi="ar-SA"/>
        </w:rPr>
        <w:t>2012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年版“三级综合医院原则上不超过1500种，三级专科医院原则上不超过1200种，二级综合医院原则上不超过1000种，二级专科医院原则上不超过800种，其他医疗机构原则上不超过600种。”的要求。修改理由：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一是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对医疗机构配备药品品种数限制目前无上位法依据。三级综合医院原则上不超过1500种药品的要求是2019年以前国家三级医院等级评审的指标之一，但2020年以后，国家已取消了该评审指标。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二是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不利于分级诊疗和上下级医疗机构用药衔接。与近年来我委大力推进的县域医共体内统一药品目录、统一采购配送等工作政策不协调，应取消对基层医疗机构用药品种数的限制。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三是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用药品种数限制是2012年的做法，符合当时医疗机构实际和管理的要求。近年来，随着药品“零加成”、医保付费制度改革等深化医药卫生体制改革各项措施推进，医疗机构本身已有控制医疗费用、控制用药规模的内在驱动力，从卫生健康行政部门的角度，已无需再对用药品种数做出明确限制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四是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药品供应保障的需要。近年来，随着医药产业不断发展，已有越来越多新药上市，“港澳药械通”也逐年引进越来越多的港澳上市的新药，对医疗机构用药总品种数限制会成为新药进入医院的重大阻碍，不利于医药产业发展。此外，根据国家近期出台的文件拓宽了儿童用药范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Hans" w:bidi="ar-SA"/>
        </w:rPr>
        <w:t>（三）拟解决医疗机构用药保障有关问题。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围绕药品供应保障有关问题，提出一系列解决措施。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一是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明确药事会至少每季度召开一次，必要时随时召开，并进一步畅通国谈药品进医院的渠道。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二是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规定住院患者的治疗用药应当由医疗机构提供，但对于患者必须使用或自愿使用自带药品的特殊情况，提出了相应解决措施。</w:t>
      </w: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  <w:lang w:val="en-US" w:eastAsia="zh-Hans" w:bidi="ar-SA"/>
        </w:rPr>
        <w:t>三是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对短缺药品，允许医疗机构进行临时替代使用，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Hans"/>
        </w:rPr>
        <w:t>在发生突发公共卫生事件，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部分药品阶段性需求突然增大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时，对已发生供应紧张的品种，医疗机构可根据需要同时储备不同厂家的可替代品种，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进一步保障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临床用药需求。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五、下一步工作打算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t>本次征求意见后，将按照反馈意见进一步修改完善，必要时再组织调研论证，依程序提请审议等，力争尽快出台。</w:t>
      </w:r>
    </w:p>
    <w:p>
      <w:pPr>
        <w:pStyle w:val="3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</w:p>
    <w:p>
      <w:pPr>
        <w:pStyle w:val="3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</w:pPr>
    </w:p>
    <w:p>
      <w:pPr>
        <w:pStyle w:val="3"/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Hans" w:bidi="ar-SA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3331D51"/>
    <w:rsid w:val="733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2023-07-21T03:34:00Z</dcterms:created>
  <dc:creator>西门</dc:creator>
  <cp:lastModifiedBy>西门</cp:lastModifiedBy>
  <dcterms:modified xsi:type="dcterms:W3CDTF">2023-07-21T03:36:04Z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29DD8D4D23FB4C619525651655D1F2DE_11</vt:lpwstr>
  </property>
</Properties>
</file>