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2B" w:rsidRDefault="0054622B" w:rsidP="0054622B">
      <w:pPr>
        <w:spacing w:before="101" w:line="224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附件1</w:t>
      </w:r>
    </w:p>
    <w:p w:rsidR="0054622B" w:rsidRDefault="0054622B" w:rsidP="0054622B">
      <w:pPr>
        <w:spacing w:before="101"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第二批全国儿童血液病定点医院名单</w:t>
      </w:r>
    </w:p>
    <w:p w:rsidR="0054622B" w:rsidRDefault="0054622B" w:rsidP="0054622B">
      <w:pPr>
        <w:spacing w:before="101"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（四川省）</w:t>
      </w:r>
    </w:p>
    <w:tbl>
      <w:tblPr>
        <w:tblW w:w="138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3780"/>
        <w:gridCol w:w="9186"/>
      </w:tblGrid>
      <w:tr w:rsidR="0054622B" w:rsidTr="004F74C9">
        <w:trPr>
          <w:trHeight w:val="1208"/>
        </w:trPr>
        <w:tc>
          <w:tcPr>
            <w:tcW w:w="893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="75" w:line="219" w:lineRule="auto"/>
              <w:ind w:left="95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6"/>
                <w:sz w:val="23"/>
                <w:szCs w:val="23"/>
              </w:rPr>
              <w:t>四川省</w:t>
            </w:r>
          </w:p>
        </w:tc>
        <w:tc>
          <w:tcPr>
            <w:tcW w:w="3780" w:type="dxa"/>
            <w:vAlign w:val="center"/>
          </w:tcPr>
          <w:p w:rsidR="0054622B" w:rsidRDefault="0054622B" w:rsidP="004F74C9">
            <w:pPr>
              <w:spacing w:before="75" w:line="218" w:lineRule="auto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"/>
                <w:sz w:val="23"/>
                <w:szCs w:val="23"/>
              </w:rPr>
              <w:t>四川大学华西第二医院</w:t>
            </w:r>
          </w:p>
        </w:tc>
        <w:tc>
          <w:tcPr>
            <w:tcW w:w="9186" w:type="dxa"/>
            <w:vAlign w:val="center"/>
          </w:tcPr>
          <w:p w:rsidR="0054622B" w:rsidRDefault="0054622B" w:rsidP="004F74C9">
            <w:pPr>
              <w:spacing w:line="227" w:lineRule="auto"/>
              <w:ind w:leftChars="50" w:left="105" w:rightChars="50" w:right="105"/>
              <w:jc w:val="left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3"/>
                <w:sz w:val="22"/>
                <w:szCs w:val="22"/>
              </w:rPr>
              <w:t>白血病、再生障碍性贫血、免疫性血小板减少症、血友病、噬血细胞综合征、免疫性溶血性贫血、慢性活动性 EB 病毒感染、朗格汉斯细胞组织细胞增生症、神经纤维瘤病</w:t>
            </w:r>
          </w:p>
        </w:tc>
      </w:tr>
      <w:tr w:rsidR="0054622B" w:rsidTr="004F74C9">
        <w:trPr>
          <w:trHeight w:val="1040"/>
        </w:trPr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vAlign w:val="center"/>
          </w:tcPr>
          <w:p w:rsidR="0054622B" w:rsidRDefault="0054622B" w:rsidP="004F74C9">
            <w:pPr>
              <w:spacing w:before="225" w:line="218" w:lineRule="auto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"/>
                <w:sz w:val="23"/>
                <w:szCs w:val="23"/>
              </w:rPr>
              <w:t>四川省人民医院</w:t>
            </w:r>
          </w:p>
        </w:tc>
        <w:tc>
          <w:tcPr>
            <w:tcW w:w="9186" w:type="dxa"/>
            <w:vAlign w:val="center"/>
          </w:tcPr>
          <w:p w:rsidR="0054622B" w:rsidRDefault="0054622B" w:rsidP="004F74C9">
            <w:pPr>
              <w:spacing w:line="234" w:lineRule="auto"/>
              <w:ind w:leftChars="50" w:left="105" w:rightChars="50" w:right="105"/>
              <w:jc w:val="left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9"/>
                <w:sz w:val="23"/>
                <w:szCs w:val="23"/>
              </w:rPr>
              <w:t>白血病、免疫性血小板减少、再生障碍性贫血、噬血细胞综合征、慢性活动性 EB 病毒感染、新生儿血小板减少性紫癫、朗格汉斯组织细胞增生症</w:t>
            </w:r>
          </w:p>
        </w:tc>
      </w:tr>
      <w:tr w:rsidR="0054622B" w:rsidTr="004F74C9">
        <w:trPr>
          <w:trHeight w:val="1053"/>
        </w:trPr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vAlign w:val="center"/>
          </w:tcPr>
          <w:p w:rsidR="0054622B" w:rsidRDefault="0054622B" w:rsidP="004F74C9">
            <w:pPr>
              <w:spacing w:before="216" w:line="218" w:lineRule="auto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"/>
                <w:sz w:val="23"/>
                <w:szCs w:val="23"/>
              </w:rPr>
              <w:t>四川省妇幼保健院</w:t>
            </w:r>
          </w:p>
        </w:tc>
        <w:tc>
          <w:tcPr>
            <w:tcW w:w="9186" w:type="dxa"/>
            <w:vAlign w:val="center"/>
          </w:tcPr>
          <w:p w:rsidR="0054622B" w:rsidRDefault="0054622B" w:rsidP="004F74C9">
            <w:pPr>
              <w:spacing w:line="234" w:lineRule="auto"/>
              <w:ind w:leftChars="50" w:left="105" w:rightChars="50" w:right="105"/>
              <w:jc w:val="left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免疫性血小板减少症、再生障碍性贫血、噬血细胞综合征、朗格汉斯细胞组织增生症、免疫性溶血性贫血</w:t>
            </w:r>
          </w:p>
        </w:tc>
      </w:tr>
      <w:tr w:rsidR="0054622B" w:rsidTr="004F74C9">
        <w:trPr>
          <w:trHeight w:val="1221"/>
        </w:trPr>
        <w:tc>
          <w:tcPr>
            <w:tcW w:w="8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vAlign w:val="center"/>
          </w:tcPr>
          <w:p w:rsidR="0054622B" w:rsidRDefault="0054622B" w:rsidP="004F74C9">
            <w:pPr>
              <w:spacing w:before="74" w:line="218" w:lineRule="auto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"/>
                <w:sz w:val="23"/>
                <w:szCs w:val="23"/>
              </w:rPr>
              <w:t>成都市妇女儿童中心医院</w:t>
            </w:r>
          </w:p>
        </w:tc>
        <w:tc>
          <w:tcPr>
            <w:tcW w:w="9186" w:type="dxa"/>
            <w:vAlign w:val="center"/>
          </w:tcPr>
          <w:p w:rsidR="0054622B" w:rsidRDefault="0054622B" w:rsidP="004F74C9">
            <w:pPr>
              <w:spacing w:line="219" w:lineRule="auto"/>
              <w:ind w:leftChars="50" w:left="105" w:rightChars="50" w:right="105"/>
              <w:jc w:val="left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9"/>
                <w:sz w:val="23"/>
                <w:szCs w:val="23"/>
              </w:rPr>
              <w:t>再生障碍性贫血、免疫性血小板减少症，血友病，噬血细胞综合征、神经纤维瘤病、朗格汉斯细胞组织细胞增生症、慢性活动性 EB 病毒感染、免疫性溶血性贫血</w:t>
            </w:r>
          </w:p>
        </w:tc>
      </w:tr>
      <w:tr w:rsidR="0054622B" w:rsidTr="004F74C9">
        <w:trPr>
          <w:trHeight w:val="830"/>
        </w:trPr>
        <w:tc>
          <w:tcPr>
            <w:tcW w:w="893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80" w:type="dxa"/>
            <w:vAlign w:val="center"/>
          </w:tcPr>
          <w:p w:rsidR="0054622B" w:rsidRDefault="0054622B" w:rsidP="004F74C9">
            <w:pPr>
              <w:spacing w:before="226" w:line="218" w:lineRule="auto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1"/>
                <w:sz w:val="23"/>
                <w:szCs w:val="23"/>
              </w:rPr>
              <w:t>西南医科大学附属医院</w:t>
            </w:r>
          </w:p>
        </w:tc>
        <w:tc>
          <w:tcPr>
            <w:tcW w:w="9186" w:type="dxa"/>
            <w:vAlign w:val="center"/>
          </w:tcPr>
          <w:p w:rsidR="0054622B" w:rsidRDefault="0054622B" w:rsidP="004F74C9">
            <w:pPr>
              <w:spacing w:line="233" w:lineRule="auto"/>
              <w:ind w:leftChars="50" w:left="105" w:rightChars="50" w:right="105"/>
              <w:jc w:val="left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再生障碍性贫血、免疫性血小板减少症、噬血细胞综合征、血友病、免疫性溶血性贫血</w:t>
            </w:r>
          </w:p>
        </w:tc>
      </w:tr>
    </w:tbl>
    <w:p w:rsidR="0054622B" w:rsidRDefault="0054622B" w:rsidP="0054622B">
      <w:pPr>
        <w:spacing w:before="101" w:line="224" w:lineRule="auto"/>
        <w:rPr>
          <w:rFonts w:ascii="黑体" w:eastAsia="黑体" w:hAnsi="黑体" w:cs="黑体" w:hint="eastAsia"/>
          <w:bCs/>
          <w:sz w:val="32"/>
          <w:szCs w:val="32"/>
        </w:rPr>
      </w:pPr>
    </w:p>
    <w:p w:rsidR="0054622B" w:rsidRDefault="0054622B" w:rsidP="0054622B">
      <w:pPr>
        <w:spacing w:before="101" w:line="224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lastRenderedPageBreak/>
        <w:t>附件2</w:t>
      </w:r>
    </w:p>
    <w:p w:rsidR="0054622B" w:rsidRDefault="0054622B" w:rsidP="0054622B">
      <w:pPr>
        <w:spacing w:before="101"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第二批全国</w:t>
      </w:r>
      <w:r>
        <w:rPr>
          <w:rFonts w:ascii="方正小标宋简体" w:eastAsia="方正小标宋简体" w:hAnsi="黑体" w:cs="黑体"/>
          <w:bCs/>
          <w:sz w:val="44"/>
          <w:szCs w:val="44"/>
        </w:rPr>
        <w:t>儿童实体肿瘤诊疗协作组名单</w:t>
      </w:r>
    </w:p>
    <w:p w:rsidR="0054622B" w:rsidRDefault="0054622B" w:rsidP="0054622B">
      <w:pPr>
        <w:spacing w:before="101" w:line="54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z w:val="44"/>
          <w:szCs w:val="44"/>
        </w:rPr>
        <w:t>（四川省）</w:t>
      </w:r>
    </w:p>
    <w:tbl>
      <w:tblPr>
        <w:tblW w:w="1473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347"/>
        <w:gridCol w:w="1346"/>
        <w:gridCol w:w="3371"/>
        <w:gridCol w:w="2828"/>
        <w:gridCol w:w="4846"/>
      </w:tblGrid>
      <w:tr w:rsidR="0054622B" w:rsidTr="004F74C9">
        <w:trPr>
          <w:trHeight w:val="514"/>
        </w:trPr>
        <w:tc>
          <w:tcPr>
            <w:tcW w:w="993" w:type="dxa"/>
            <w:vAlign w:val="center"/>
          </w:tcPr>
          <w:p w:rsidR="0054622B" w:rsidRDefault="0054622B" w:rsidP="004F74C9">
            <w:pPr>
              <w:spacing w:before="145" w:line="219" w:lineRule="auto"/>
              <w:ind w:left="4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5"/>
                <w:sz w:val="24"/>
              </w:rPr>
              <w:t>省份</w:t>
            </w:r>
          </w:p>
        </w:tc>
        <w:tc>
          <w:tcPr>
            <w:tcW w:w="1347" w:type="dxa"/>
            <w:vAlign w:val="center"/>
          </w:tcPr>
          <w:p w:rsidR="0054622B" w:rsidRDefault="0054622B" w:rsidP="004F74C9">
            <w:pPr>
              <w:spacing w:before="145" w:line="220" w:lineRule="auto"/>
              <w:ind w:left="1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3"/>
                <w:sz w:val="24"/>
              </w:rPr>
              <w:t>协作组</w:t>
            </w: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="145" w:line="219" w:lineRule="auto"/>
              <w:ind w:left="281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7"/>
                <w:sz w:val="24"/>
              </w:rPr>
              <w:t>类型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="142" w:line="220" w:lineRule="auto"/>
              <w:ind w:left="966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bCs/>
                <w:spacing w:val="-4"/>
                <w:sz w:val="24"/>
              </w:rPr>
              <w:t>协作组医院名称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="141" w:line="219" w:lineRule="auto"/>
              <w:ind w:left="89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bCs/>
                <w:spacing w:val="19"/>
                <w:sz w:val="24"/>
              </w:rPr>
              <w:t>组内分工</w:t>
            </w:r>
          </w:p>
        </w:tc>
        <w:tc>
          <w:tcPr>
            <w:tcW w:w="4846" w:type="dxa"/>
            <w:vAlign w:val="center"/>
          </w:tcPr>
          <w:p w:rsidR="0054622B" w:rsidRDefault="0054622B" w:rsidP="004F74C9">
            <w:pPr>
              <w:spacing w:before="141" w:line="219" w:lineRule="auto"/>
              <w:ind w:left="19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bCs/>
                <w:spacing w:val="15"/>
                <w:sz w:val="24"/>
              </w:rPr>
              <w:t>救治病种</w:t>
            </w:r>
          </w:p>
        </w:tc>
      </w:tr>
      <w:tr w:rsidR="0054622B" w:rsidTr="004F74C9">
        <w:trPr>
          <w:trHeight w:val="524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7" w:lineRule="auto"/>
              <w:ind w:leftChars="50" w:left="105"/>
              <w:jc w:val="center"/>
              <w:rPr>
                <w:rFonts w:ascii="仿宋_GB2312" w:eastAsia="仿宋_GB2312" w:hAnsi="宋体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9"/>
                <w:sz w:val="23"/>
                <w:szCs w:val="23"/>
              </w:rPr>
              <w:t>四川省</w:t>
            </w:r>
          </w:p>
        </w:tc>
        <w:tc>
          <w:tcPr>
            <w:tcW w:w="1347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3"/>
                <w:sz w:val="24"/>
              </w:rPr>
              <w:t>协作组一</w:t>
            </w: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牵头单位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四川大学华西医院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诊断、手术、放疗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中枢神经系统肿瘤(脑胶质瘤、髓母细胞瘤、</w:t>
            </w:r>
          </w:p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颅咽管瘤、室管膜肿瘤)、恶性生殖细胞瘤</w:t>
            </w:r>
          </w:p>
        </w:tc>
      </w:tr>
      <w:tr w:rsidR="0054622B" w:rsidTr="004F74C9">
        <w:trPr>
          <w:trHeight w:val="757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成员单位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四川大学华西第二医院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6"/>
                <w:sz w:val="24"/>
              </w:rPr>
              <w:t>诊断、化疗</w:t>
            </w:r>
          </w:p>
        </w:tc>
        <w:tc>
          <w:tcPr>
            <w:tcW w:w="4846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</w:p>
        </w:tc>
      </w:tr>
      <w:tr w:rsidR="0054622B" w:rsidTr="004F74C9">
        <w:trPr>
          <w:trHeight w:val="899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3"/>
                <w:sz w:val="24"/>
              </w:rPr>
              <w:t>协作组二</w:t>
            </w: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牵头单位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四川省人民医院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pacing w:val="4"/>
                <w:position w:val="14"/>
                <w:sz w:val="22"/>
                <w:szCs w:val="22"/>
              </w:rPr>
              <w:t>诊断、化疗、手术、放疗、</w:t>
            </w:r>
          </w:p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pacing w:val="-1"/>
                <w:sz w:val="22"/>
                <w:szCs w:val="22"/>
              </w:rPr>
              <w:t>移植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淋巴瘤、肾母细胞瘤、神经母细胞瘤、肝母细胞瘤、视网膜母细胞瘤、脑胶质瘤、颅咽管瘤、髓母细胞瘤、甲状腺癌</w:t>
            </w:r>
          </w:p>
        </w:tc>
      </w:tr>
      <w:tr w:rsidR="0054622B" w:rsidTr="004F74C9">
        <w:trPr>
          <w:trHeight w:val="909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成员单位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自贡市第一人民医院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pacing w:val="4"/>
                <w:position w:val="14"/>
                <w:sz w:val="22"/>
                <w:szCs w:val="22"/>
              </w:rPr>
              <w:t>诊断、化疗、手术、放疗、</w:t>
            </w:r>
          </w:p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pacing w:val="-1"/>
                <w:sz w:val="22"/>
                <w:szCs w:val="22"/>
              </w:rPr>
              <w:t>移植</w:t>
            </w:r>
          </w:p>
        </w:tc>
        <w:tc>
          <w:tcPr>
            <w:tcW w:w="4846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</w:p>
        </w:tc>
      </w:tr>
      <w:tr w:rsidR="0054622B" w:rsidTr="004F74C9">
        <w:trPr>
          <w:trHeight w:val="469"/>
        </w:trPr>
        <w:tc>
          <w:tcPr>
            <w:tcW w:w="993" w:type="dxa"/>
            <w:vMerge/>
            <w:tcBorders>
              <w:top w:val="nil"/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"/>
                <w:sz w:val="24"/>
              </w:rPr>
              <w:t>协作组三</w:t>
            </w: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牵头单位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四川省肿瘤医院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诊断、化疗、放疗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center"/>
          </w:tcPr>
          <w:p w:rsidR="0054622B" w:rsidRDefault="0054622B" w:rsidP="004F74C9">
            <w:pPr>
              <w:spacing w:beforeLines="50" w:before="156" w:line="226" w:lineRule="auto"/>
              <w:ind w:leftChars="50" w:left="105"/>
              <w:jc w:val="left"/>
              <w:rPr>
                <w:rFonts w:ascii="仿宋_GB2312" w:eastAsia="仿宋_GB2312" w:hAnsi="宋体"/>
                <w:spacing w:val="8"/>
                <w:sz w:val="23"/>
                <w:szCs w:val="23"/>
              </w:rPr>
            </w:pPr>
            <w:r>
              <w:rPr>
                <w:rFonts w:ascii="仿宋_GB2312" w:eastAsia="仿宋_GB2312" w:hAnsi="宋体" w:hint="eastAsia"/>
                <w:spacing w:val="8"/>
                <w:sz w:val="23"/>
                <w:szCs w:val="23"/>
              </w:rPr>
              <w:t>神经母细胞瘤、骨及软组织肉瘤、肝母细胞瘤、肾母细胞瘤、视网膜母细胞瘤、淋巴瘤、髓母细胞瘤、颅咽管瘤、室管膜肿瘤、鼻咽癌、恶性生殖细胞瘤</w:t>
            </w:r>
          </w:p>
        </w:tc>
      </w:tr>
      <w:tr w:rsidR="0054622B" w:rsidTr="004F74C9">
        <w:trPr>
          <w:trHeight w:val="1298"/>
        </w:trPr>
        <w:tc>
          <w:tcPr>
            <w:tcW w:w="993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6" w:type="dxa"/>
            <w:vAlign w:val="center"/>
          </w:tcPr>
          <w:p w:rsidR="0054622B" w:rsidRDefault="0054622B" w:rsidP="004F74C9">
            <w:pPr>
              <w:spacing w:beforeLines="50" w:before="156" w:line="220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2"/>
                <w:sz w:val="24"/>
              </w:rPr>
              <w:t>成员单位</w:t>
            </w:r>
          </w:p>
        </w:tc>
        <w:tc>
          <w:tcPr>
            <w:tcW w:w="3371" w:type="dxa"/>
            <w:vAlign w:val="center"/>
          </w:tcPr>
          <w:p w:rsidR="0054622B" w:rsidRDefault="0054622B" w:rsidP="004F74C9">
            <w:pPr>
              <w:spacing w:beforeLines="50" w:before="156" w:line="219" w:lineRule="auto"/>
              <w:ind w:leftChars="50" w:left="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成都市妇女儿童中心医院</w:t>
            </w:r>
          </w:p>
        </w:tc>
        <w:tc>
          <w:tcPr>
            <w:tcW w:w="2828" w:type="dxa"/>
            <w:vAlign w:val="center"/>
          </w:tcPr>
          <w:p w:rsidR="0054622B" w:rsidRDefault="0054622B" w:rsidP="004F74C9">
            <w:pPr>
              <w:spacing w:beforeLines="50" w:before="156" w:line="400" w:lineRule="exact"/>
              <w:ind w:leftChars="50" w:left="10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1"/>
                <w:sz w:val="24"/>
              </w:rPr>
              <w:t>诊断、手术、化疗</w:t>
            </w:r>
          </w:p>
        </w:tc>
        <w:tc>
          <w:tcPr>
            <w:tcW w:w="4846" w:type="dxa"/>
            <w:vMerge/>
            <w:tcBorders>
              <w:top w:val="nil"/>
            </w:tcBorders>
            <w:vAlign w:val="center"/>
          </w:tcPr>
          <w:p w:rsidR="0054622B" w:rsidRDefault="0054622B" w:rsidP="004F74C9">
            <w:pPr>
              <w:spacing w:beforeLines="50" w:before="156"/>
              <w:ind w:leftChars="50" w:left="105"/>
              <w:jc w:val="center"/>
              <w:rPr>
                <w:rFonts w:ascii="仿宋_GB2312" w:eastAsia="仿宋_GB2312"/>
              </w:rPr>
            </w:pPr>
          </w:p>
        </w:tc>
      </w:tr>
    </w:tbl>
    <w:p w:rsidR="00A837A3" w:rsidRDefault="00A837A3">
      <w:bookmarkStart w:id="0" w:name="_GoBack"/>
      <w:bookmarkEnd w:id="0"/>
    </w:p>
    <w:sectPr w:rsidR="00A837A3" w:rsidSect="005462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19" w:rsidRDefault="006F4319" w:rsidP="0054622B">
      <w:r>
        <w:separator/>
      </w:r>
    </w:p>
  </w:endnote>
  <w:endnote w:type="continuationSeparator" w:id="0">
    <w:p w:rsidR="006F4319" w:rsidRDefault="006F4319" w:rsidP="0054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19" w:rsidRDefault="006F4319" w:rsidP="0054622B">
      <w:r>
        <w:separator/>
      </w:r>
    </w:p>
  </w:footnote>
  <w:footnote w:type="continuationSeparator" w:id="0">
    <w:p w:rsidR="006F4319" w:rsidRDefault="006F4319" w:rsidP="0054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2"/>
    <w:rsid w:val="00055222"/>
    <w:rsid w:val="0054622B"/>
    <w:rsid w:val="006F4319"/>
    <w:rsid w:val="00A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D38D6-30CE-414D-BE9B-C8CE617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2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2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2023-06-06T02:54:00Z</dcterms:created>
  <dcterms:modified xsi:type="dcterms:W3CDTF">2023-06-06T02:54:00Z</dcterms:modified>
</cp:coreProperties>
</file>