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441B2C">
        <w:tc>
          <w:tcPr>
            <w:tcW w:w="509" w:type="dxa"/>
          </w:tcPr>
          <w:p w:rsidR="00441B2C" w:rsidRDefault="009378CE">
            <w:pPr>
              <w:pStyle w:val="ab"/>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441B2C" w:rsidRDefault="009378CE">
            <w:pPr>
              <w:pStyle w:val="ab"/>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ICS</w:t>
            </w:r>
            <w:r>
              <w:rPr>
                <w:rFonts w:ascii="黑体" w:eastAsia="黑体" w:hAnsi="黑体"/>
                <w:sz w:val="21"/>
                <w:szCs w:val="21"/>
              </w:rPr>
              <w:t>号</w:t>
            </w:r>
            <w:r>
              <w:rPr>
                <w:rFonts w:ascii="黑体" w:eastAsia="黑体" w:hAnsi="黑体"/>
                <w:sz w:val="21"/>
                <w:szCs w:val="21"/>
              </w:rPr>
              <w:fldChar w:fldCharType="end"/>
            </w:r>
            <w:bookmarkEnd w:id="0"/>
          </w:p>
        </w:tc>
      </w:tr>
      <w:tr w:rsidR="00441B2C">
        <w:tc>
          <w:tcPr>
            <w:tcW w:w="509" w:type="dxa"/>
          </w:tcPr>
          <w:p w:rsidR="00441B2C" w:rsidRDefault="009378CE">
            <w:pPr>
              <w:pStyle w:val="ab"/>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441B2C" w:rsidRDefault="009378CE">
            <w:pPr>
              <w:pStyle w:val="ab"/>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1"/>
          </w:p>
        </w:tc>
      </w:tr>
    </w:tbl>
    <w:tbl>
      <w:tblPr>
        <w:tblStyle w:val="ad"/>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441B2C">
        <w:tc>
          <w:tcPr>
            <w:tcW w:w="6407" w:type="dxa"/>
          </w:tcPr>
          <w:p w:rsidR="00441B2C" w:rsidRDefault="009378CE">
            <w:pPr>
              <w:pStyle w:val="ae"/>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31</w:t>
            </w:r>
            <w:r>
              <w:fldChar w:fldCharType="end"/>
            </w:r>
            <w:bookmarkEnd w:id="3"/>
          </w:p>
        </w:tc>
      </w:tr>
    </w:tbl>
    <w:p w:rsidR="00441B2C" w:rsidRDefault="009378CE">
      <w:pPr>
        <w:pStyle w:val="af"/>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上海市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441B2C" w:rsidRDefault="009378CE">
      <w:pPr>
        <w:pStyle w:val="af0"/>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31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441B2C" w:rsidRDefault="00441B2C">
      <w:pPr>
        <w:pStyle w:val="af2"/>
        <w:framePr w:wrap="auto"/>
        <w:rPr>
          <w:rFonts w:hAnsi="黑体"/>
          <w:lang w:val="fr-FR"/>
        </w:rPr>
      </w:pPr>
    </w:p>
    <w:p w:rsidR="00441B2C" w:rsidRDefault="009378CE">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441B2C" w:rsidRDefault="00441B2C">
      <w:pPr>
        <w:pStyle w:val="af"/>
        <w:framePr w:w="9639" w:h="6976" w:hRule="exact" w:hSpace="0" w:vSpace="0" w:wrap="around" w:hAnchor="page" w:y="6408"/>
        <w:jc w:val="center"/>
        <w:rPr>
          <w:rFonts w:ascii="黑体" w:eastAsia="黑体" w:hAnsi="黑体"/>
          <w:b w:val="0"/>
          <w:bCs w:val="0"/>
          <w:w w:val="100"/>
          <w:lang w:val="fr-FR"/>
        </w:rPr>
      </w:pPr>
    </w:p>
    <w:p w:rsidR="00441B2C" w:rsidRDefault="009378CE">
      <w:pPr>
        <w:pStyle w:val="af3"/>
        <w:framePr w:h="6974" w:hRule="exact" w:wrap="around" w:x="1419" w:anchorLock="1"/>
      </w:pPr>
      <w:r>
        <w:rPr>
          <w:rFonts w:hint="eastAsia"/>
        </w:rPr>
        <w:t>儿童青少年裸眼视力和屈光度评价规范</w:t>
      </w:r>
    </w:p>
    <w:p w:rsidR="00441B2C" w:rsidRDefault="00441B2C">
      <w:pPr>
        <w:framePr w:w="9639" w:h="6974" w:hRule="exact" w:wrap="around" w:vAnchor="page" w:hAnchor="page" w:x="1419" w:y="6408" w:anchorLock="1"/>
        <w:ind w:left="-1418"/>
      </w:pPr>
    </w:p>
    <w:p w:rsidR="00441B2C" w:rsidRDefault="004D7594">
      <w:pPr>
        <w:pStyle w:val="af4"/>
        <w:framePr w:w="9639" w:h="6974" w:hRule="exact" w:wrap="around" w:vAnchor="page" w:hAnchor="page" w:x="1419" w:y="6408" w:anchorLock="1"/>
        <w:textAlignment w:val="bottom"/>
        <w:rPr>
          <w:rFonts w:eastAsia="黑体"/>
          <w:szCs w:val="28"/>
        </w:rPr>
      </w:pPr>
      <w:r>
        <w:rPr>
          <w:rFonts w:eastAsia="黑体" w:hint="eastAsia"/>
          <w:szCs w:val="28"/>
        </w:rPr>
        <w:t>Specification</w:t>
      </w:r>
      <w:r w:rsidR="009378CE">
        <w:rPr>
          <w:rFonts w:eastAsia="黑体" w:hint="eastAsia"/>
          <w:szCs w:val="28"/>
        </w:rPr>
        <w:t xml:space="preserve"> for evaluation of </w:t>
      </w:r>
      <w:r w:rsidR="009378CE">
        <w:rPr>
          <w:rFonts w:eastAsia="黑体" w:hint="eastAsia"/>
          <w:szCs w:val="28"/>
        </w:rPr>
        <w:t>uncorrected</w:t>
      </w:r>
      <w:r w:rsidR="009378CE">
        <w:rPr>
          <w:rFonts w:eastAsia="黑体" w:hint="eastAsia"/>
          <w:szCs w:val="28"/>
        </w:rPr>
        <w:t xml:space="preserve"> visual acuity and </w:t>
      </w:r>
      <w:proofErr w:type="spellStart"/>
      <w:r w:rsidR="009378CE">
        <w:rPr>
          <w:rFonts w:eastAsia="黑体" w:hint="eastAsia"/>
          <w:szCs w:val="28"/>
        </w:rPr>
        <w:t>cycloplegic</w:t>
      </w:r>
      <w:proofErr w:type="spellEnd"/>
      <w:r w:rsidR="009378CE">
        <w:rPr>
          <w:rFonts w:eastAsia="黑体" w:hint="eastAsia"/>
          <w:szCs w:val="28"/>
        </w:rPr>
        <w:t xml:space="preserve"> </w:t>
      </w:r>
      <w:r w:rsidR="009378CE">
        <w:rPr>
          <w:rFonts w:eastAsia="黑体" w:hint="eastAsia"/>
          <w:szCs w:val="28"/>
        </w:rPr>
        <w:t>diopter in children and adolescents</w:t>
      </w:r>
    </w:p>
    <w:p w:rsidR="00441B2C" w:rsidRDefault="00441B2C">
      <w:pPr>
        <w:framePr w:w="9639" w:h="6974" w:hRule="exact" w:wrap="around" w:vAnchor="page" w:hAnchor="page" w:x="1419" w:y="6408" w:anchorLock="1"/>
        <w:spacing w:line="760" w:lineRule="exact"/>
        <w:ind w:left="-1418"/>
      </w:pPr>
    </w:p>
    <w:p w:rsidR="00441B2C" w:rsidRDefault="00441B2C">
      <w:pPr>
        <w:pStyle w:val="af4"/>
        <w:framePr w:w="9639" w:h="6974" w:hRule="exact" w:wrap="around" w:vAnchor="page" w:hAnchor="page" w:x="1419" w:y="6408" w:anchorLock="1"/>
        <w:textAlignment w:val="bottom"/>
        <w:rPr>
          <w:rFonts w:eastAsia="黑体"/>
          <w:szCs w:val="28"/>
        </w:rPr>
      </w:pPr>
    </w:p>
    <w:p w:rsidR="00441B2C" w:rsidRDefault="00D556C4">
      <w:pPr>
        <w:pStyle w:val="af4"/>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bookmarkStart w:id="8" w:name="下拉1"/>
      <w:r>
        <w:rPr>
          <w:sz w:val="24"/>
          <w:szCs w:val="28"/>
        </w:rPr>
        <w:instrText xml:space="preserve"> FORMDROPDOWN </w:instrText>
      </w:r>
      <w:r>
        <w:rPr>
          <w:sz w:val="24"/>
          <w:szCs w:val="28"/>
        </w:rPr>
      </w:r>
      <w:r>
        <w:rPr>
          <w:sz w:val="24"/>
          <w:szCs w:val="28"/>
        </w:rPr>
        <w:fldChar w:fldCharType="end"/>
      </w:r>
      <w:bookmarkEnd w:id="8"/>
    </w:p>
    <w:p w:rsidR="00441B2C" w:rsidRDefault="009378CE">
      <w:pPr>
        <w:pStyle w:val="af4"/>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9"/>
    </w:p>
    <w:bookmarkStart w:id="10" w:name="下拉2"/>
    <w:p w:rsidR="00441B2C" w:rsidRDefault="009378CE">
      <w:pPr>
        <w:pStyle w:val="af4"/>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r>
        <w:rPr>
          <w:b/>
          <w:sz w:val="21"/>
          <w:szCs w:val="28"/>
        </w:rPr>
        <w:instrText>FORMDROPDOWN</w:instrText>
      </w:r>
      <w:r>
        <w:rPr>
          <w:b/>
          <w:sz w:val="21"/>
          <w:szCs w:val="28"/>
        </w:rPr>
      </w:r>
      <w:r>
        <w:rPr>
          <w:b/>
          <w:sz w:val="21"/>
          <w:szCs w:val="28"/>
        </w:rPr>
        <w:fldChar w:fldCharType="separate"/>
      </w:r>
      <w:r>
        <w:rPr>
          <w:b/>
          <w:sz w:val="21"/>
          <w:szCs w:val="28"/>
        </w:rPr>
        <w:fldChar w:fldCharType="end"/>
      </w:r>
      <w:bookmarkEnd w:id="10"/>
    </w:p>
    <w:p w:rsidR="00441B2C" w:rsidRDefault="009378CE">
      <w:pPr>
        <w:pStyle w:val="af5"/>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441B2C" w:rsidRDefault="009378CE">
      <w:pPr>
        <w:pStyle w:val="af7"/>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441B2C" w:rsidRDefault="009378CE">
      <w:pPr>
        <w:pStyle w:val="af9"/>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上海市市场监督管理局</w:t>
      </w:r>
      <w:r>
        <w:rPr>
          <w:rFonts w:hAnsi="黑体"/>
          <w:w w:val="100"/>
          <w:sz w:val="28"/>
        </w:rPr>
        <w:fldChar w:fldCharType="end"/>
      </w:r>
      <w:bookmarkEnd w:id="17"/>
      <w:r>
        <w:rPr>
          <w:rFonts w:ascii="Times New Roman"/>
          <w:w w:val="100"/>
          <w:sz w:val="28"/>
        </w:rPr>
        <w:t>  </w:t>
      </w:r>
      <w:r>
        <w:rPr>
          <w:rStyle w:val="afb"/>
          <w:rFonts w:hAnsi="黑体" w:hint="eastAsia"/>
          <w:position w:val="0"/>
        </w:rPr>
        <w:t>发</w:t>
      </w:r>
      <w:r>
        <w:rPr>
          <w:rStyle w:val="afb"/>
          <w:rFonts w:hAnsi="黑体" w:hint="eastAsia"/>
          <w:spacing w:val="0"/>
          <w:position w:val="0"/>
        </w:rPr>
        <w:t>布</w:t>
      </w:r>
    </w:p>
    <w:p w:rsidR="00441B2C" w:rsidRDefault="009378CE">
      <w:pPr>
        <w:rPr>
          <w:rFonts w:ascii="宋体" w:hAnsi="宋体"/>
          <w:sz w:val="28"/>
          <w:szCs w:val="28"/>
        </w:rPr>
        <w:sectPr w:rsidR="00441B2C">
          <w:headerReference w:type="default" r:id="rId10"/>
          <w:footerReference w:type="even" r:id="rId11"/>
          <w:headerReference w:type="first" r:id="rId12"/>
          <w:footerReference w:type="first" r:id="rId13"/>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441B2C" w:rsidRDefault="009378CE">
      <w:pPr>
        <w:pStyle w:val="afc"/>
        <w:spacing w:after="468"/>
      </w:pPr>
      <w:bookmarkStart w:id="18" w:name="BookMark1"/>
      <w:r>
        <w:rPr>
          <w:spacing w:val="320"/>
        </w:rPr>
        <w:lastRenderedPageBreak/>
        <w:t>目</w:t>
      </w:r>
      <w:r>
        <w:t>次</w:t>
      </w:r>
    </w:p>
    <w:p w:rsidR="00441B2C" w:rsidRDefault="009378CE">
      <w:pPr>
        <w:pStyle w:val="1"/>
        <w:tabs>
          <w:tab w:val="right" w:leader="dot" w:pos="9354"/>
        </w:tabs>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8879" w:history="1">
        <w:r>
          <w:rPr>
            <w:spacing w:val="320"/>
          </w:rPr>
          <w:t>前</w:t>
        </w:r>
        <w:r>
          <w:t>言</w:t>
        </w:r>
        <w:r>
          <w:tab/>
        </w:r>
        <w:r>
          <w:fldChar w:fldCharType="begin"/>
        </w:r>
        <w:r>
          <w:instrText xml:space="preserve"> PAGEREF _Toc8879 \h </w:instrText>
        </w:r>
        <w:r>
          <w:fldChar w:fldCharType="separate"/>
        </w:r>
        <w:r>
          <w:t>II</w:t>
        </w:r>
        <w:r>
          <w:fldChar w:fldCharType="end"/>
        </w:r>
      </w:hyperlink>
    </w:p>
    <w:p w:rsidR="00441B2C" w:rsidRDefault="009378CE">
      <w:pPr>
        <w:pStyle w:val="1"/>
        <w:tabs>
          <w:tab w:val="right" w:leader="dot" w:pos="9354"/>
        </w:tabs>
      </w:pPr>
      <w:hyperlink w:anchor="_Toc25558" w:history="1">
        <w:r>
          <w:rPr>
            <w:rFonts w:ascii="黑体" w:eastAsia="黑体" w:hint="eastAsia"/>
          </w:rPr>
          <w:t xml:space="preserve">1 </w:t>
        </w:r>
        <w:r>
          <w:rPr>
            <w:rFonts w:hint="eastAsia"/>
          </w:rPr>
          <w:t>范围</w:t>
        </w:r>
        <w:r>
          <w:tab/>
        </w:r>
        <w:r>
          <w:fldChar w:fldCharType="begin"/>
        </w:r>
        <w:r>
          <w:instrText xml:space="preserve"> PAGEREF _Toc25558 \h </w:instrText>
        </w:r>
        <w:r>
          <w:fldChar w:fldCharType="separate"/>
        </w:r>
        <w:r>
          <w:t>3</w:t>
        </w:r>
        <w:r>
          <w:fldChar w:fldCharType="end"/>
        </w:r>
      </w:hyperlink>
    </w:p>
    <w:p w:rsidR="00441B2C" w:rsidRDefault="009378CE">
      <w:pPr>
        <w:pStyle w:val="1"/>
        <w:tabs>
          <w:tab w:val="right" w:leader="dot" w:pos="9354"/>
        </w:tabs>
      </w:pPr>
      <w:hyperlink w:anchor="_Toc9358" w:history="1">
        <w:r>
          <w:rPr>
            <w:rFonts w:ascii="黑体" w:eastAsia="黑体" w:hint="eastAsia"/>
          </w:rPr>
          <w:t xml:space="preserve">2 </w:t>
        </w:r>
        <w:r>
          <w:rPr>
            <w:rFonts w:hint="eastAsia"/>
          </w:rPr>
          <w:t>规范性引用文件</w:t>
        </w:r>
        <w:r>
          <w:tab/>
        </w:r>
        <w:r>
          <w:fldChar w:fldCharType="begin"/>
        </w:r>
        <w:r>
          <w:instrText xml:space="preserve"> PAGEREF _Toc9358 \h </w:instrText>
        </w:r>
        <w:r>
          <w:fldChar w:fldCharType="separate"/>
        </w:r>
        <w:r>
          <w:t>3</w:t>
        </w:r>
        <w:r>
          <w:fldChar w:fldCharType="end"/>
        </w:r>
      </w:hyperlink>
    </w:p>
    <w:p w:rsidR="00441B2C" w:rsidRDefault="009378CE">
      <w:pPr>
        <w:pStyle w:val="1"/>
        <w:tabs>
          <w:tab w:val="right" w:leader="dot" w:pos="9354"/>
        </w:tabs>
      </w:pPr>
      <w:hyperlink w:anchor="_Toc11593" w:history="1">
        <w:r>
          <w:rPr>
            <w:rFonts w:ascii="黑体" w:eastAsia="黑体" w:hint="eastAsia"/>
          </w:rPr>
          <w:t xml:space="preserve">3 </w:t>
        </w:r>
        <w:r>
          <w:rPr>
            <w:rFonts w:hint="eastAsia"/>
          </w:rPr>
          <w:t>术语和定义</w:t>
        </w:r>
        <w:r>
          <w:tab/>
        </w:r>
        <w:r>
          <w:fldChar w:fldCharType="begin"/>
        </w:r>
        <w:r>
          <w:instrText xml:space="preserve"> PAGEREF _Toc11593 \h </w:instrText>
        </w:r>
        <w:r>
          <w:fldChar w:fldCharType="separate"/>
        </w:r>
        <w:r>
          <w:t>3</w:t>
        </w:r>
        <w:r>
          <w:fldChar w:fldCharType="end"/>
        </w:r>
      </w:hyperlink>
    </w:p>
    <w:p w:rsidR="00441B2C" w:rsidRDefault="009378CE">
      <w:pPr>
        <w:pStyle w:val="1"/>
        <w:tabs>
          <w:tab w:val="right" w:leader="dot" w:pos="9354"/>
        </w:tabs>
      </w:pPr>
      <w:hyperlink w:anchor="_Toc27682" w:history="1">
        <w:r>
          <w:rPr>
            <w:rFonts w:ascii="黑体" w:eastAsia="黑体" w:hint="eastAsia"/>
          </w:rPr>
          <w:t xml:space="preserve">4 </w:t>
        </w:r>
        <w:r>
          <w:rPr>
            <w:rFonts w:hint="eastAsia"/>
          </w:rPr>
          <w:t>测量要求</w:t>
        </w:r>
        <w:r>
          <w:tab/>
        </w:r>
        <w:r>
          <w:fldChar w:fldCharType="begin"/>
        </w:r>
        <w:r>
          <w:instrText xml:space="preserve"> PAGEREF _Toc27682 \h </w:instrText>
        </w:r>
        <w:r>
          <w:fldChar w:fldCharType="separate"/>
        </w:r>
        <w:r>
          <w:t>3</w:t>
        </w:r>
        <w:r>
          <w:fldChar w:fldCharType="end"/>
        </w:r>
      </w:hyperlink>
    </w:p>
    <w:p w:rsidR="00441B2C" w:rsidRDefault="009378CE">
      <w:pPr>
        <w:pStyle w:val="1"/>
        <w:tabs>
          <w:tab w:val="right" w:leader="dot" w:pos="9354"/>
        </w:tabs>
      </w:pPr>
      <w:hyperlink w:anchor="_Toc14190" w:history="1">
        <w:r>
          <w:rPr>
            <w:rFonts w:ascii="黑体" w:eastAsia="黑体" w:hint="eastAsia"/>
          </w:rPr>
          <w:t xml:space="preserve">5 </w:t>
        </w:r>
        <w:r>
          <w:rPr>
            <w:rFonts w:hint="eastAsia"/>
          </w:rPr>
          <w:t>评价参考值</w:t>
        </w:r>
        <w:r>
          <w:tab/>
        </w:r>
        <w:r>
          <w:fldChar w:fldCharType="begin"/>
        </w:r>
        <w:r>
          <w:instrText xml:space="preserve"> PAGEREF _Toc14190 \h </w:instrText>
        </w:r>
        <w:r>
          <w:fldChar w:fldCharType="separate"/>
        </w:r>
        <w:r>
          <w:t>3</w:t>
        </w:r>
        <w:r>
          <w:fldChar w:fldCharType="end"/>
        </w:r>
      </w:hyperlink>
    </w:p>
    <w:p w:rsidR="00441B2C" w:rsidRDefault="009378CE">
      <w:pPr>
        <w:pStyle w:val="1"/>
        <w:tabs>
          <w:tab w:val="right" w:leader="dot" w:pos="9354"/>
        </w:tabs>
      </w:pPr>
      <w:hyperlink w:anchor="_Toc17712" w:history="1">
        <w:r>
          <w:rPr>
            <w:rFonts w:hint="eastAsia"/>
            <w:spacing w:val="105"/>
          </w:rPr>
          <w:t>参考文</w:t>
        </w:r>
        <w:r>
          <w:rPr>
            <w:rFonts w:hint="eastAsia"/>
          </w:rPr>
          <w:t>献</w:t>
        </w:r>
        <w:r>
          <w:tab/>
        </w:r>
        <w:r>
          <w:fldChar w:fldCharType="begin"/>
        </w:r>
        <w:r>
          <w:instrText xml:space="preserve"> PAGEREF _Toc17712 \h </w:instrText>
        </w:r>
        <w:r>
          <w:fldChar w:fldCharType="separate"/>
        </w:r>
        <w:r>
          <w:t>5</w:t>
        </w:r>
        <w:r>
          <w:fldChar w:fldCharType="end"/>
        </w:r>
      </w:hyperlink>
    </w:p>
    <w:p w:rsidR="00441B2C" w:rsidRDefault="009378CE">
      <w:pPr>
        <w:pStyle w:val="afc"/>
        <w:spacing w:after="468"/>
        <w:sectPr w:rsidR="00441B2C">
          <w:headerReference w:type="even" r:id="rId14"/>
          <w:headerReference w:type="default" r:id="rId15"/>
          <w:footerReference w:type="even" r:id="rId16"/>
          <w:footerReference w:type="default" r:id="rId17"/>
          <w:pgSz w:w="11906" w:h="16838"/>
          <w:pgMar w:top="567" w:right="1134" w:bottom="1134" w:left="1134" w:header="1418" w:footer="1134" w:gutter="284"/>
          <w:pgNumType w:fmt="upperRoman" w:start="1"/>
          <w:cols w:space="425"/>
          <w:formProt w:val="0"/>
          <w:docGrid w:type="lines" w:linePitch="312"/>
        </w:sectPr>
      </w:pPr>
      <w:r>
        <w:fldChar w:fldCharType="end"/>
      </w:r>
    </w:p>
    <w:p w:rsidR="00441B2C" w:rsidRDefault="009378CE">
      <w:pPr>
        <w:pStyle w:val="a"/>
        <w:spacing w:after="468"/>
      </w:pPr>
      <w:bookmarkStart w:id="19" w:name="_Toc8879"/>
      <w:bookmarkStart w:id="20" w:name="BookMark2"/>
      <w:bookmarkEnd w:id="18"/>
      <w:r>
        <w:rPr>
          <w:spacing w:val="320"/>
        </w:rPr>
        <w:lastRenderedPageBreak/>
        <w:t>前</w:t>
      </w:r>
      <w:r>
        <w:t>言</w:t>
      </w:r>
      <w:bookmarkEnd w:id="19"/>
    </w:p>
    <w:p w:rsidR="00441B2C" w:rsidRDefault="009378CE">
      <w:pPr>
        <w:pStyle w:val="af1"/>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441B2C" w:rsidRDefault="009378CE">
      <w:pPr>
        <w:pStyle w:val="af1"/>
        <w:ind w:firstLine="420"/>
      </w:pPr>
      <w:r>
        <w:rPr>
          <w:rFonts w:hint="eastAsia"/>
        </w:rPr>
        <w:t>请注意本文件的某些内容可能涉及专利</w:t>
      </w:r>
      <w:r w:rsidR="004D7594">
        <w:rPr>
          <w:rFonts w:hint="eastAsia"/>
        </w:rPr>
        <w:t>。</w:t>
      </w:r>
      <w:r>
        <w:rPr>
          <w:rFonts w:hint="eastAsia"/>
        </w:rPr>
        <w:t>本文件的发布机构不承担识别专利的责任。</w:t>
      </w:r>
    </w:p>
    <w:p w:rsidR="00441B2C" w:rsidRDefault="009378CE">
      <w:pPr>
        <w:pStyle w:val="af1"/>
        <w:ind w:firstLine="420"/>
      </w:pPr>
      <w:r>
        <w:rPr>
          <w:rFonts w:hint="eastAsia"/>
        </w:rPr>
        <w:t>本文件由上海市卫生健康委员会提出。</w:t>
      </w:r>
    </w:p>
    <w:p w:rsidR="00441B2C" w:rsidRDefault="009378CE">
      <w:pPr>
        <w:pStyle w:val="af1"/>
        <w:ind w:firstLine="420"/>
      </w:pPr>
      <w:r>
        <w:rPr>
          <w:rFonts w:hint="eastAsia"/>
        </w:rPr>
        <w:t>本文件由上海市疾病预防控制标准化技术委员会归口。</w:t>
      </w:r>
    </w:p>
    <w:p w:rsidR="00441B2C" w:rsidRDefault="009378CE">
      <w:pPr>
        <w:pStyle w:val="ac"/>
        <w:widowControl/>
        <w:autoSpaceDE w:val="0"/>
        <w:autoSpaceDN w:val="0"/>
        <w:adjustRightInd/>
        <w:spacing w:line="240" w:lineRule="auto"/>
        <w:ind w:firstLineChars="200" w:firstLine="420"/>
      </w:pPr>
      <w:r>
        <w:rPr>
          <w:rFonts w:ascii="宋体" w:hAnsi="Times New Roman" w:hint="eastAsia"/>
          <w:kern w:val="0"/>
          <w:sz w:val="21"/>
          <w:szCs w:val="20"/>
          <w:lang w:bidi="ar"/>
        </w:rPr>
        <w:t>本文件起草单位：上海市眼病防治中心</w:t>
      </w:r>
    </w:p>
    <w:p w:rsidR="00441B2C" w:rsidRDefault="009378CE">
      <w:pPr>
        <w:pStyle w:val="ac"/>
        <w:widowControl/>
        <w:autoSpaceDE w:val="0"/>
        <w:autoSpaceDN w:val="0"/>
        <w:adjustRightInd/>
        <w:spacing w:line="240" w:lineRule="auto"/>
        <w:ind w:firstLineChars="200" w:firstLine="420"/>
      </w:pPr>
      <w:r>
        <w:rPr>
          <w:rFonts w:ascii="宋体" w:hAnsi="Times New Roman" w:hint="eastAsia"/>
          <w:kern w:val="0"/>
          <w:sz w:val="21"/>
          <w:szCs w:val="20"/>
          <w:lang w:bidi="ar"/>
        </w:rPr>
        <w:t>本文件主要起草人：</w:t>
      </w:r>
    </w:p>
    <w:p w:rsidR="00441B2C" w:rsidRDefault="00441B2C">
      <w:pPr>
        <w:pStyle w:val="af1"/>
        <w:ind w:firstLine="420"/>
        <w:sectPr w:rsidR="00441B2C">
          <w:headerReference w:type="even" r:id="rId18"/>
          <w:headerReference w:type="default" r:id="rId19"/>
          <w:footerReference w:type="even" r:id="rId20"/>
          <w:footerReference w:type="default" r:id="rId21"/>
          <w:pgSz w:w="11906" w:h="16838"/>
          <w:pgMar w:top="567" w:right="1134" w:bottom="1134" w:left="1134" w:header="1418" w:footer="1134" w:gutter="284"/>
          <w:pgNumType w:fmt="upperRoman"/>
          <w:cols w:space="425"/>
          <w:formProt w:val="0"/>
          <w:docGrid w:type="lines" w:linePitch="312"/>
        </w:sectPr>
      </w:pPr>
    </w:p>
    <w:p w:rsidR="00441B2C" w:rsidRDefault="00441B2C">
      <w:pPr>
        <w:spacing w:line="20" w:lineRule="exact"/>
        <w:jc w:val="center"/>
        <w:rPr>
          <w:rFonts w:ascii="黑体" w:eastAsia="黑体" w:hAnsi="黑体"/>
          <w:sz w:val="32"/>
          <w:szCs w:val="32"/>
        </w:rPr>
      </w:pPr>
      <w:bookmarkStart w:id="21" w:name="BookMark4"/>
      <w:bookmarkEnd w:id="20"/>
    </w:p>
    <w:p w:rsidR="00441B2C" w:rsidRDefault="00441B2C">
      <w:pPr>
        <w:spacing w:line="20" w:lineRule="exact"/>
        <w:jc w:val="center"/>
        <w:rPr>
          <w:rFonts w:ascii="黑体" w:eastAsia="黑体" w:hAnsi="黑体"/>
          <w:sz w:val="32"/>
          <w:szCs w:val="32"/>
        </w:rPr>
      </w:pPr>
    </w:p>
    <w:bookmarkStart w:id="22" w:name="NEW_STAND_NAME" w:displacedByCustomXml="next"/>
    <w:sdt>
      <w:sdtPr>
        <w:tag w:val="NEW_STAND_NAME"/>
        <w:id w:val="595910757"/>
        <w:lock w:val="sdtLocked"/>
        <w:placeholder>
          <w:docPart w:val="{5eae161e-5d7b-4f51-a8f7-33565e55d343}"/>
        </w:placeholder>
      </w:sdtPr>
      <w:sdtEndPr/>
      <w:sdtContent>
        <w:p w:rsidR="00441B2C" w:rsidRDefault="009378CE">
          <w:pPr>
            <w:pStyle w:val="afd"/>
            <w:spacing w:beforeLines="100" w:before="312" w:afterLines="220" w:after="686"/>
          </w:pPr>
          <w:r>
            <w:rPr>
              <w:rFonts w:hint="eastAsia"/>
            </w:rPr>
            <w:t>儿童青少年裸眼视力和屈光度评价规范</w:t>
          </w:r>
        </w:p>
      </w:sdtContent>
    </w:sdt>
    <w:p w:rsidR="00441B2C" w:rsidRDefault="009378CE">
      <w:pPr>
        <w:pStyle w:val="a3"/>
        <w:spacing w:before="312" w:after="312"/>
      </w:pPr>
      <w:bookmarkStart w:id="23" w:name="_Toc24884211"/>
      <w:bookmarkStart w:id="24" w:name="_Toc25558"/>
      <w:bookmarkStart w:id="25" w:name="_Toc26648465"/>
      <w:bookmarkStart w:id="26" w:name="_Toc26986530"/>
      <w:bookmarkStart w:id="27" w:name="_Toc24884218"/>
      <w:bookmarkStart w:id="28" w:name="_Toc26718930"/>
      <w:bookmarkStart w:id="29" w:name="_Toc26986771"/>
      <w:bookmarkStart w:id="30" w:name="_Toc17233333"/>
      <w:bookmarkStart w:id="31" w:name="_Toc17233325"/>
      <w:bookmarkEnd w:id="22"/>
      <w:r>
        <w:rPr>
          <w:rFonts w:hint="eastAsia"/>
        </w:rPr>
        <w:t>范围</w:t>
      </w:r>
      <w:bookmarkEnd w:id="23"/>
      <w:bookmarkEnd w:id="24"/>
      <w:bookmarkEnd w:id="25"/>
      <w:bookmarkEnd w:id="26"/>
      <w:bookmarkEnd w:id="27"/>
      <w:bookmarkEnd w:id="28"/>
      <w:bookmarkEnd w:id="29"/>
      <w:bookmarkEnd w:id="30"/>
      <w:bookmarkEnd w:id="31"/>
    </w:p>
    <w:p w:rsidR="00441B2C" w:rsidRDefault="009378CE">
      <w:pPr>
        <w:pStyle w:val="af1"/>
        <w:ind w:firstLine="420"/>
      </w:pPr>
      <w:bookmarkStart w:id="32" w:name="_Toc26986531"/>
      <w:bookmarkStart w:id="33" w:name="_Toc24884212"/>
      <w:bookmarkStart w:id="34" w:name="_Toc17233326"/>
      <w:bookmarkStart w:id="35" w:name="_Toc26986772"/>
      <w:bookmarkStart w:id="36" w:name="_Toc26648466"/>
      <w:bookmarkStart w:id="37" w:name="_Toc17233334"/>
      <w:bookmarkStart w:id="38" w:name="_Toc26718931"/>
      <w:bookmarkStart w:id="39" w:name="_Toc24884219"/>
      <w:r>
        <w:rPr>
          <w:rFonts w:hint="eastAsia"/>
        </w:rPr>
        <w:t>本文件规定了儿童青少年</w:t>
      </w:r>
      <w:r>
        <w:rPr>
          <w:rFonts w:hint="eastAsia"/>
        </w:rPr>
        <w:t>裸眼视力、屈光度的</w:t>
      </w:r>
      <w:r>
        <w:rPr>
          <w:rFonts w:hint="eastAsia"/>
        </w:rPr>
        <w:t>测量要求和</w:t>
      </w:r>
      <w:r>
        <w:rPr>
          <w:rFonts w:hint="eastAsia"/>
        </w:rPr>
        <w:t>评价</w:t>
      </w:r>
      <w:r>
        <w:rPr>
          <w:rFonts w:hint="eastAsia"/>
        </w:rPr>
        <w:t>参考值。</w:t>
      </w:r>
    </w:p>
    <w:p w:rsidR="00441B2C" w:rsidRDefault="009378CE">
      <w:pPr>
        <w:pStyle w:val="af1"/>
        <w:ind w:firstLine="420"/>
      </w:pPr>
      <w:r>
        <w:rPr>
          <w:rFonts w:hint="eastAsia"/>
        </w:rPr>
        <w:t>本文件适用于</w:t>
      </w:r>
      <w:r>
        <w:rPr>
          <w:rFonts w:hint="eastAsia"/>
        </w:rPr>
        <w:t>3</w:t>
      </w:r>
      <w:r>
        <w:rPr>
          <w:rFonts w:hint="eastAsia"/>
        </w:rPr>
        <w:t>岁～</w:t>
      </w:r>
      <w:r>
        <w:rPr>
          <w:rFonts w:hint="eastAsia"/>
        </w:rPr>
        <w:t>1</w:t>
      </w:r>
      <w:r>
        <w:rPr>
          <w:rFonts w:hint="eastAsia"/>
        </w:rPr>
        <w:t>8</w:t>
      </w:r>
      <w:r>
        <w:rPr>
          <w:rFonts w:hint="eastAsia"/>
        </w:rPr>
        <w:t>岁儿童青少年进行</w:t>
      </w:r>
      <w:r>
        <w:rPr>
          <w:rFonts w:hint="eastAsia"/>
        </w:rPr>
        <w:t>视力和屈光度发育</w:t>
      </w:r>
      <w:r>
        <w:rPr>
          <w:rFonts w:hint="eastAsia"/>
        </w:rPr>
        <w:t>评估。</w:t>
      </w:r>
    </w:p>
    <w:p w:rsidR="00441B2C" w:rsidRDefault="009378CE">
      <w:pPr>
        <w:pStyle w:val="a3"/>
        <w:spacing w:before="312" w:after="312"/>
      </w:pPr>
      <w:bookmarkStart w:id="40" w:name="_Toc9358"/>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dc46da87-ab71-4c36-84f9-a7764d2b39e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441B2C" w:rsidRDefault="009378CE">
          <w:pPr>
            <w:pStyle w:val="a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41B2C" w:rsidRDefault="009378CE">
      <w:pPr>
        <w:pStyle w:val="af1"/>
        <w:ind w:firstLine="420"/>
      </w:pPr>
      <w:r>
        <w:rPr>
          <w:rFonts w:hint="eastAsia"/>
        </w:rPr>
        <w:t xml:space="preserve">GB/T 11533     </w:t>
      </w:r>
      <w:r>
        <w:rPr>
          <w:rFonts w:hint="eastAsia"/>
        </w:rPr>
        <w:t>标准对数视力表</w:t>
      </w:r>
    </w:p>
    <w:p w:rsidR="00441B2C" w:rsidRDefault="009378CE">
      <w:pPr>
        <w:pStyle w:val="af1"/>
        <w:ind w:firstLine="420"/>
      </w:pPr>
      <w:r>
        <w:rPr>
          <w:rFonts w:hint="eastAsia"/>
        </w:rPr>
        <w:t xml:space="preserve">GB/T 26343     </w:t>
      </w:r>
      <w:r>
        <w:rPr>
          <w:rFonts w:hint="eastAsia"/>
        </w:rPr>
        <w:t>学生健康检查技术规范</w:t>
      </w:r>
    </w:p>
    <w:p w:rsidR="00441B2C" w:rsidRDefault="009378CE">
      <w:pPr>
        <w:pStyle w:val="af1"/>
        <w:ind w:firstLine="420"/>
      </w:pPr>
      <w:r>
        <w:rPr>
          <w:rFonts w:hint="eastAsia"/>
        </w:rPr>
        <w:t>WS/T 663-2020</w:t>
      </w:r>
      <w:r w:rsidR="004D7594">
        <w:rPr>
          <w:rFonts w:hint="eastAsia"/>
        </w:rPr>
        <w:t xml:space="preserve">    </w:t>
      </w:r>
      <w:r>
        <w:rPr>
          <w:rFonts w:hint="eastAsia"/>
        </w:rPr>
        <w:t>中小学生屈光不正筛查规范</w:t>
      </w:r>
    </w:p>
    <w:p w:rsidR="00441B2C" w:rsidRDefault="009378CE">
      <w:pPr>
        <w:pStyle w:val="af1"/>
        <w:ind w:firstLine="420"/>
      </w:pPr>
      <w:r>
        <w:rPr>
          <w:rFonts w:hint="eastAsia"/>
        </w:rPr>
        <w:t xml:space="preserve">ISO 10342      </w:t>
      </w:r>
      <w:r>
        <w:rPr>
          <w:rFonts w:hint="eastAsia"/>
        </w:rPr>
        <w:t>眼科仪器验光仪</w:t>
      </w:r>
      <w:r>
        <w:rPr>
          <w:rFonts w:hint="eastAsia"/>
        </w:rPr>
        <w:t xml:space="preserve"> </w:t>
      </w:r>
      <w:r>
        <w:rPr>
          <w:rFonts w:hint="eastAsia"/>
        </w:rPr>
        <w:t>（</w:t>
      </w:r>
      <w:r>
        <w:rPr>
          <w:rFonts w:hint="eastAsia"/>
        </w:rPr>
        <w:t>Ophthalmic instruments</w:t>
      </w:r>
      <w:r>
        <w:rPr>
          <w:rFonts w:hint="eastAsia"/>
        </w:rPr>
        <w:t>—</w:t>
      </w:r>
      <w:r>
        <w:rPr>
          <w:rFonts w:hint="eastAsia"/>
        </w:rPr>
        <w:t>Eye refractometers</w:t>
      </w:r>
      <w:r>
        <w:rPr>
          <w:rFonts w:hint="eastAsia"/>
        </w:rPr>
        <w:t>）</w:t>
      </w:r>
    </w:p>
    <w:p w:rsidR="00441B2C" w:rsidRDefault="009378CE">
      <w:pPr>
        <w:pStyle w:val="a3"/>
        <w:spacing w:before="312" w:after="312"/>
      </w:pPr>
      <w:bookmarkStart w:id="41" w:name="_Toc11593"/>
      <w:r>
        <w:rPr>
          <w:rFonts w:hint="eastAsia"/>
          <w:szCs w:val="21"/>
        </w:rPr>
        <w:t>术语和定义</w:t>
      </w:r>
      <w:bookmarkEnd w:id="41"/>
    </w:p>
    <w:bookmarkStart w:id="42" w:name="_Toc26986532" w:displacedByCustomXml="next"/>
    <w:bookmarkEnd w:id="42" w:displacedByCustomXml="next"/>
    <w:sdt>
      <w:sdtPr>
        <w:id w:val="-1909835108"/>
        <w:placeholder>
          <w:docPart w:val="{f718f94f-cab4-459f-8768-d3caabfb627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441B2C" w:rsidRDefault="009378CE">
          <w:pPr>
            <w:pStyle w:val="af1"/>
            <w:ind w:firstLine="420"/>
          </w:pPr>
          <w:r>
            <w:t>下列术语和定义适用于本文件。</w:t>
          </w:r>
        </w:p>
      </w:sdtContent>
    </w:sdt>
    <w:p w:rsidR="004D7594" w:rsidRDefault="004D7594">
      <w:pPr>
        <w:pStyle w:val="afe"/>
        <w:ind w:left="420" w:hangingChars="200" w:hanging="420"/>
        <w:rPr>
          <w:rFonts w:ascii="黑体" w:eastAsia="黑体" w:hAnsi="黑体" w:hint="eastAsia"/>
        </w:rPr>
      </w:pPr>
    </w:p>
    <w:p w:rsidR="00441B2C" w:rsidRDefault="009378CE" w:rsidP="004D7594">
      <w:pPr>
        <w:pStyle w:val="afe"/>
        <w:numPr>
          <w:ilvl w:val="0"/>
          <w:numId w:val="0"/>
        </w:numPr>
        <w:ind w:left="420"/>
        <w:rPr>
          <w:rFonts w:ascii="黑体" w:eastAsia="黑体" w:hAnsi="黑体"/>
        </w:rPr>
      </w:pPr>
      <w:r>
        <w:rPr>
          <w:rFonts w:ascii="黑体" w:eastAsia="黑体" w:hAnsi="黑体" w:hint="eastAsia"/>
        </w:rPr>
        <w:t>年龄</w:t>
      </w:r>
      <w:r>
        <w:rPr>
          <w:rFonts w:ascii="黑体" w:eastAsia="黑体" w:hAnsi="黑体" w:hint="eastAsia"/>
        </w:rPr>
        <w:t xml:space="preserve"> age</w:t>
      </w:r>
    </w:p>
    <w:p w:rsidR="00441B2C" w:rsidRDefault="009378CE">
      <w:pPr>
        <w:pStyle w:val="af1"/>
        <w:ind w:firstLine="420"/>
      </w:pPr>
      <w:r>
        <w:rPr>
          <w:rFonts w:hint="eastAsia"/>
        </w:rPr>
        <w:t>年龄以</w:t>
      </w:r>
      <w:r>
        <w:rPr>
          <w:rFonts w:hint="eastAsia"/>
        </w:rPr>
        <w:t>1</w:t>
      </w:r>
      <w:r>
        <w:rPr>
          <w:rFonts w:hint="eastAsia"/>
        </w:rPr>
        <w:t>岁为单位，根据四舍五入的原则采用实足年龄的整数年龄。</w:t>
      </w:r>
      <w:r>
        <w:rPr>
          <w:rFonts w:hint="eastAsia"/>
        </w:rPr>
        <w:t xml:space="preserve"> </w:t>
      </w:r>
    </w:p>
    <w:p w:rsidR="00441B2C" w:rsidRDefault="009378CE">
      <w:pPr>
        <w:pStyle w:val="af1"/>
        <w:ind w:firstLine="420"/>
      </w:pPr>
      <w:r>
        <w:rPr>
          <w:rFonts w:hint="eastAsia"/>
        </w:rPr>
        <w:t>实足年龄</w:t>
      </w:r>
      <w:r>
        <w:rPr>
          <w:rFonts w:hint="eastAsia"/>
        </w:rPr>
        <w:t>=</w:t>
      </w:r>
      <w:r>
        <w:rPr>
          <w:rFonts w:hint="eastAsia"/>
        </w:rPr>
        <w:t>调查年月日－出生年月日。</w:t>
      </w:r>
    </w:p>
    <w:p w:rsidR="004D7594" w:rsidRDefault="004D7594">
      <w:pPr>
        <w:pStyle w:val="afe"/>
        <w:ind w:left="420" w:hangingChars="200" w:hanging="420"/>
        <w:rPr>
          <w:rFonts w:ascii="黑体" w:eastAsia="黑体" w:hAnsi="黑体" w:hint="eastAsia"/>
        </w:rPr>
      </w:pPr>
    </w:p>
    <w:p w:rsidR="00441B2C" w:rsidRDefault="009378CE" w:rsidP="004D7594">
      <w:pPr>
        <w:pStyle w:val="afe"/>
        <w:numPr>
          <w:ilvl w:val="0"/>
          <w:numId w:val="0"/>
        </w:numPr>
        <w:ind w:left="420"/>
        <w:rPr>
          <w:rFonts w:ascii="黑体" w:eastAsia="黑体" w:hAnsi="黑体"/>
        </w:rPr>
      </w:pPr>
      <w:r>
        <w:rPr>
          <w:rFonts w:ascii="黑体" w:eastAsia="黑体" w:hAnsi="黑体" w:hint="eastAsia"/>
        </w:rPr>
        <w:t>裸眼视力</w:t>
      </w:r>
      <w:r>
        <w:rPr>
          <w:rFonts w:ascii="黑体" w:eastAsia="黑体" w:hAnsi="黑体" w:hint="eastAsia"/>
        </w:rPr>
        <w:t xml:space="preserve"> uncorrected visual acuity</w:t>
      </w:r>
    </w:p>
    <w:p w:rsidR="00441B2C" w:rsidRDefault="009378CE">
      <w:pPr>
        <w:pStyle w:val="af1"/>
        <w:ind w:firstLine="420"/>
      </w:pPr>
      <w:r>
        <w:rPr>
          <w:rFonts w:hint="eastAsia"/>
        </w:rPr>
        <w:t>又称未矫正视力，指未经任何光学镜片矫正所测得的视力，包括裸眼远视力和裸眼近视力。</w:t>
      </w:r>
      <w:r>
        <w:rPr>
          <w:rFonts w:hint="eastAsia"/>
        </w:rPr>
        <w:t>本文件指裸眼远视力。</w:t>
      </w:r>
    </w:p>
    <w:p w:rsidR="004D7594" w:rsidRDefault="004D7594">
      <w:pPr>
        <w:pStyle w:val="afe"/>
        <w:ind w:left="420" w:hangingChars="200" w:hanging="420"/>
        <w:rPr>
          <w:rFonts w:ascii="黑体" w:eastAsia="黑体" w:hAnsi="黑体" w:hint="eastAsia"/>
        </w:rPr>
      </w:pPr>
    </w:p>
    <w:p w:rsidR="00441B2C" w:rsidRDefault="009378CE" w:rsidP="004D7594">
      <w:pPr>
        <w:pStyle w:val="afe"/>
        <w:numPr>
          <w:ilvl w:val="0"/>
          <w:numId w:val="0"/>
        </w:numPr>
        <w:ind w:left="420"/>
        <w:rPr>
          <w:rFonts w:ascii="黑体" w:eastAsia="黑体" w:hAnsi="黑体"/>
        </w:rPr>
      </w:pPr>
      <w:r>
        <w:rPr>
          <w:rFonts w:ascii="黑体" w:eastAsia="黑体" w:hAnsi="黑体" w:hint="eastAsia"/>
        </w:rPr>
        <w:t>屈光度</w:t>
      </w:r>
      <w:r>
        <w:rPr>
          <w:rFonts w:ascii="黑体" w:eastAsia="黑体" w:hAnsi="黑体" w:hint="eastAsia"/>
        </w:rPr>
        <w:t xml:space="preserve"> diopter</w:t>
      </w:r>
    </w:p>
    <w:p w:rsidR="00441B2C" w:rsidRDefault="009378CE">
      <w:pPr>
        <w:pStyle w:val="af1"/>
        <w:ind w:firstLine="420"/>
      </w:pPr>
      <w:r>
        <w:rPr>
          <w:rFonts w:hint="eastAsia"/>
        </w:rPr>
        <w:t>屈光现象大小（屈光力）的单位，以</w:t>
      </w:r>
      <w:r>
        <w:rPr>
          <w:rFonts w:hint="eastAsia"/>
        </w:rPr>
        <w:t>D</w:t>
      </w:r>
      <w:r>
        <w:rPr>
          <w:rFonts w:hint="eastAsia"/>
        </w:rPr>
        <w:t>表示。本标准所涉及屈光度系等效球镜度数。</w:t>
      </w:r>
    </w:p>
    <w:p w:rsidR="004D7594" w:rsidRDefault="004D7594">
      <w:pPr>
        <w:pStyle w:val="afe"/>
        <w:ind w:left="420" w:hangingChars="200" w:hanging="420"/>
        <w:rPr>
          <w:rFonts w:ascii="黑体" w:eastAsia="黑体" w:hAnsi="黑体" w:hint="eastAsia"/>
        </w:rPr>
      </w:pPr>
    </w:p>
    <w:p w:rsidR="00441B2C" w:rsidRDefault="009378CE" w:rsidP="004D7594">
      <w:pPr>
        <w:pStyle w:val="afe"/>
        <w:numPr>
          <w:ilvl w:val="0"/>
          <w:numId w:val="0"/>
        </w:numPr>
        <w:ind w:left="420"/>
        <w:rPr>
          <w:rFonts w:ascii="黑体" w:eastAsia="黑体" w:hAnsi="黑体"/>
        </w:rPr>
      </w:pPr>
      <w:r>
        <w:rPr>
          <w:rFonts w:ascii="黑体" w:eastAsia="黑体" w:hAnsi="黑体" w:hint="eastAsia"/>
        </w:rPr>
        <w:t>等效球镜度数</w:t>
      </w:r>
      <w:r>
        <w:rPr>
          <w:rFonts w:ascii="黑体" w:eastAsia="黑体" w:hAnsi="黑体" w:hint="eastAsia"/>
        </w:rPr>
        <w:t xml:space="preserve"> spherical equivalent; SE</w:t>
      </w:r>
    </w:p>
    <w:p w:rsidR="00441B2C" w:rsidRDefault="009378CE">
      <w:pPr>
        <w:pStyle w:val="af1"/>
        <w:ind w:firstLine="420"/>
      </w:pPr>
      <w:r>
        <w:rPr>
          <w:rFonts w:hint="eastAsia"/>
        </w:rPr>
        <w:t>球镜度数加上</w:t>
      </w:r>
      <w:r>
        <w:rPr>
          <w:rFonts w:hint="eastAsia"/>
        </w:rPr>
        <w:t>1/</w:t>
      </w:r>
      <w:r>
        <w:t>2</w:t>
      </w:r>
      <w:proofErr w:type="gramStart"/>
      <w:r>
        <w:rPr>
          <w:rFonts w:hint="eastAsia"/>
        </w:rPr>
        <w:t>柱镜度数</w:t>
      </w:r>
      <w:proofErr w:type="gramEnd"/>
      <w:r>
        <w:rPr>
          <w:rFonts w:hint="eastAsia"/>
        </w:rPr>
        <w:t>。</w:t>
      </w:r>
    </w:p>
    <w:p w:rsidR="00441B2C" w:rsidRDefault="009378CE">
      <w:pPr>
        <w:pStyle w:val="af1"/>
        <w:ind w:firstLine="420"/>
      </w:pPr>
      <w:r>
        <w:rPr>
          <w:rFonts w:hint="eastAsia"/>
        </w:rPr>
        <w:t>[</w:t>
      </w:r>
      <w:r>
        <w:rPr>
          <w:rFonts w:hint="eastAsia"/>
        </w:rPr>
        <w:t>来源</w:t>
      </w:r>
      <w:r>
        <w:rPr>
          <w:rFonts w:hint="eastAsia"/>
        </w:rPr>
        <w:t>：</w:t>
      </w:r>
      <w:r>
        <w:rPr>
          <w:rFonts w:hint="eastAsia"/>
        </w:rPr>
        <w:t>W</w:t>
      </w:r>
      <w:r>
        <w:t xml:space="preserve">S/T 663-2020 </w:t>
      </w:r>
      <w:r>
        <w:rPr>
          <w:rFonts w:hint="eastAsia"/>
        </w:rPr>
        <w:t>中小学生屈光不正筛查规范</w:t>
      </w:r>
      <w:r>
        <w:rPr>
          <w:rFonts w:hint="eastAsia"/>
        </w:rPr>
        <w:t>]</w:t>
      </w:r>
    </w:p>
    <w:p w:rsidR="004D7594" w:rsidRDefault="004D7594">
      <w:pPr>
        <w:pStyle w:val="afe"/>
        <w:ind w:left="420" w:hangingChars="200" w:hanging="420"/>
        <w:rPr>
          <w:rFonts w:ascii="黑体" w:eastAsia="黑体" w:hAnsi="黑体" w:hint="eastAsia"/>
        </w:rPr>
      </w:pPr>
    </w:p>
    <w:p w:rsidR="00441B2C" w:rsidRDefault="009378CE" w:rsidP="004D7594">
      <w:pPr>
        <w:pStyle w:val="afe"/>
        <w:numPr>
          <w:ilvl w:val="0"/>
          <w:numId w:val="0"/>
        </w:numPr>
        <w:ind w:left="420"/>
        <w:rPr>
          <w:rFonts w:ascii="黑体" w:eastAsia="黑体" w:hAnsi="黑体"/>
        </w:rPr>
      </w:pPr>
      <w:r>
        <w:rPr>
          <w:rFonts w:ascii="黑体" w:eastAsia="黑体" w:hAnsi="黑体" w:hint="eastAsia"/>
        </w:rPr>
        <w:t>远视储备量</w:t>
      </w:r>
      <w:r>
        <w:rPr>
          <w:rFonts w:ascii="黑体" w:eastAsia="黑体" w:hAnsi="黑体" w:hint="eastAsia"/>
        </w:rPr>
        <w:t xml:space="preserve"> hyperopia reserve</w:t>
      </w:r>
    </w:p>
    <w:p w:rsidR="00441B2C" w:rsidRDefault="009378CE">
      <w:pPr>
        <w:pStyle w:val="af1"/>
        <w:ind w:firstLine="420"/>
      </w:pPr>
      <w:r>
        <w:rPr>
          <w:rFonts w:hint="eastAsia"/>
        </w:rPr>
        <w:t>对裸眼视力正常的儿童青少年进行</w:t>
      </w:r>
      <w:r>
        <w:rPr>
          <w:rFonts w:hint="eastAsia"/>
        </w:rPr>
        <w:t>睫状肌麻痹（散</w:t>
      </w:r>
      <w:proofErr w:type="gramStart"/>
      <w:r>
        <w:rPr>
          <w:rFonts w:hint="eastAsia"/>
        </w:rPr>
        <w:t>瞳</w:t>
      </w:r>
      <w:proofErr w:type="gramEnd"/>
      <w:r>
        <w:rPr>
          <w:rFonts w:hint="eastAsia"/>
        </w:rPr>
        <w:t>）</w:t>
      </w:r>
      <w:r>
        <w:rPr>
          <w:rFonts w:hint="eastAsia"/>
        </w:rPr>
        <w:t>验光后得到的远视屈光度。</w:t>
      </w:r>
    </w:p>
    <w:p w:rsidR="00441B2C" w:rsidRDefault="009378CE">
      <w:pPr>
        <w:pStyle w:val="a3"/>
        <w:spacing w:before="312" w:after="312"/>
      </w:pPr>
      <w:bookmarkStart w:id="43" w:name="_Toc27682"/>
      <w:r>
        <w:rPr>
          <w:rFonts w:hint="eastAsia"/>
        </w:rPr>
        <w:t>测量要求</w:t>
      </w:r>
      <w:bookmarkEnd w:id="43"/>
    </w:p>
    <w:p w:rsidR="00441B2C" w:rsidRPr="004D7594" w:rsidRDefault="009378CE" w:rsidP="004D7594">
      <w:pPr>
        <w:pStyle w:val="a4"/>
        <w:spacing w:before="156" w:after="156"/>
      </w:pPr>
      <w:r w:rsidRPr="004D7594">
        <w:rPr>
          <w:rFonts w:hint="eastAsia"/>
        </w:rPr>
        <w:lastRenderedPageBreak/>
        <w:t>裸眼视力测量要求</w:t>
      </w:r>
    </w:p>
    <w:p w:rsidR="00441B2C" w:rsidRDefault="009378CE" w:rsidP="00D650EC">
      <w:pPr>
        <w:pStyle w:val="af1"/>
        <w:ind w:firstLine="420"/>
      </w:pPr>
      <w:r>
        <w:rPr>
          <w:rFonts w:hint="eastAsia"/>
        </w:rPr>
        <w:t>裸眼视力的测量按照</w:t>
      </w:r>
      <w:r>
        <w:rPr>
          <w:rFonts w:hint="eastAsia"/>
        </w:rPr>
        <w:t>GB/T 11533</w:t>
      </w:r>
      <w:r>
        <w:rPr>
          <w:rFonts w:hint="eastAsia"/>
        </w:rPr>
        <w:t>执行。</w:t>
      </w:r>
    </w:p>
    <w:p w:rsidR="00441B2C" w:rsidRDefault="009378CE">
      <w:pPr>
        <w:pStyle w:val="a4"/>
        <w:spacing w:before="156" w:after="156"/>
      </w:pPr>
      <w:r>
        <w:rPr>
          <w:rFonts w:hint="eastAsia"/>
        </w:rPr>
        <w:t>屈光度测量要求</w:t>
      </w:r>
    </w:p>
    <w:p w:rsidR="00441B2C" w:rsidRDefault="009378CE" w:rsidP="004D7594">
      <w:pPr>
        <w:pStyle w:val="a4"/>
        <w:numPr>
          <w:ilvl w:val="2"/>
          <w:numId w:val="0"/>
        </w:numPr>
        <w:spacing w:before="156" w:after="156"/>
      </w:pPr>
      <w:r>
        <w:rPr>
          <w:rFonts w:hint="eastAsia"/>
        </w:rPr>
        <w:t xml:space="preserve">4.2.1 </w:t>
      </w:r>
      <w:r>
        <w:rPr>
          <w:rFonts w:hint="eastAsia"/>
        </w:rPr>
        <w:t>测量条件</w:t>
      </w:r>
    </w:p>
    <w:p w:rsidR="00441B2C" w:rsidRDefault="009378CE">
      <w:pPr>
        <w:pStyle w:val="af1"/>
        <w:ind w:firstLine="420"/>
      </w:pPr>
      <w:r>
        <w:rPr>
          <w:rFonts w:hint="eastAsia"/>
        </w:rPr>
        <w:t>屈光度测量应在睫状肌麻痹后进行。</w:t>
      </w:r>
      <w:r>
        <w:rPr>
          <w:rFonts w:hint="eastAsia"/>
        </w:rPr>
        <w:t>儿童心脏病、颅脑外伤、痉挛性麻痹、唐氏综合征、癫痫以及对药物成分过敏者不宜进行睫状肌麻痹。</w:t>
      </w:r>
    </w:p>
    <w:p w:rsidR="00441B2C" w:rsidRDefault="009378CE">
      <w:pPr>
        <w:pStyle w:val="a4"/>
        <w:numPr>
          <w:ilvl w:val="2"/>
          <w:numId w:val="0"/>
        </w:numPr>
        <w:spacing w:before="156" w:after="156"/>
      </w:pPr>
      <w:bookmarkStart w:id="44" w:name="_Toc25336"/>
      <w:r>
        <w:rPr>
          <w:rFonts w:hint="eastAsia"/>
        </w:rPr>
        <w:t xml:space="preserve">4.2.2 </w:t>
      </w:r>
      <w:r>
        <w:rPr>
          <w:rFonts w:hint="eastAsia"/>
        </w:rPr>
        <w:t>测量仪器</w:t>
      </w:r>
      <w:bookmarkEnd w:id="44"/>
    </w:p>
    <w:p w:rsidR="00441B2C" w:rsidRDefault="009378CE">
      <w:pPr>
        <w:pStyle w:val="aff0"/>
        <w:numPr>
          <w:ilvl w:val="3"/>
          <w:numId w:val="0"/>
        </w:numPr>
        <w:ind w:firstLineChars="200" w:firstLine="420"/>
      </w:pPr>
      <w:r>
        <w:rPr>
          <w:rFonts w:hint="eastAsia"/>
        </w:rPr>
        <w:t>屈光度测量应采用自动电脑验光仪进行，自动电脑验光仪应符合</w:t>
      </w:r>
      <w:r>
        <w:rPr>
          <w:rFonts w:hint="eastAsia"/>
        </w:rPr>
        <w:t xml:space="preserve">ISO </w:t>
      </w:r>
      <w:r>
        <w:rPr>
          <w:rFonts w:hint="eastAsia"/>
        </w:rPr>
        <w:t>10342</w:t>
      </w:r>
      <w:r>
        <w:rPr>
          <w:rFonts w:hint="eastAsia"/>
        </w:rPr>
        <w:t>的要求。测量前应用模拟眼校准仪器，</w:t>
      </w:r>
      <w:proofErr w:type="gramStart"/>
      <w:r>
        <w:rPr>
          <w:rFonts w:hint="eastAsia"/>
        </w:rPr>
        <w:t>柱镜度</w:t>
      </w:r>
      <w:proofErr w:type="gramEnd"/>
      <w:r>
        <w:rPr>
          <w:rFonts w:hint="eastAsia"/>
        </w:rPr>
        <w:t>设为负值。</w:t>
      </w:r>
    </w:p>
    <w:p w:rsidR="00441B2C" w:rsidRDefault="009378CE">
      <w:pPr>
        <w:pStyle w:val="a4"/>
        <w:numPr>
          <w:ilvl w:val="2"/>
          <w:numId w:val="0"/>
        </w:numPr>
        <w:spacing w:before="156" w:after="156"/>
      </w:pPr>
      <w:bookmarkStart w:id="45" w:name="_Toc12048"/>
      <w:r>
        <w:rPr>
          <w:rFonts w:hint="eastAsia"/>
        </w:rPr>
        <w:t>4.2.3</w:t>
      </w:r>
      <w:r>
        <w:rPr>
          <w:rFonts w:hint="eastAsia"/>
        </w:rPr>
        <w:t>测量次数和记录</w:t>
      </w:r>
      <w:bookmarkEnd w:id="45"/>
    </w:p>
    <w:p w:rsidR="00441B2C" w:rsidRDefault="009378CE">
      <w:pPr>
        <w:pStyle w:val="af1"/>
        <w:ind w:firstLine="420"/>
      </w:pPr>
      <w:r>
        <w:rPr>
          <w:rFonts w:hint="eastAsia"/>
        </w:rPr>
        <w:t>测量</w:t>
      </w:r>
      <w:r>
        <w:rPr>
          <w:rFonts w:hint="eastAsia"/>
        </w:rPr>
        <w:t>3</w:t>
      </w:r>
      <w:r>
        <w:rPr>
          <w:rFonts w:hint="eastAsia"/>
        </w:rPr>
        <w:t>次取平均值，测量值保留两位小数进行记录。</w:t>
      </w:r>
    </w:p>
    <w:p w:rsidR="00441B2C" w:rsidRDefault="009378CE">
      <w:pPr>
        <w:pStyle w:val="a3"/>
        <w:spacing w:before="312" w:after="312"/>
      </w:pPr>
      <w:bookmarkStart w:id="46" w:name="_Toc14190"/>
      <w:bookmarkStart w:id="47" w:name="_GoBack"/>
      <w:bookmarkEnd w:id="47"/>
      <w:r>
        <w:rPr>
          <w:rFonts w:hint="eastAsia"/>
        </w:rPr>
        <w:t>评价参考值</w:t>
      </w:r>
    </w:p>
    <w:p w:rsidR="00441B2C" w:rsidRDefault="009378CE">
      <w:pPr>
        <w:pStyle w:val="a3"/>
        <w:numPr>
          <w:ilvl w:val="1"/>
          <w:numId w:val="0"/>
        </w:numPr>
        <w:spacing w:before="312" w:after="312"/>
      </w:pPr>
      <w:r>
        <w:rPr>
          <w:rFonts w:hint="eastAsia"/>
        </w:rPr>
        <w:t xml:space="preserve">5.1 </w:t>
      </w:r>
      <w:r>
        <w:rPr>
          <w:rFonts w:hint="eastAsia"/>
        </w:rPr>
        <w:t>裸眼视力第</w:t>
      </w:r>
      <w:r>
        <w:rPr>
          <w:rFonts w:hint="eastAsia"/>
        </w:rPr>
        <w:t>25</w:t>
      </w:r>
      <w:proofErr w:type="gramStart"/>
      <w:r>
        <w:rPr>
          <w:rFonts w:hint="eastAsia"/>
        </w:rPr>
        <w:t>百</w:t>
      </w:r>
      <w:proofErr w:type="gramEnd"/>
      <w:r>
        <w:rPr>
          <w:rFonts w:hint="eastAsia"/>
        </w:rPr>
        <w:t>分位数值</w:t>
      </w:r>
      <w:bookmarkEnd w:id="46"/>
    </w:p>
    <w:p w:rsidR="00441B2C" w:rsidRDefault="009378CE">
      <w:pPr>
        <w:pStyle w:val="af1"/>
        <w:ind w:firstLine="420"/>
      </w:pPr>
      <w:r>
        <w:rPr>
          <w:rFonts w:hint="eastAsia"/>
        </w:rPr>
        <w:t>表</w:t>
      </w:r>
      <w:r>
        <w:rPr>
          <w:rFonts w:hint="eastAsia"/>
        </w:rPr>
        <w:t>1</w:t>
      </w:r>
      <w:r>
        <w:rPr>
          <w:rFonts w:hint="eastAsia"/>
        </w:rPr>
        <w:t>为</w:t>
      </w:r>
      <w:r>
        <w:rPr>
          <w:rFonts w:hint="eastAsia"/>
        </w:rPr>
        <w:t>3</w:t>
      </w:r>
      <w:r>
        <w:rPr>
          <w:rFonts w:hint="eastAsia"/>
        </w:rPr>
        <w:t>岁～</w:t>
      </w:r>
      <w:r>
        <w:rPr>
          <w:rFonts w:hint="eastAsia"/>
        </w:rPr>
        <w:t>1</w:t>
      </w:r>
      <w:r>
        <w:rPr>
          <w:rFonts w:hint="eastAsia"/>
        </w:rPr>
        <w:t>8</w:t>
      </w:r>
      <w:r>
        <w:rPr>
          <w:rFonts w:hint="eastAsia"/>
        </w:rPr>
        <w:t>岁儿童青少年</w:t>
      </w:r>
      <w:r>
        <w:rPr>
          <w:rFonts w:hint="eastAsia"/>
        </w:rPr>
        <w:t>裸眼视力</w:t>
      </w:r>
      <w:r>
        <w:rPr>
          <w:rFonts w:hint="eastAsia"/>
        </w:rPr>
        <w:t>第</w:t>
      </w:r>
      <w:r>
        <w:rPr>
          <w:rFonts w:hint="eastAsia"/>
        </w:rPr>
        <w:t>25</w:t>
      </w:r>
      <w:proofErr w:type="gramStart"/>
      <w:r>
        <w:rPr>
          <w:rFonts w:hint="eastAsia"/>
        </w:rPr>
        <w:t>百</w:t>
      </w:r>
      <w:proofErr w:type="gramEnd"/>
      <w:r>
        <w:rPr>
          <w:rFonts w:hint="eastAsia"/>
        </w:rPr>
        <w:t>分位数（</w:t>
      </w:r>
      <w:r>
        <w:rPr>
          <w:rFonts w:hint="eastAsia"/>
          <w:i/>
          <w:iCs/>
        </w:rPr>
        <w:t>P</w:t>
      </w:r>
      <w:r>
        <w:rPr>
          <w:rFonts w:hint="eastAsia"/>
          <w:vertAlign w:val="subscript"/>
        </w:rPr>
        <w:t>25</w:t>
      </w:r>
      <w:r>
        <w:rPr>
          <w:rFonts w:hint="eastAsia"/>
        </w:rPr>
        <w:t>）</w:t>
      </w:r>
      <w:r>
        <w:rPr>
          <w:rFonts w:hint="eastAsia"/>
        </w:rPr>
        <w:t>。</w:t>
      </w:r>
    </w:p>
    <w:p w:rsidR="00441B2C" w:rsidRDefault="009378CE">
      <w:pPr>
        <w:pStyle w:val="af1"/>
        <w:ind w:firstLine="420"/>
      </w:pPr>
      <w:r>
        <w:t>裸眼视力测量值不高于</w:t>
      </w:r>
      <w:r>
        <w:rPr>
          <w:rFonts w:hint="eastAsia"/>
        </w:rPr>
        <w:t>表</w:t>
      </w:r>
      <w:r>
        <w:rPr>
          <w:rFonts w:hint="eastAsia"/>
        </w:rPr>
        <w:t>1</w:t>
      </w:r>
      <w:r>
        <w:rPr>
          <w:rFonts w:hint="eastAsia"/>
        </w:rPr>
        <w:t>中数值</w:t>
      </w:r>
      <w:r>
        <w:t>的儿童青少年判定测量结果为裸眼视力异常，应到具备有效的医疗机构执业许可证的医疗机构进行</w:t>
      </w:r>
      <w:r>
        <w:rPr>
          <w:rFonts w:hint="eastAsia"/>
        </w:rPr>
        <w:t>检查</w:t>
      </w:r>
      <w:r>
        <w:t>。</w:t>
      </w:r>
      <w:r>
        <w:rPr>
          <w:rFonts w:hint="eastAsia"/>
        </w:rPr>
        <w:t>如明确为近视、散光、高度远视等屈光不正，宜在医生指导下及时采取矫治措施。如明确为斜视、弱视和先天性白内障等，应遵医生方案及时治疗。</w:t>
      </w:r>
    </w:p>
    <w:p w:rsidR="00441B2C" w:rsidRDefault="009378CE">
      <w:pPr>
        <w:pStyle w:val="aff0"/>
        <w:numPr>
          <w:ilvl w:val="3"/>
          <w:numId w:val="0"/>
        </w:numPr>
        <w:ind w:firstLineChars="200" w:firstLine="420"/>
      </w:pPr>
      <w:r>
        <w:t>裸眼视力测</w:t>
      </w:r>
      <w:r>
        <w:t>量值高于</w:t>
      </w:r>
      <w:r>
        <w:rPr>
          <w:rFonts w:hint="eastAsia"/>
        </w:rPr>
        <w:t>表</w:t>
      </w:r>
      <w:r>
        <w:rPr>
          <w:rFonts w:hint="eastAsia"/>
        </w:rPr>
        <w:t>1</w:t>
      </w:r>
      <w:r>
        <w:rPr>
          <w:rFonts w:hint="eastAsia"/>
        </w:rPr>
        <w:t>中</w:t>
      </w:r>
      <w:r>
        <w:t>的儿童青少年判定为裸眼视力正常，</w:t>
      </w:r>
      <w:r>
        <w:rPr>
          <w:rFonts w:hint="eastAsia"/>
        </w:rPr>
        <w:t>应</w:t>
      </w:r>
      <w:r>
        <w:t>每</w:t>
      </w:r>
      <w:r>
        <w:t>3</w:t>
      </w:r>
      <w:r>
        <w:t>～</w:t>
      </w:r>
      <w:r>
        <w:t>6</w:t>
      </w:r>
      <w:r>
        <w:t>个月</w:t>
      </w:r>
      <w:r>
        <w:rPr>
          <w:rFonts w:hint="eastAsia"/>
        </w:rPr>
        <w:t>检</w:t>
      </w:r>
      <w:r>
        <w:t>查裸眼视力。</w:t>
      </w:r>
    </w:p>
    <w:p w:rsidR="00441B2C" w:rsidRDefault="009378CE">
      <w:pPr>
        <w:pStyle w:val="a3"/>
        <w:numPr>
          <w:ilvl w:val="1"/>
          <w:numId w:val="0"/>
        </w:numPr>
        <w:spacing w:before="312" w:after="312"/>
      </w:pPr>
      <w:r>
        <w:rPr>
          <w:rFonts w:hint="eastAsia"/>
        </w:rPr>
        <w:t xml:space="preserve">5.2 </w:t>
      </w:r>
      <w:r>
        <w:rPr>
          <w:rFonts w:hint="eastAsia"/>
        </w:rPr>
        <w:t>屈光度参考值</w:t>
      </w:r>
    </w:p>
    <w:p w:rsidR="00441B2C" w:rsidRDefault="009378CE">
      <w:pPr>
        <w:pStyle w:val="af1"/>
        <w:ind w:firstLine="420"/>
      </w:pPr>
      <w:r>
        <w:rPr>
          <w:rFonts w:hint="eastAsia"/>
        </w:rPr>
        <w:t>表</w:t>
      </w:r>
      <w:r>
        <w:rPr>
          <w:rFonts w:hint="eastAsia"/>
        </w:rPr>
        <w:t>2</w:t>
      </w:r>
      <w:r>
        <w:rPr>
          <w:rFonts w:hint="eastAsia"/>
        </w:rPr>
        <w:t>为</w:t>
      </w:r>
      <w:r>
        <w:rPr>
          <w:rFonts w:hint="eastAsia"/>
        </w:rPr>
        <w:t>3</w:t>
      </w:r>
      <w:r>
        <w:rPr>
          <w:rFonts w:hint="eastAsia"/>
        </w:rPr>
        <w:t>岁～</w:t>
      </w:r>
      <w:r>
        <w:rPr>
          <w:rFonts w:hint="eastAsia"/>
        </w:rPr>
        <w:t>16</w:t>
      </w:r>
      <w:r>
        <w:rPr>
          <w:rFonts w:hint="eastAsia"/>
        </w:rPr>
        <w:t>岁儿童青少年屈光度参考值。</w:t>
      </w:r>
    </w:p>
    <w:p w:rsidR="00441B2C" w:rsidRDefault="009378CE">
      <w:pPr>
        <w:pStyle w:val="af1"/>
        <w:ind w:firstLine="420"/>
      </w:pPr>
      <w:r>
        <w:rPr>
          <w:rFonts w:hint="eastAsia"/>
        </w:rPr>
        <w:t>低于该参考值，属于远视储备量不足，</w:t>
      </w:r>
      <w:r>
        <w:rPr>
          <w:rFonts w:hint="eastAsia"/>
        </w:rPr>
        <w:t>应确保充足的户外活动时间，严格注意用眼卫生和改善用眼环境，必要时在医生指导下采取其它干预措施</w:t>
      </w:r>
      <w:r>
        <w:rPr>
          <w:rFonts w:hint="eastAsia"/>
        </w:rPr>
        <w:t>。</w:t>
      </w:r>
    </w:p>
    <w:p w:rsidR="00441B2C" w:rsidRDefault="00441B2C">
      <w:pPr>
        <w:pStyle w:val="aff0"/>
        <w:numPr>
          <w:ilvl w:val="3"/>
          <w:numId w:val="0"/>
        </w:numPr>
      </w:pPr>
    </w:p>
    <w:p w:rsidR="00441B2C" w:rsidRDefault="00441B2C">
      <w:pPr>
        <w:pStyle w:val="aff0"/>
        <w:numPr>
          <w:ilvl w:val="3"/>
          <w:numId w:val="0"/>
        </w:numPr>
        <w:ind w:firstLineChars="200" w:firstLine="420"/>
      </w:pPr>
    </w:p>
    <w:p w:rsidR="00441B2C" w:rsidRDefault="00441B2C">
      <w:pPr>
        <w:pStyle w:val="aff0"/>
        <w:numPr>
          <w:ilvl w:val="3"/>
          <w:numId w:val="0"/>
        </w:numPr>
        <w:ind w:firstLineChars="200" w:firstLine="420"/>
      </w:pPr>
    </w:p>
    <w:p w:rsidR="00441B2C" w:rsidRDefault="00441B2C">
      <w:pPr>
        <w:pStyle w:val="aff0"/>
        <w:numPr>
          <w:ilvl w:val="3"/>
          <w:numId w:val="0"/>
        </w:numPr>
        <w:ind w:firstLineChars="200" w:firstLine="420"/>
      </w:pPr>
    </w:p>
    <w:p w:rsidR="00441B2C" w:rsidRDefault="00441B2C">
      <w:pPr>
        <w:pStyle w:val="aff0"/>
        <w:numPr>
          <w:ilvl w:val="3"/>
          <w:numId w:val="0"/>
        </w:numPr>
        <w:ind w:firstLineChars="200" w:firstLine="420"/>
      </w:pPr>
    </w:p>
    <w:p w:rsidR="00441B2C" w:rsidRDefault="00441B2C">
      <w:pPr>
        <w:pStyle w:val="aff0"/>
        <w:numPr>
          <w:ilvl w:val="3"/>
          <w:numId w:val="0"/>
        </w:numPr>
        <w:ind w:firstLineChars="200" w:firstLine="420"/>
      </w:pPr>
    </w:p>
    <w:p w:rsidR="00441B2C" w:rsidRDefault="009378CE">
      <w:r>
        <w:rPr>
          <w:rFonts w:hint="eastAsia"/>
        </w:rPr>
        <w:br w:type="page"/>
      </w:r>
    </w:p>
    <w:p w:rsidR="00441B2C" w:rsidRDefault="009378CE">
      <w:pPr>
        <w:pStyle w:val="aff0"/>
        <w:numPr>
          <w:ilvl w:val="3"/>
          <w:numId w:val="0"/>
        </w:numPr>
        <w:jc w:val="center"/>
        <w:rPr>
          <w:sz w:val="18"/>
          <w:szCs w:val="18"/>
        </w:rPr>
      </w:pPr>
      <w:r>
        <w:rPr>
          <w:rFonts w:hint="eastAsia"/>
          <w:sz w:val="18"/>
          <w:szCs w:val="18"/>
        </w:rPr>
        <w:lastRenderedPageBreak/>
        <w:t>表</w:t>
      </w:r>
      <w:r>
        <w:rPr>
          <w:rFonts w:hint="eastAsia"/>
          <w:sz w:val="18"/>
          <w:szCs w:val="18"/>
        </w:rPr>
        <w:t>1. 3</w:t>
      </w:r>
      <w:r>
        <w:rPr>
          <w:rFonts w:hint="eastAsia"/>
          <w:sz w:val="18"/>
          <w:szCs w:val="18"/>
        </w:rPr>
        <w:t>岁～</w:t>
      </w:r>
      <w:r>
        <w:rPr>
          <w:rFonts w:hint="eastAsia"/>
          <w:sz w:val="18"/>
          <w:szCs w:val="18"/>
        </w:rPr>
        <w:t>18</w:t>
      </w:r>
      <w:r>
        <w:rPr>
          <w:rFonts w:hint="eastAsia"/>
          <w:sz w:val="18"/>
          <w:szCs w:val="18"/>
        </w:rPr>
        <w:t>岁儿童青少年裸眼视力第</w:t>
      </w:r>
      <w:r>
        <w:rPr>
          <w:rFonts w:hint="eastAsia"/>
          <w:sz w:val="18"/>
          <w:szCs w:val="18"/>
        </w:rPr>
        <w:t>25</w:t>
      </w:r>
      <w:proofErr w:type="gramStart"/>
      <w:r>
        <w:rPr>
          <w:rFonts w:hint="eastAsia"/>
          <w:sz w:val="18"/>
          <w:szCs w:val="18"/>
        </w:rPr>
        <w:t>百</w:t>
      </w:r>
      <w:proofErr w:type="gramEnd"/>
      <w:r>
        <w:rPr>
          <w:rFonts w:hint="eastAsia"/>
          <w:sz w:val="18"/>
          <w:szCs w:val="18"/>
        </w:rPr>
        <w:t>分位数值</w:t>
      </w:r>
    </w:p>
    <w:tbl>
      <w:tblPr>
        <w:tblW w:w="7060" w:type="dxa"/>
        <w:jc w:val="center"/>
        <w:tblCellSpacing w:w="0" w:type="dxa"/>
        <w:tblLayout w:type="fixed"/>
        <w:tblCellMar>
          <w:left w:w="0" w:type="dxa"/>
          <w:right w:w="0" w:type="dxa"/>
        </w:tblCellMar>
        <w:tblLook w:val="04A0" w:firstRow="1" w:lastRow="0" w:firstColumn="1" w:lastColumn="0" w:noHBand="0" w:noVBand="1"/>
      </w:tblPr>
      <w:tblGrid>
        <w:gridCol w:w="3530"/>
        <w:gridCol w:w="3530"/>
      </w:tblGrid>
      <w:tr w:rsidR="00441B2C">
        <w:trPr>
          <w:trHeight w:val="600"/>
          <w:tblCellSpacing w:w="0" w:type="dxa"/>
          <w:jc w:val="center"/>
        </w:trPr>
        <w:tc>
          <w:tcPr>
            <w:tcW w:w="3530" w:type="dxa"/>
            <w:tcBorders>
              <w:top w:val="single" w:sz="4" w:space="0" w:color="auto"/>
              <w:left w:val="single" w:sz="0" w:space="0" w:color="auto"/>
              <w:bottom w:val="single" w:sz="4" w:space="0" w:color="auto"/>
              <w:right w:val="single" w:sz="4" w:space="0" w:color="auto"/>
            </w:tcBorders>
            <w:shd w:val="clear" w:color="auto" w:fill="auto"/>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年龄</w:t>
            </w:r>
            <w:r>
              <w:rPr>
                <w:rFonts w:ascii="Times New Roman" w:hAnsi="Times New Roman" w:hint="eastAsia"/>
                <w:color w:val="000000"/>
                <w:kern w:val="0"/>
                <w:sz w:val="18"/>
                <w:szCs w:val="18"/>
                <w:lang w:bidi="ar"/>
              </w:rPr>
              <w:t>（岁）</w:t>
            </w:r>
          </w:p>
        </w:tc>
        <w:tc>
          <w:tcPr>
            <w:tcW w:w="35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i/>
                <w:iCs/>
                <w:color w:val="000000"/>
                <w:kern w:val="0"/>
                <w:sz w:val="18"/>
                <w:szCs w:val="18"/>
                <w:lang w:bidi="ar"/>
              </w:rPr>
              <w:t>P</w:t>
            </w:r>
            <w:r>
              <w:rPr>
                <w:rFonts w:ascii="Times New Roman" w:hAnsi="Times New Roman"/>
                <w:color w:val="000000"/>
                <w:kern w:val="0"/>
                <w:sz w:val="18"/>
                <w:szCs w:val="18"/>
                <w:vertAlign w:val="subscript"/>
                <w:lang w:bidi="ar"/>
              </w:rPr>
              <w:t>25</w:t>
            </w:r>
          </w:p>
        </w:tc>
      </w:tr>
      <w:tr w:rsidR="00441B2C">
        <w:trPr>
          <w:trHeight w:val="600"/>
          <w:tblCellSpacing w:w="0" w:type="dxa"/>
          <w:jc w:val="center"/>
        </w:trPr>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w:t>
            </w:r>
          </w:p>
        </w:tc>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 xml:space="preserve">4.7 </w:t>
            </w:r>
          </w:p>
        </w:tc>
      </w:tr>
      <w:tr w:rsidR="00441B2C">
        <w:trPr>
          <w:trHeight w:val="600"/>
          <w:tblCellSpacing w:w="0" w:type="dxa"/>
          <w:jc w:val="center"/>
        </w:trPr>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4</w:t>
            </w:r>
          </w:p>
        </w:tc>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 xml:space="preserve">4.8 </w:t>
            </w:r>
          </w:p>
        </w:tc>
      </w:tr>
      <w:tr w:rsidR="00441B2C">
        <w:trPr>
          <w:trHeight w:val="600"/>
          <w:tblCellSpacing w:w="0" w:type="dxa"/>
          <w:jc w:val="center"/>
        </w:trPr>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5</w:t>
            </w:r>
          </w:p>
        </w:tc>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 xml:space="preserve">4.8 </w:t>
            </w:r>
          </w:p>
        </w:tc>
      </w:tr>
      <w:tr w:rsidR="00441B2C">
        <w:trPr>
          <w:trHeight w:val="600"/>
          <w:tblCellSpacing w:w="0" w:type="dxa"/>
          <w:jc w:val="center"/>
        </w:trPr>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6</w:t>
            </w:r>
          </w:p>
        </w:tc>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 xml:space="preserve">4.8 </w:t>
            </w:r>
          </w:p>
        </w:tc>
      </w:tr>
      <w:tr w:rsidR="00441B2C">
        <w:trPr>
          <w:trHeight w:val="600"/>
          <w:tblCellSpacing w:w="0" w:type="dxa"/>
          <w:jc w:val="center"/>
        </w:trPr>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w:t>
            </w:r>
          </w:p>
        </w:tc>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 xml:space="preserve">4.9 </w:t>
            </w:r>
          </w:p>
        </w:tc>
      </w:tr>
      <w:tr w:rsidR="00441B2C">
        <w:trPr>
          <w:trHeight w:val="600"/>
          <w:tblCellSpacing w:w="0" w:type="dxa"/>
          <w:jc w:val="center"/>
        </w:trPr>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8</w:t>
            </w:r>
          </w:p>
        </w:tc>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 xml:space="preserve">4.9 </w:t>
            </w:r>
          </w:p>
        </w:tc>
      </w:tr>
      <w:tr w:rsidR="00441B2C">
        <w:trPr>
          <w:trHeight w:val="600"/>
          <w:tblCellSpacing w:w="0" w:type="dxa"/>
          <w:jc w:val="center"/>
        </w:trPr>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w:t>
            </w:r>
          </w:p>
        </w:tc>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 xml:space="preserve">4.9 </w:t>
            </w:r>
          </w:p>
        </w:tc>
      </w:tr>
      <w:tr w:rsidR="00441B2C">
        <w:trPr>
          <w:trHeight w:val="600"/>
          <w:tblCellSpacing w:w="0" w:type="dxa"/>
          <w:jc w:val="center"/>
        </w:trPr>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10</w:t>
            </w:r>
          </w:p>
        </w:tc>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 xml:space="preserve">4.9 </w:t>
            </w:r>
          </w:p>
        </w:tc>
      </w:tr>
      <w:tr w:rsidR="00441B2C">
        <w:trPr>
          <w:trHeight w:val="600"/>
          <w:tblCellSpacing w:w="0" w:type="dxa"/>
          <w:jc w:val="center"/>
        </w:trPr>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11</w:t>
            </w:r>
          </w:p>
        </w:tc>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 xml:space="preserve">4.9 </w:t>
            </w:r>
          </w:p>
        </w:tc>
      </w:tr>
      <w:tr w:rsidR="00441B2C">
        <w:trPr>
          <w:trHeight w:val="600"/>
          <w:tblCellSpacing w:w="0" w:type="dxa"/>
          <w:jc w:val="center"/>
        </w:trPr>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12</w:t>
            </w:r>
          </w:p>
        </w:tc>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 xml:space="preserve">4.9 </w:t>
            </w:r>
          </w:p>
        </w:tc>
      </w:tr>
      <w:tr w:rsidR="00441B2C">
        <w:trPr>
          <w:trHeight w:val="600"/>
          <w:tblCellSpacing w:w="0" w:type="dxa"/>
          <w:jc w:val="center"/>
        </w:trPr>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13</w:t>
            </w:r>
          </w:p>
        </w:tc>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 xml:space="preserve">4.9 </w:t>
            </w:r>
          </w:p>
        </w:tc>
      </w:tr>
      <w:tr w:rsidR="00441B2C">
        <w:trPr>
          <w:trHeight w:val="600"/>
          <w:tblCellSpacing w:w="0" w:type="dxa"/>
          <w:jc w:val="center"/>
        </w:trPr>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14</w:t>
            </w:r>
          </w:p>
        </w:tc>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 xml:space="preserve">4.9 </w:t>
            </w:r>
          </w:p>
        </w:tc>
      </w:tr>
      <w:tr w:rsidR="00441B2C">
        <w:trPr>
          <w:trHeight w:val="600"/>
          <w:tblCellSpacing w:w="0" w:type="dxa"/>
          <w:jc w:val="center"/>
        </w:trPr>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15</w:t>
            </w:r>
          </w:p>
        </w:tc>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 xml:space="preserve">4.9 </w:t>
            </w:r>
          </w:p>
        </w:tc>
      </w:tr>
      <w:tr w:rsidR="00441B2C">
        <w:trPr>
          <w:trHeight w:val="600"/>
          <w:tblCellSpacing w:w="0" w:type="dxa"/>
          <w:jc w:val="center"/>
        </w:trPr>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16</w:t>
            </w:r>
          </w:p>
        </w:tc>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 xml:space="preserve">4.9 </w:t>
            </w:r>
          </w:p>
        </w:tc>
      </w:tr>
      <w:tr w:rsidR="00441B2C">
        <w:trPr>
          <w:trHeight w:val="600"/>
          <w:tblCellSpacing w:w="0" w:type="dxa"/>
          <w:jc w:val="center"/>
        </w:trPr>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17</w:t>
            </w:r>
          </w:p>
        </w:tc>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 xml:space="preserve">4.9 </w:t>
            </w:r>
          </w:p>
        </w:tc>
      </w:tr>
      <w:tr w:rsidR="00441B2C">
        <w:trPr>
          <w:trHeight w:val="600"/>
          <w:tblCellSpacing w:w="0" w:type="dxa"/>
          <w:jc w:val="center"/>
        </w:trPr>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18</w:t>
            </w:r>
          </w:p>
        </w:tc>
        <w:tc>
          <w:tcPr>
            <w:tcW w:w="353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 xml:space="preserve">4.9 </w:t>
            </w:r>
          </w:p>
        </w:tc>
      </w:tr>
    </w:tbl>
    <w:p w:rsidR="00441B2C" w:rsidRDefault="009378CE">
      <w:r>
        <w:rPr>
          <w:rFonts w:hint="eastAsia"/>
        </w:rPr>
        <w:br w:type="page"/>
      </w:r>
    </w:p>
    <w:p w:rsidR="00441B2C" w:rsidRDefault="009378CE">
      <w:pPr>
        <w:pStyle w:val="aff0"/>
        <w:numPr>
          <w:ilvl w:val="3"/>
          <w:numId w:val="0"/>
        </w:numPr>
        <w:jc w:val="center"/>
        <w:rPr>
          <w:sz w:val="18"/>
          <w:szCs w:val="18"/>
        </w:rPr>
      </w:pPr>
      <w:r>
        <w:rPr>
          <w:rFonts w:hint="eastAsia"/>
          <w:sz w:val="18"/>
          <w:szCs w:val="18"/>
        </w:rPr>
        <w:lastRenderedPageBreak/>
        <w:t>表</w:t>
      </w:r>
      <w:r>
        <w:rPr>
          <w:rFonts w:hint="eastAsia"/>
          <w:sz w:val="18"/>
          <w:szCs w:val="18"/>
        </w:rPr>
        <w:t>2. 3</w:t>
      </w:r>
      <w:r>
        <w:rPr>
          <w:rFonts w:hint="eastAsia"/>
          <w:sz w:val="18"/>
          <w:szCs w:val="18"/>
        </w:rPr>
        <w:t>岁～</w:t>
      </w:r>
      <w:r>
        <w:rPr>
          <w:rFonts w:hint="eastAsia"/>
          <w:sz w:val="18"/>
          <w:szCs w:val="18"/>
        </w:rPr>
        <w:t>16</w:t>
      </w:r>
      <w:r>
        <w:rPr>
          <w:rFonts w:hint="eastAsia"/>
          <w:sz w:val="18"/>
          <w:szCs w:val="18"/>
        </w:rPr>
        <w:t>岁儿童青少年屈光度参考值</w:t>
      </w:r>
    </w:p>
    <w:tbl>
      <w:tblPr>
        <w:tblW w:w="0" w:type="auto"/>
        <w:jc w:val="center"/>
        <w:tblCellSpacing w:w="0" w:type="dxa"/>
        <w:tblLayout w:type="fixed"/>
        <w:tblCellMar>
          <w:left w:w="0" w:type="dxa"/>
          <w:right w:w="0" w:type="dxa"/>
        </w:tblCellMar>
        <w:tblLook w:val="04A0" w:firstRow="1" w:lastRow="0" w:firstColumn="1" w:lastColumn="0" w:noHBand="0" w:noVBand="1"/>
      </w:tblPr>
      <w:tblGrid>
        <w:gridCol w:w="3450"/>
        <w:gridCol w:w="3450"/>
      </w:tblGrid>
      <w:tr w:rsidR="00441B2C">
        <w:trPr>
          <w:trHeight w:val="632"/>
          <w:tblCellSpacing w:w="0" w:type="dxa"/>
          <w:jc w:val="center"/>
        </w:trPr>
        <w:tc>
          <w:tcPr>
            <w:tcW w:w="3450" w:type="dxa"/>
            <w:tcBorders>
              <w:top w:val="single" w:sz="4" w:space="0" w:color="auto"/>
              <w:left w:val="single" w:sz="0" w:space="0" w:color="auto"/>
              <w:bottom w:val="single" w:sz="4" w:space="0" w:color="auto"/>
              <w:right w:val="single" w:sz="4" w:space="0" w:color="auto"/>
            </w:tcBorders>
            <w:shd w:val="clear" w:color="auto" w:fill="auto"/>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年龄</w:t>
            </w:r>
            <w:r>
              <w:rPr>
                <w:rFonts w:ascii="Times New Roman" w:hAnsi="Times New Roman" w:hint="eastAsia"/>
                <w:color w:val="000000"/>
                <w:kern w:val="0"/>
                <w:sz w:val="18"/>
                <w:szCs w:val="18"/>
                <w:lang w:bidi="ar"/>
              </w:rPr>
              <w:t>（</w:t>
            </w:r>
            <w:r>
              <w:rPr>
                <w:rFonts w:hint="eastAsia"/>
                <w:color w:val="000000"/>
                <w:kern w:val="0"/>
                <w:sz w:val="18"/>
                <w:szCs w:val="18"/>
                <w:lang w:bidi="ar"/>
              </w:rPr>
              <w:t>岁）</w:t>
            </w:r>
          </w:p>
        </w:tc>
        <w:tc>
          <w:tcPr>
            <w:tcW w:w="34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均值</w:t>
            </w:r>
            <w:r>
              <w:rPr>
                <w:rFonts w:ascii="Times New Roman" w:hAnsi="Times New Roman" w:hint="eastAsia"/>
                <w:color w:val="000000"/>
                <w:kern w:val="0"/>
                <w:sz w:val="18"/>
                <w:szCs w:val="18"/>
                <w:lang w:bidi="ar"/>
              </w:rPr>
              <w:t>（</w:t>
            </w:r>
            <w:r>
              <w:rPr>
                <w:rFonts w:ascii="Times New Roman" w:hAnsi="Times New Roman" w:hint="eastAsia"/>
                <w:color w:val="000000"/>
                <w:kern w:val="0"/>
                <w:sz w:val="18"/>
                <w:szCs w:val="18"/>
                <w:lang w:bidi="ar"/>
              </w:rPr>
              <w:t>D</w:t>
            </w:r>
            <w:r>
              <w:rPr>
                <w:rFonts w:ascii="Times New Roman" w:hAnsi="Times New Roman" w:hint="eastAsia"/>
                <w:color w:val="000000"/>
                <w:kern w:val="0"/>
                <w:sz w:val="18"/>
                <w:szCs w:val="18"/>
                <w:lang w:bidi="ar"/>
              </w:rPr>
              <w:t>）</w:t>
            </w:r>
          </w:p>
        </w:tc>
      </w:tr>
      <w:tr w:rsidR="00441B2C">
        <w:trPr>
          <w:trHeight w:val="634"/>
          <w:tblCellSpacing w:w="0" w:type="dxa"/>
          <w:jc w:val="center"/>
        </w:trPr>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w:t>
            </w:r>
          </w:p>
        </w:tc>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2.64</w:t>
            </w:r>
          </w:p>
        </w:tc>
      </w:tr>
      <w:tr w:rsidR="00441B2C">
        <w:trPr>
          <w:trHeight w:val="634"/>
          <w:tblCellSpacing w:w="0" w:type="dxa"/>
          <w:jc w:val="center"/>
        </w:trPr>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4</w:t>
            </w:r>
          </w:p>
        </w:tc>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2.45</w:t>
            </w:r>
          </w:p>
        </w:tc>
      </w:tr>
      <w:tr w:rsidR="00441B2C">
        <w:trPr>
          <w:trHeight w:val="634"/>
          <w:tblCellSpacing w:w="0" w:type="dxa"/>
          <w:jc w:val="center"/>
        </w:trPr>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5</w:t>
            </w:r>
          </w:p>
        </w:tc>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2.26</w:t>
            </w:r>
          </w:p>
        </w:tc>
      </w:tr>
      <w:tr w:rsidR="00441B2C">
        <w:trPr>
          <w:trHeight w:val="634"/>
          <w:tblCellSpacing w:w="0" w:type="dxa"/>
          <w:jc w:val="center"/>
        </w:trPr>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6</w:t>
            </w:r>
          </w:p>
        </w:tc>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2.08</w:t>
            </w:r>
          </w:p>
        </w:tc>
      </w:tr>
      <w:tr w:rsidR="00441B2C">
        <w:trPr>
          <w:trHeight w:val="634"/>
          <w:tblCellSpacing w:w="0" w:type="dxa"/>
          <w:jc w:val="center"/>
        </w:trPr>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w:t>
            </w:r>
          </w:p>
        </w:tc>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1.74</w:t>
            </w:r>
          </w:p>
        </w:tc>
      </w:tr>
      <w:tr w:rsidR="00441B2C">
        <w:trPr>
          <w:trHeight w:val="634"/>
          <w:tblCellSpacing w:w="0" w:type="dxa"/>
          <w:jc w:val="center"/>
        </w:trPr>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8</w:t>
            </w:r>
          </w:p>
        </w:tc>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1.49</w:t>
            </w:r>
          </w:p>
        </w:tc>
      </w:tr>
      <w:tr w:rsidR="00441B2C">
        <w:trPr>
          <w:trHeight w:val="634"/>
          <w:tblCellSpacing w:w="0" w:type="dxa"/>
          <w:jc w:val="center"/>
        </w:trPr>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w:t>
            </w:r>
          </w:p>
        </w:tc>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1.24</w:t>
            </w:r>
          </w:p>
        </w:tc>
      </w:tr>
      <w:tr w:rsidR="00441B2C">
        <w:trPr>
          <w:trHeight w:val="634"/>
          <w:tblCellSpacing w:w="0" w:type="dxa"/>
          <w:jc w:val="center"/>
        </w:trPr>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10</w:t>
            </w:r>
          </w:p>
        </w:tc>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1.04</w:t>
            </w:r>
          </w:p>
        </w:tc>
      </w:tr>
      <w:tr w:rsidR="00441B2C">
        <w:trPr>
          <w:trHeight w:val="634"/>
          <w:tblCellSpacing w:w="0" w:type="dxa"/>
          <w:jc w:val="center"/>
        </w:trPr>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11</w:t>
            </w:r>
          </w:p>
        </w:tc>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0.95</w:t>
            </w:r>
          </w:p>
        </w:tc>
      </w:tr>
      <w:tr w:rsidR="00441B2C">
        <w:trPr>
          <w:trHeight w:val="634"/>
          <w:tblCellSpacing w:w="0" w:type="dxa"/>
          <w:jc w:val="center"/>
        </w:trPr>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12</w:t>
            </w:r>
          </w:p>
        </w:tc>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0.73</w:t>
            </w:r>
          </w:p>
        </w:tc>
      </w:tr>
      <w:tr w:rsidR="00441B2C">
        <w:trPr>
          <w:trHeight w:val="634"/>
          <w:tblCellSpacing w:w="0" w:type="dxa"/>
          <w:jc w:val="center"/>
        </w:trPr>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13</w:t>
            </w:r>
          </w:p>
        </w:tc>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0.46</w:t>
            </w:r>
          </w:p>
        </w:tc>
      </w:tr>
      <w:tr w:rsidR="00441B2C">
        <w:trPr>
          <w:trHeight w:val="634"/>
          <w:tblCellSpacing w:w="0" w:type="dxa"/>
          <w:jc w:val="center"/>
        </w:trPr>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14</w:t>
            </w:r>
          </w:p>
        </w:tc>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0.17</w:t>
            </w:r>
          </w:p>
        </w:tc>
      </w:tr>
      <w:tr w:rsidR="00441B2C">
        <w:trPr>
          <w:trHeight w:val="634"/>
          <w:tblCellSpacing w:w="0" w:type="dxa"/>
          <w:jc w:val="center"/>
        </w:trPr>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15</w:t>
            </w:r>
          </w:p>
        </w:tc>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-0.13</w:t>
            </w:r>
          </w:p>
        </w:tc>
      </w:tr>
      <w:tr w:rsidR="00441B2C">
        <w:trPr>
          <w:trHeight w:val="634"/>
          <w:tblCellSpacing w:w="0" w:type="dxa"/>
          <w:jc w:val="center"/>
        </w:trPr>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16</w:t>
            </w:r>
          </w:p>
        </w:tc>
        <w:tc>
          <w:tcPr>
            <w:tcW w:w="345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441B2C" w:rsidRDefault="009378CE">
            <w:pPr>
              <w:widowControl/>
              <w:adjustRightInd/>
              <w:spacing w:line="360" w:lineRule="auto"/>
              <w:jc w:val="center"/>
              <w:rPr>
                <w:rFonts w:ascii="Times New Roman" w:hAnsi="Times New Roman"/>
                <w:color w:val="000000"/>
                <w:kern w:val="0"/>
                <w:sz w:val="18"/>
                <w:szCs w:val="18"/>
                <w:lang w:bidi="ar"/>
              </w:rPr>
            </w:pPr>
            <w:r>
              <w:rPr>
                <w:rFonts w:ascii="Times New Roman" w:hAnsi="Times New Roman" w:hint="eastAsia"/>
                <w:color w:val="000000"/>
                <w:kern w:val="0"/>
                <w:sz w:val="18"/>
                <w:szCs w:val="18"/>
                <w:lang w:bidi="ar"/>
              </w:rPr>
              <w:t>-0.35</w:t>
            </w:r>
          </w:p>
        </w:tc>
      </w:tr>
    </w:tbl>
    <w:p w:rsidR="00441B2C" w:rsidRDefault="009378CE">
      <w:pPr>
        <w:pStyle w:val="a1"/>
        <w:rPr>
          <w:vanish w:val="0"/>
        </w:rPr>
      </w:pPr>
      <w:bookmarkStart w:id="48" w:name="BookMark5"/>
      <w:bookmarkEnd w:id="21"/>
      <w:r>
        <w:rPr>
          <w:rFonts w:hint="eastAsia"/>
          <w:sz w:val="18"/>
          <w:szCs w:val="18"/>
        </w:rPr>
        <w:t>屈光</w:t>
      </w:r>
    </w:p>
    <w:p w:rsidR="00441B2C" w:rsidRDefault="009378CE">
      <w:pPr>
        <w:pStyle w:val="af1"/>
        <w:ind w:firstLineChars="700" w:firstLine="1260"/>
        <w:sectPr w:rsidR="00441B2C">
          <w:headerReference w:type="even" r:id="rId22"/>
          <w:headerReference w:type="default" r:id="rId23"/>
          <w:footerReference w:type="even" r:id="rId24"/>
          <w:footerReference w:type="default" r:id="rId25"/>
          <w:pgSz w:w="11906" w:h="16838"/>
          <w:pgMar w:top="567" w:right="1134" w:bottom="1134" w:left="1134" w:header="1418" w:footer="1134" w:gutter="284"/>
          <w:cols w:space="425"/>
          <w:formProt w:val="0"/>
          <w:docGrid w:type="lines" w:linePitch="312"/>
        </w:sectPr>
      </w:pPr>
      <w:r>
        <w:rPr>
          <w:rFonts w:hint="eastAsia"/>
          <w:sz w:val="18"/>
          <w:szCs w:val="18"/>
        </w:rPr>
        <w:t>*</w:t>
      </w:r>
      <w:r>
        <w:rPr>
          <w:rFonts w:hint="eastAsia"/>
          <w:sz w:val="18"/>
          <w:szCs w:val="18"/>
        </w:rPr>
        <w:t>本参考值基于</w:t>
      </w:r>
      <w:r>
        <w:rPr>
          <w:rFonts w:hint="eastAsia"/>
          <w:sz w:val="18"/>
          <w:szCs w:val="18"/>
        </w:rPr>
        <w:t>1%</w:t>
      </w:r>
      <w:r>
        <w:rPr>
          <w:rFonts w:hint="eastAsia"/>
          <w:sz w:val="18"/>
          <w:szCs w:val="18"/>
        </w:rPr>
        <w:t>盐酸</w:t>
      </w:r>
      <w:proofErr w:type="gramStart"/>
      <w:r>
        <w:rPr>
          <w:rFonts w:hint="eastAsia"/>
          <w:sz w:val="18"/>
          <w:szCs w:val="18"/>
        </w:rPr>
        <w:t>环喷托酯滴</w:t>
      </w:r>
      <w:proofErr w:type="gramEnd"/>
      <w:r>
        <w:rPr>
          <w:rFonts w:hint="eastAsia"/>
          <w:sz w:val="18"/>
          <w:szCs w:val="18"/>
        </w:rPr>
        <w:t>眼液进行睫状肌麻痹后获得</w:t>
      </w:r>
    </w:p>
    <w:p w:rsidR="00441B2C" w:rsidRDefault="009378CE">
      <w:pPr>
        <w:pStyle w:val="aff2"/>
        <w:spacing w:before="124" w:after="156"/>
        <w:rPr>
          <w:rFonts w:ascii="Times New Roman" w:hAnsi="Times New Roman"/>
        </w:rPr>
      </w:pPr>
      <w:bookmarkStart w:id="49" w:name="_Toc17712"/>
      <w:bookmarkStart w:id="50" w:name="BookMark6"/>
      <w:bookmarkEnd w:id="48"/>
      <w:r>
        <w:rPr>
          <w:rFonts w:hint="eastAsia"/>
          <w:spacing w:val="105"/>
        </w:rPr>
        <w:lastRenderedPageBreak/>
        <w:t>参考文</w:t>
      </w:r>
      <w:r>
        <w:rPr>
          <w:rFonts w:hint="eastAsia"/>
        </w:rPr>
        <w:t>献</w:t>
      </w:r>
      <w:bookmarkEnd w:id="49"/>
    </w:p>
    <w:p w:rsidR="00441B2C" w:rsidRDefault="009378CE">
      <w:pPr>
        <w:numPr>
          <w:ilvl w:val="0"/>
          <w:numId w:val="6"/>
        </w:numPr>
        <w:spacing w:line="360" w:lineRule="exact"/>
        <w:rPr>
          <w:rFonts w:ascii="宋体" w:hAnsi="Times New Roman"/>
          <w:kern w:val="0"/>
          <w:szCs w:val="20"/>
        </w:rPr>
      </w:pPr>
      <w:r>
        <w:rPr>
          <w:rFonts w:ascii="宋体" w:hAnsi="Times New Roman" w:hint="eastAsia"/>
          <w:kern w:val="0"/>
          <w:szCs w:val="20"/>
        </w:rPr>
        <w:t>国家卫生健康委</w:t>
      </w:r>
      <w:r>
        <w:rPr>
          <w:rFonts w:ascii="宋体" w:hAnsi="Times New Roman" w:hint="eastAsia"/>
          <w:kern w:val="0"/>
          <w:szCs w:val="20"/>
        </w:rPr>
        <w:t>.</w:t>
      </w:r>
      <w:r>
        <w:rPr>
          <w:rFonts w:ascii="宋体" w:hAnsi="Times New Roman" w:hint="eastAsia"/>
          <w:kern w:val="0"/>
          <w:szCs w:val="20"/>
        </w:rPr>
        <w:t>儿童青少年近视防控适宜技术指南（更新版）</w:t>
      </w:r>
      <w:r>
        <w:rPr>
          <w:rFonts w:ascii="宋体" w:hAnsi="Times New Roman" w:hint="eastAsia"/>
          <w:kern w:val="0"/>
          <w:szCs w:val="20"/>
        </w:rPr>
        <w:t>[Z]. 2021-10-13.</w:t>
      </w:r>
    </w:p>
    <w:p w:rsidR="00441B2C" w:rsidRDefault="009378CE">
      <w:pPr>
        <w:pStyle w:val="af1"/>
        <w:ind w:firstLineChars="0" w:firstLine="0"/>
        <w:jc w:val="center"/>
      </w:pPr>
      <w:bookmarkStart w:id="51" w:name="BookMark8"/>
      <w:bookmarkEnd w:id="50"/>
      <w:r>
        <w:rPr>
          <w:noProof/>
        </w:rPr>
        <w:drawing>
          <wp:inline distT="0" distB="0" distL="0" distR="0">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6"/>
                    <a:stretch>
                      <a:fillRect/>
                    </a:stretch>
                  </pic:blipFill>
                  <pic:spPr>
                    <a:xfrm>
                      <a:off x="0" y="0"/>
                      <a:ext cx="1485900" cy="317500"/>
                    </a:xfrm>
                    <a:prstGeom prst="rect">
                      <a:avLst/>
                    </a:prstGeom>
                  </pic:spPr>
                </pic:pic>
              </a:graphicData>
            </a:graphic>
          </wp:inline>
        </w:drawing>
      </w:r>
      <w:bookmarkEnd w:id="51"/>
    </w:p>
    <w:p w:rsidR="00441B2C" w:rsidRDefault="00441B2C"/>
    <w:p w:rsidR="00441B2C" w:rsidRDefault="00441B2C"/>
    <w:sectPr w:rsidR="00441B2C">
      <w:headerReference w:type="even" r:id="rId27"/>
      <w:headerReference w:type="default" r:id="rId28"/>
      <w:footerReference w:type="even" r:id="rId29"/>
      <w:pgSz w:w="11906" w:h="16838"/>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B2C" w:rsidRDefault="009378CE">
      <w:pPr>
        <w:spacing w:line="240" w:lineRule="auto"/>
      </w:pPr>
      <w:r>
        <w:separator/>
      </w:r>
    </w:p>
  </w:endnote>
  <w:endnote w:type="continuationSeparator" w:id="0">
    <w:p w:rsidR="00441B2C" w:rsidRDefault="009378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2C" w:rsidRDefault="009378CE">
    <w:pPr>
      <w:pStyle w:val="aa"/>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2C" w:rsidRDefault="00441B2C">
    <w:pPr>
      <w:pStyle w:val="a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2C" w:rsidRDefault="009378CE">
    <w:pPr>
      <w:pStyle w:val="aff6"/>
    </w:pPr>
    <w:r>
      <w:fldChar w:fldCharType="begin"/>
    </w:r>
    <w:r>
      <w:instrText xml:space="preserve"> PAGE   \* MERGEFORMAT \* MERGEFORMAT </w:instrText>
    </w:r>
    <w:r>
      <w:fldChar w:fldCharType="separate"/>
    </w:r>
    <w: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2C" w:rsidRDefault="009378CE">
    <w:pPr>
      <w:pStyle w:val="aff5"/>
    </w:pPr>
    <w:r>
      <w:fldChar w:fldCharType="begin"/>
    </w:r>
    <w:r>
      <w:instrText>PAGE   \* MERGEFORMAT</w:instrText>
    </w:r>
    <w:r>
      <w:fldChar w:fldCharType="separate"/>
    </w:r>
    <w:r w:rsidR="004D7594" w:rsidRPr="004D7594">
      <w:rPr>
        <w:noProof/>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2C" w:rsidRDefault="009378CE">
    <w:pPr>
      <w:pStyle w:val="aff6"/>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2C" w:rsidRDefault="009378CE">
    <w:pPr>
      <w:pStyle w:val="aff5"/>
    </w:pPr>
    <w:r>
      <w:fldChar w:fldCharType="begin"/>
    </w:r>
    <w:r>
      <w:instrText>PAGE   \* MERGEFORMAT</w:instrText>
    </w:r>
    <w:r>
      <w:fldChar w:fldCharType="separate"/>
    </w:r>
    <w:r w:rsidR="004D7594" w:rsidRPr="004D7594">
      <w:rPr>
        <w:noProof/>
        <w:lang w:val="zh-CN"/>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2C" w:rsidRDefault="009378CE">
    <w:pPr>
      <w:pStyle w:val="aff6"/>
    </w:pPr>
    <w:r>
      <w:fldChar w:fldCharType="begin"/>
    </w:r>
    <w:r>
      <w:instrText xml:space="preserve"> PAGE   \* MERGEFORMAT \* MERGEFORMAT </w:instrText>
    </w:r>
    <w:r>
      <w:fldChar w:fldCharType="separate"/>
    </w:r>
    <w: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2C" w:rsidRDefault="009378CE">
    <w:pPr>
      <w:pStyle w:val="aff5"/>
    </w:pPr>
    <w:r>
      <w:fldChar w:fldCharType="begin"/>
    </w:r>
    <w:r>
      <w:instrText>PAGE   \* MERGEFORMAT</w:instrText>
    </w:r>
    <w:r>
      <w:fldChar w:fldCharType="separate"/>
    </w:r>
    <w:r w:rsidRPr="009378CE">
      <w:rPr>
        <w:noProof/>
        <w:lang w:val="zh-CN"/>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2C" w:rsidRDefault="009378CE">
    <w:pPr>
      <w:pStyle w:val="aff6"/>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B2C" w:rsidRDefault="009378CE">
      <w:pPr>
        <w:spacing w:line="240" w:lineRule="auto"/>
      </w:pPr>
      <w:r>
        <w:separator/>
      </w:r>
    </w:p>
  </w:footnote>
  <w:footnote w:type="continuationSeparator" w:id="0">
    <w:p w:rsidR="00441B2C" w:rsidRDefault="009378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2C" w:rsidRDefault="009378CE">
    <w:pPr>
      <w:pStyle w:val="ab"/>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2C" w:rsidRDefault="009378CE">
    <w:pPr>
      <w:pStyle w:val="a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D7594">
      <w:rPr>
        <w:noProof/>
      </w:rPr>
      <w:t>DB 31/T XXXX</w:t>
    </w:r>
    <w:r w:rsidR="004D7594">
      <w:rPr>
        <w:noProof/>
      </w:rPr>
      <w:t>—</w:t>
    </w:r>
    <w:r w:rsidR="004D7594">
      <w:rPr>
        <w:noProof/>
      </w:rPr>
      <w:t>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2C" w:rsidRDefault="00441B2C">
    <w:pPr>
      <w:pStyle w:val="ab"/>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2C" w:rsidRDefault="009378CE">
    <w:pPr>
      <w:pStyle w:val="a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31/T XXXX</w:t>
    </w:r>
    <w:r>
      <w:t>—</w:t>
    </w:r>
    <w:r>
      <w:t>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2C" w:rsidRDefault="009378CE">
    <w:pPr>
      <w:pStyle w:val="a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D7594">
      <w:rPr>
        <w:noProof/>
      </w:rPr>
      <w:t>DB 31/T XXXX</w:t>
    </w:r>
    <w:r w:rsidR="004D7594">
      <w:rPr>
        <w:noProof/>
      </w:rPr>
      <w:t>—</w:t>
    </w:r>
    <w:r w:rsidR="004D7594">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2C" w:rsidRDefault="009378CE">
    <w:pPr>
      <w:pStyle w:val="a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31/T XXXX</w:t>
    </w:r>
    <w:r>
      <w:t>—</w:t>
    </w:r>
    <w: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2C" w:rsidRDefault="009378CE">
    <w:pPr>
      <w:pStyle w:val="a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D7594">
      <w:rPr>
        <w:noProof/>
      </w:rPr>
      <w:t>DB 31/T XXXX</w:t>
    </w:r>
    <w:r w:rsidR="004D7594">
      <w:rPr>
        <w:noProof/>
      </w:rPr>
      <w:t>—</w:t>
    </w:r>
    <w:r w:rsidR="004D7594">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2C" w:rsidRDefault="009378CE">
    <w:pPr>
      <w:pStyle w:val="a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31/T XXXX</w:t>
    </w:r>
    <w:r>
      <w:t>—</w:t>
    </w:r>
    <w:r>
      <w:t>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2C" w:rsidRDefault="009378CE">
    <w:pPr>
      <w:pStyle w:val="a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 31/T XXXX</w:t>
    </w:r>
    <w:r>
      <w:rPr>
        <w:noProof/>
      </w:rPr>
      <w:t>—</w:t>
    </w:r>
    <w:r>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B2C" w:rsidRDefault="009378CE">
    <w:pPr>
      <w:pStyle w:val="aff4"/>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DB 31/T XXXX</w:t>
    </w:r>
    <w:r>
      <w:t>—</w:t>
    </w:r>
    <w: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EA"/>
    <w:multiLevelType w:val="multilevel"/>
    <w:tmpl w:val="07ED3FEA"/>
    <w:lvl w:ilvl="0">
      <w:start w:val="1"/>
      <w:numFmt w:val="none"/>
      <w:pStyle w:val="a"/>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Theme="minorHAnsi" w:hint="eastAsia"/>
        <w:b w:val="0"/>
        <w:i w:val="0"/>
        <w:sz w:val="21"/>
      </w:rPr>
    </w:lvl>
    <w:lvl w:ilvl="2">
      <w:start w:val="1"/>
      <w:numFmt w:val="decimal"/>
      <w:suff w:val="nothing"/>
      <w:lvlText w:val="%10.%2.%3 "/>
      <w:lvlJc w:val="left"/>
      <w:pPr>
        <w:ind w:left="0" w:firstLine="0"/>
      </w:pPr>
      <w:rPr>
        <w:rFonts w:ascii="黑体" w:eastAsia="黑体" w:hAnsiTheme="minorHAnsi" w:hint="eastAsia"/>
        <w:b w:val="0"/>
        <w:i w:val="0"/>
        <w:sz w:val="21"/>
      </w:rPr>
    </w:lvl>
    <w:lvl w:ilvl="3">
      <w:start w:val="1"/>
      <w:numFmt w:val="decimal"/>
      <w:suff w:val="nothing"/>
      <w:lvlText w:val="%10.%2.%3.%4 "/>
      <w:lvlJc w:val="left"/>
      <w:pPr>
        <w:ind w:left="0" w:firstLine="0"/>
      </w:pPr>
      <w:rPr>
        <w:rFonts w:ascii="黑体" w:eastAsia="黑体" w:hAnsiTheme="minorHAnsi" w:hint="eastAsia"/>
        <w:b w:val="0"/>
        <w:i w:val="0"/>
        <w:sz w:val="21"/>
      </w:rPr>
    </w:lvl>
    <w:lvl w:ilvl="4">
      <w:start w:val="1"/>
      <w:numFmt w:val="decimal"/>
      <w:suff w:val="nothing"/>
      <w:lvlText w:val="%10.%2.%3.%4.%5 "/>
      <w:lvlJc w:val="left"/>
      <w:pPr>
        <w:ind w:left="0" w:firstLine="0"/>
      </w:pPr>
      <w:rPr>
        <w:rFonts w:ascii="黑体" w:eastAsia="黑体" w:hAnsiTheme="minorHAnsi" w:hint="eastAsia"/>
        <w:b w:val="0"/>
        <w:i w:val="0"/>
        <w:sz w:val="21"/>
      </w:rPr>
    </w:lvl>
    <w:lvl w:ilvl="5">
      <w:start w:val="1"/>
      <w:numFmt w:val="decimal"/>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287E532B"/>
    <w:multiLevelType w:val="singleLevel"/>
    <w:tmpl w:val="287E532B"/>
    <w:lvl w:ilvl="0">
      <w:start w:val="1"/>
      <w:numFmt w:val="decimal"/>
      <w:suff w:val="space"/>
      <w:lvlText w:val="[%1]"/>
      <w:lvlJc w:val="left"/>
    </w:lvl>
  </w:abstractNum>
  <w:abstractNum w:abstractNumId="2">
    <w:nsid w:val="48802D1C"/>
    <w:multiLevelType w:val="multilevel"/>
    <w:tmpl w:val="48802D1C"/>
    <w:lvl w:ilvl="0">
      <w:start w:val="1"/>
      <w:numFmt w:val="upperLetter"/>
      <w:pStyle w:val="a0"/>
      <w:lvlText w:val="%1"/>
      <w:lvlJc w:val="left"/>
      <w:pPr>
        <w:ind w:left="420" w:hanging="420"/>
      </w:pPr>
      <w:rPr>
        <w:rFonts w:hint="eastAsia"/>
      </w:rPr>
    </w:lvl>
    <w:lvl w:ilvl="1">
      <w:start w:val="1"/>
      <w:numFmt w:val="decimal"/>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5603797C"/>
    <w:multiLevelType w:val="multilevel"/>
    <w:tmpl w:val="5603797C"/>
    <w:lvl w:ilvl="0">
      <w:start w:val="1"/>
      <w:numFmt w:val="upperLetter"/>
      <w:pStyle w:val="a1"/>
      <w:suff w:val="space"/>
      <w:lvlText w:val="%1"/>
      <w:lvlJc w:val="left"/>
      <w:pPr>
        <w:ind w:left="425" w:hanging="425"/>
      </w:pPr>
      <w:rPr>
        <w:rFonts w:hint="eastAsia"/>
      </w:rPr>
    </w:lvl>
    <w:lvl w:ilvl="1">
      <w:start w:val="1"/>
      <w:numFmt w:val="decimal"/>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657D3FBC"/>
    <w:multiLevelType w:val="multilevel"/>
    <w:tmpl w:val="657D3FBC"/>
    <w:lvl w:ilvl="0">
      <w:start w:val="1"/>
      <w:numFmt w:val="upperLetter"/>
      <w:pStyle w:val="a2"/>
      <w:suff w:val="nothing"/>
      <w:lvlText w:val="附录%1"/>
      <w:lvlJc w:val="left"/>
      <w:pPr>
        <w:ind w:left="0" w:firstLine="0"/>
      </w:pPr>
      <w:rPr>
        <w:rFonts w:hint="eastAsia"/>
        <w:spacing w:val="100"/>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3"/>
      <w:suff w:val="nothing"/>
      <w:lvlText w:val="%1%2　"/>
      <w:lvlJc w:val="left"/>
      <w:pPr>
        <w:ind w:left="0" w:firstLine="0"/>
      </w:pPr>
      <w:rPr>
        <w:rFonts w:ascii="黑体" w:eastAsia="黑体" w:hint="eastAsia"/>
        <w:b w:val="0"/>
        <w:i w:val="0"/>
        <w:sz w:val="21"/>
      </w:rPr>
    </w:lvl>
    <w:lvl w:ilvl="2">
      <w:start w:val="1"/>
      <w:numFmt w:val="decimal"/>
      <w:pStyle w:val="a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5"/>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5"/>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M2IyNzI4YTExZDQ1Y2U4M2E1ZGJhY2U4OWU2NmMifQ=="/>
  </w:docVars>
  <w:rsids>
    <w:rsidRoot w:val="45175231"/>
    <w:rsid w:val="00441B2C"/>
    <w:rsid w:val="004D7594"/>
    <w:rsid w:val="009378CE"/>
    <w:rsid w:val="00CD2A99"/>
    <w:rsid w:val="00D556C4"/>
    <w:rsid w:val="00D650EC"/>
    <w:rsid w:val="0A7002E0"/>
    <w:rsid w:val="0D382CA4"/>
    <w:rsid w:val="0DB93C3E"/>
    <w:rsid w:val="0E5B6366"/>
    <w:rsid w:val="0E824A4E"/>
    <w:rsid w:val="105C5ABB"/>
    <w:rsid w:val="1397063D"/>
    <w:rsid w:val="151560E4"/>
    <w:rsid w:val="165846A4"/>
    <w:rsid w:val="1CDD2DF5"/>
    <w:rsid w:val="1E1C66E5"/>
    <w:rsid w:val="212012EE"/>
    <w:rsid w:val="21FF5741"/>
    <w:rsid w:val="25ED6E8A"/>
    <w:rsid w:val="274337E7"/>
    <w:rsid w:val="27EE4450"/>
    <w:rsid w:val="2AB15A42"/>
    <w:rsid w:val="2AD47E4D"/>
    <w:rsid w:val="2D71296F"/>
    <w:rsid w:val="3202786C"/>
    <w:rsid w:val="333C78B8"/>
    <w:rsid w:val="33EA0B82"/>
    <w:rsid w:val="377C4FD5"/>
    <w:rsid w:val="45175231"/>
    <w:rsid w:val="4724463A"/>
    <w:rsid w:val="506671BB"/>
    <w:rsid w:val="556200C4"/>
    <w:rsid w:val="55F26AB4"/>
    <w:rsid w:val="589C2426"/>
    <w:rsid w:val="5E576062"/>
    <w:rsid w:val="650E20D4"/>
    <w:rsid w:val="6B1E781E"/>
    <w:rsid w:val="6DD958AF"/>
    <w:rsid w:val="6F7A216C"/>
    <w:rsid w:val="707F1F97"/>
    <w:rsid w:val="72933F36"/>
    <w:rsid w:val="72D86122"/>
    <w:rsid w:val="73964F43"/>
    <w:rsid w:val="7F3367AD"/>
    <w:rsid w:val="7FBD0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adjustRightInd w:val="0"/>
      <w:spacing w:line="400" w:lineRule="exact"/>
      <w:jc w:val="both"/>
    </w:pPr>
    <w:rPr>
      <w:rFonts w:ascii="Calibri" w:hAnsi="Calibri"/>
      <w:kern w:val="2"/>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footer"/>
    <w:basedOn w:val="a6"/>
    <w:uiPriority w:val="99"/>
    <w:qFormat/>
    <w:pPr>
      <w:tabs>
        <w:tab w:val="center" w:pos="4153"/>
        <w:tab w:val="right" w:pos="8306"/>
      </w:tabs>
      <w:adjustRightInd/>
      <w:snapToGrid w:val="0"/>
      <w:spacing w:line="240" w:lineRule="auto"/>
      <w:jc w:val="right"/>
    </w:pPr>
    <w:rPr>
      <w:rFonts w:ascii="宋体"/>
      <w:sz w:val="18"/>
      <w:szCs w:val="18"/>
    </w:rPr>
  </w:style>
  <w:style w:type="paragraph" w:styleId="ab">
    <w:name w:val="header"/>
    <w:basedOn w:val="a6"/>
    <w:uiPriority w:val="99"/>
    <w:qFormat/>
    <w:pPr>
      <w:tabs>
        <w:tab w:val="center" w:pos="4153"/>
        <w:tab w:val="right" w:pos="8306"/>
      </w:tabs>
      <w:adjustRightInd/>
      <w:snapToGrid w:val="0"/>
      <w:jc w:val="center"/>
    </w:pPr>
    <w:rPr>
      <w:sz w:val="18"/>
      <w:szCs w:val="18"/>
    </w:rPr>
  </w:style>
  <w:style w:type="paragraph" w:styleId="1">
    <w:name w:val="toc 1"/>
    <w:basedOn w:val="a6"/>
    <w:next w:val="a6"/>
    <w:uiPriority w:val="39"/>
    <w:unhideWhenUsed/>
    <w:qFormat/>
    <w:rPr>
      <w:rFonts w:ascii="宋体"/>
    </w:rPr>
  </w:style>
  <w:style w:type="paragraph" w:styleId="2">
    <w:name w:val="toc 2"/>
    <w:basedOn w:val="a6"/>
    <w:next w:val="a6"/>
    <w:uiPriority w:val="39"/>
    <w:unhideWhenUsed/>
    <w:qFormat/>
    <w:pPr>
      <w:tabs>
        <w:tab w:val="right" w:leader="dot" w:pos="9344"/>
      </w:tabs>
      <w:spacing w:line="300" w:lineRule="exact"/>
      <w:ind w:left="210"/>
    </w:pPr>
    <w:rPr>
      <w:rFonts w:ascii="宋体"/>
    </w:rPr>
  </w:style>
  <w:style w:type="paragraph" w:styleId="ac">
    <w:name w:val="Normal (Web)"/>
    <w:basedOn w:val="a6"/>
    <w:qFormat/>
    <w:rPr>
      <w:sz w:val="24"/>
    </w:rPr>
  </w:style>
  <w:style w:type="table" w:styleId="ad">
    <w:name w:val="Table Grid"/>
    <w:basedOn w:val="a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标准标志"/>
    <w:next w:val="a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
    <w:name w:val="标准称谓"/>
    <w:next w:val="a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0">
    <w:name w:val="标准文件_文件编号"/>
    <w:basedOn w:val="a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1">
    <w:name w:val="标准文件_段"/>
    <w:qFormat/>
    <w:pPr>
      <w:autoSpaceDE w:val="0"/>
      <w:autoSpaceDN w:val="0"/>
      <w:ind w:firstLineChars="200" w:firstLine="200"/>
      <w:jc w:val="both"/>
    </w:pPr>
    <w:rPr>
      <w:rFonts w:ascii="宋体"/>
      <w:sz w:val="21"/>
    </w:rPr>
  </w:style>
  <w:style w:type="paragraph" w:customStyle="1" w:styleId="af2">
    <w:name w:val="标准文件_替换文件编号"/>
    <w:basedOn w:val="af0"/>
    <w:qFormat/>
    <w:pPr>
      <w:framePr w:wrap="auto"/>
      <w:spacing w:before="57"/>
    </w:pPr>
    <w:rPr>
      <w:sz w:val="21"/>
    </w:rPr>
  </w:style>
  <w:style w:type="paragraph" w:customStyle="1" w:styleId="af3">
    <w:name w:val="标准文件_文件名称"/>
    <w:basedOn w:val="af1"/>
    <w:next w:val="a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4">
    <w:name w:val="封面标准英文名称"/>
    <w:qFormat/>
    <w:pPr>
      <w:widowControl w:val="0"/>
      <w:spacing w:line="360" w:lineRule="exact"/>
      <w:jc w:val="center"/>
    </w:pPr>
    <w:rPr>
      <w:sz w:val="28"/>
    </w:rPr>
  </w:style>
  <w:style w:type="paragraph" w:customStyle="1" w:styleId="af5">
    <w:name w:val="其他发布日期"/>
    <w:basedOn w:val="af6"/>
    <w:qFormat/>
    <w:pPr>
      <w:framePr w:w="3997" w:h="471" w:hRule="exact" w:hSpace="0" w:vSpace="181" w:wrap="around" w:vAnchor="page" w:hAnchor="page" w:x="1419" w:y="14097"/>
    </w:pPr>
  </w:style>
  <w:style w:type="paragraph" w:customStyle="1" w:styleId="af6">
    <w:name w:val="发布日期"/>
    <w:qFormat/>
    <w:pPr>
      <w:framePr w:w="4000" w:h="473" w:hRule="exact" w:hSpace="180" w:vSpace="180" w:wrap="around" w:hAnchor="margin" w:y="13511" w:anchorLock="1"/>
    </w:pPr>
    <w:rPr>
      <w:rFonts w:eastAsia="黑体"/>
      <w:sz w:val="28"/>
    </w:rPr>
  </w:style>
  <w:style w:type="paragraph" w:customStyle="1" w:styleId="af7">
    <w:name w:val="其他实施日期"/>
    <w:basedOn w:val="af8"/>
    <w:qFormat/>
    <w:pPr>
      <w:framePr w:w="3997" w:h="471" w:hRule="exact" w:vSpace="181" w:wrap="around" w:vAnchor="page" w:hAnchor="page" w:x="7089" w:y="14097"/>
    </w:pPr>
  </w:style>
  <w:style w:type="paragraph" w:customStyle="1" w:styleId="af8">
    <w:name w:val="实施日期"/>
    <w:basedOn w:val="af6"/>
    <w:qFormat/>
    <w:pPr>
      <w:framePr w:hSpace="0" w:wrap="around" w:xAlign="right"/>
      <w:jc w:val="right"/>
    </w:pPr>
  </w:style>
  <w:style w:type="paragraph" w:customStyle="1" w:styleId="af9">
    <w:name w:val="其他发布部门"/>
    <w:basedOn w:val="afa"/>
    <w:qFormat/>
    <w:pPr>
      <w:framePr w:wrap="around"/>
      <w:spacing w:line="0" w:lineRule="atLeast"/>
    </w:pPr>
    <w:rPr>
      <w:rFonts w:ascii="黑体" w:eastAsia="黑体"/>
      <w:b w:val="0"/>
    </w:rPr>
  </w:style>
  <w:style w:type="paragraph" w:customStyle="1" w:styleId="afa">
    <w:name w:val="发布部门"/>
    <w:next w:val="af1"/>
    <w:qFormat/>
    <w:pPr>
      <w:framePr w:w="7433" w:h="585" w:hRule="exact" w:hSpace="180" w:vSpace="180" w:wrap="around" w:hAnchor="margin" w:xAlign="center" w:y="14401" w:anchorLock="1"/>
      <w:jc w:val="center"/>
    </w:pPr>
    <w:rPr>
      <w:rFonts w:ascii="宋体"/>
      <w:b/>
      <w:w w:val="135"/>
      <w:sz w:val="36"/>
    </w:rPr>
  </w:style>
  <w:style w:type="character" w:customStyle="1" w:styleId="afb">
    <w:name w:val="发布"/>
    <w:basedOn w:val="a7"/>
    <w:qFormat/>
    <w:rPr>
      <w:rFonts w:ascii="黑体" w:eastAsia="黑体"/>
      <w:spacing w:val="85"/>
      <w:w w:val="100"/>
      <w:position w:val="3"/>
      <w:sz w:val="28"/>
      <w:szCs w:val="28"/>
    </w:rPr>
  </w:style>
  <w:style w:type="paragraph" w:customStyle="1" w:styleId="afc">
    <w:name w:val="标准文件_目录标题"/>
    <w:basedOn w:val="a6"/>
    <w:qFormat/>
    <w:pPr>
      <w:spacing w:afterLines="150" w:after="150" w:line="240" w:lineRule="auto"/>
      <w:jc w:val="center"/>
    </w:pPr>
    <w:rPr>
      <w:rFonts w:ascii="黑体" w:eastAsia="黑体"/>
      <w:sz w:val="32"/>
    </w:rPr>
  </w:style>
  <w:style w:type="paragraph" w:customStyle="1" w:styleId="a">
    <w:name w:val="标准文件_前言、引言标题"/>
    <w:next w:val="a6"/>
    <w:qFormat/>
    <w:pPr>
      <w:numPr>
        <w:numId w:val="1"/>
      </w:numPr>
      <w:shd w:val="clear" w:color="FFFFFF" w:fill="FFFFFF"/>
      <w:spacing w:afterLines="150" w:after="150"/>
      <w:ind w:left="0" w:firstLine="0"/>
      <w:jc w:val="center"/>
      <w:outlineLvl w:val="0"/>
    </w:pPr>
    <w:rPr>
      <w:rFonts w:ascii="黑体" w:eastAsia="黑体"/>
      <w:sz w:val="32"/>
    </w:rPr>
  </w:style>
  <w:style w:type="paragraph" w:customStyle="1" w:styleId="afd">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3">
    <w:name w:val="标准文件_章标题"/>
    <w:next w:val="af1"/>
    <w:qFormat/>
    <w:pPr>
      <w:numPr>
        <w:ilvl w:val="1"/>
        <w:numId w:val="2"/>
      </w:numPr>
      <w:spacing w:beforeLines="100" w:before="100" w:afterLines="100" w:after="100"/>
      <w:jc w:val="both"/>
      <w:outlineLvl w:val="0"/>
    </w:pPr>
    <w:rPr>
      <w:rFonts w:ascii="黑体" w:eastAsia="黑体"/>
      <w:sz w:val="21"/>
    </w:rPr>
  </w:style>
  <w:style w:type="paragraph" w:customStyle="1" w:styleId="afe">
    <w:name w:val="标准文件_术语条一"/>
    <w:basedOn w:val="aff"/>
    <w:next w:val="af1"/>
    <w:qFormat/>
  </w:style>
  <w:style w:type="paragraph" w:customStyle="1" w:styleId="aff">
    <w:name w:val="标准文件_一级无标题"/>
    <w:basedOn w:val="a4"/>
    <w:qFormat/>
    <w:pPr>
      <w:spacing w:beforeLines="0" w:before="0" w:afterLines="0" w:after="0"/>
      <w:outlineLvl w:val="9"/>
    </w:pPr>
    <w:rPr>
      <w:rFonts w:ascii="宋体" w:eastAsia="宋体"/>
    </w:rPr>
  </w:style>
  <w:style w:type="paragraph" w:customStyle="1" w:styleId="a4">
    <w:name w:val="标准文件_一级条标题"/>
    <w:basedOn w:val="a3"/>
    <w:next w:val="af1"/>
    <w:qFormat/>
    <w:pPr>
      <w:numPr>
        <w:ilvl w:val="2"/>
      </w:numPr>
      <w:spacing w:beforeLines="50" w:before="50" w:afterLines="50" w:after="50"/>
      <w:outlineLvl w:val="1"/>
    </w:pPr>
  </w:style>
  <w:style w:type="paragraph" w:customStyle="1" w:styleId="aff0">
    <w:name w:val="标准文件_二级无标题"/>
    <w:basedOn w:val="a5"/>
    <w:qFormat/>
    <w:pPr>
      <w:spacing w:beforeLines="0" w:before="0" w:afterLines="0" w:after="0"/>
      <w:outlineLvl w:val="9"/>
    </w:pPr>
    <w:rPr>
      <w:rFonts w:ascii="宋体" w:eastAsia="宋体"/>
    </w:rPr>
  </w:style>
  <w:style w:type="paragraph" w:customStyle="1" w:styleId="a5">
    <w:name w:val="标准文件_二级条标题"/>
    <w:next w:val="af1"/>
    <w:qFormat/>
    <w:pPr>
      <w:widowControl w:val="0"/>
      <w:numPr>
        <w:ilvl w:val="3"/>
        <w:numId w:val="2"/>
      </w:numPr>
      <w:spacing w:beforeLines="50" w:before="50" w:afterLines="50" w:after="50"/>
      <w:jc w:val="both"/>
      <w:outlineLvl w:val="2"/>
    </w:pPr>
    <w:rPr>
      <w:rFonts w:ascii="黑体" w:eastAsia="黑体"/>
      <w:sz w:val="21"/>
    </w:rPr>
  </w:style>
  <w:style w:type="paragraph" w:customStyle="1" w:styleId="aff1">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0">
    <w:name w:val="标准文件_附录图标号"/>
    <w:basedOn w:val="af1"/>
    <w:next w:val="af1"/>
    <w:qFormat/>
    <w:pPr>
      <w:numPr>
        <w:numId w:val="3"/>
      </w:numPr>
      <w:spacing w:line="14" w:lineRule="exact"/>
      <w:ind w:firstLineChars="0" w:firstLine="0"/>
      <w:jc w:val="center"/>
    </w:pPr>
    <w:rPr>
      <w:rFonts w:ascii="黑体" w:eastAsia="黑体" w:hAnsi="黑体"/>
      <w:vanish/>
      <w:sz w:val="2"/>
      <w:szCs w:val="21"/>
    </w:rPr>
  </w:style>
  <w:style w:type="paragraph" w:customStyle="1" w:styleId="a1">
    <w:name w:val="标准文件_附录表标号"/>
    <w:basedOn w:val="af1"/>
    <w:next w:val="af1"/>
    <w:qFormat/>
    <w:pPr>
      <w:numPr>
        <w:numId w:val="4"/>
      </w:numPr>
      <w:spacing w:line="14" w:lineRule="exact"/>
      <w:ind w:firstLineChars="0" w:firstLine="0"/>
      <w:jc w:val="center"/>
    </w:pPr>
    <w:rPr>
      <w:rFonts w:eastAsia="黑体"/>
      <w:vanish/>
      <w:sz w:val="2"/>
    </w:rPr>
  </w:style>
  <w:style w:type="paragraph" w:customStyle="1" w:styleId="a2">
    <w:name w:val="标准文件_附录标识"/>
    <w:next w:val="af1"/>
    <w:qFormat/>
    <w:pPr>
      <w:numPr>
        <w:numId w:val="5"/>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2">
    <w:name w:val="标准文件_参考文献标题"/>
    <w:basedOn w:val="a6"/>
    <w:next w:val="a6"/>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ff3">
    <w:name w:val="标准文件_页眉奇数页"/>
    <w:next w:val="a6"/>
    <w:qFormat/>
    <w:pPr>
      <w:tabs>
        <w:tab w:val="center" w:pos="4154"/>
        <w:tab w:val="right" w:pos="8306"/>
      </w:tabs>
      <w:spacing w:after="120"/>
      <w:jc w:val="right"/>
    </w:pPr>
    <w:rPr>
      <w:rFonts w:ascii="黑体" w:eastAsia="黑体" w:hAnsi="宋体"/>
      <w:sz w:val="21"/>
    </w:rPr>
  </w:style>
  <w:style w:type="paragraph" w:customStyle="1" w:styleId="aff4">
    <w:name w:val="标准文件_页眉偶数页"/>
    <w:basedOn w:val="aff3"/>
    <w:next w:val="a6"/>
    <w:qFormat/>
    <w:pPr>
      <w:jc w:val="left"/>
    </w:pPr>
  </w:style>
  <w:style w:type="paragraph" w:customStyle="1" w:styleId="aff5">
    <w:name w:val="标准文件_页脚奇数页"/>
    <w:qFormat/>
    <w:pPr>
      <w:ind w:right="227"/>
      <w:jc w:val="right"/>
    </w:pPr>
    <w:rPr>
      <w:rFonts w:ascii="宋体"/>
      <w:sz w:val="18"/>
    </w:rPr>
  </w:style>
  <w:style w:type="paragraph" w:customStyle="1" w:styleId="aff6">
    <w:name w:val="标准文件_页脚偶数页"/>
    <w:qFormat/>
    <w:pPr>
      <w:ind w:left="198"/>
    </w:pPr>
    <w:rPr>
      <w:rFonts w:ascii="宋体"/>
      <w:sz w:val="18"/>
    </w:rPr>
  </w:style>
  <w:style w:type="paragraph" w:styleId="aff7">
    <w:name w:val="Balloon Text"/>
    <w:basedOn w:val="a6"/>
    <w:link w:val="Char"/>
    <w:rsid w:val="00D650EC"/>
    <w:pPr>
      <w:spacing w:line="240" w:lineRule="auto"/>
    </w:pPr>
    <w:rPr>
      <w:sz w:val="18"/>
      <w:szCs w:val="18"/>
    </w:rPr>
  </w:style>
  <w:style w:type="character" w:customStyle="1" w:styleId="Char">
    <w:name w:val="批注框文本 Char"/>
    <w:basedOn w:val="a7"/>
    <w:link w:val="aff7"/>
    <w:rsid w:val="00D650EC"/>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adjustRightInd w:val="0"/>
      <w:spacing w:line="400" w:lineRule="exact"/>
      <w:jc w:val="both"/>
    </w:pPr>
    <w:rPr>
      <w:rFonts w:ascii="Calibri" w:hAnsi="Calibri"/>
      <w:kern w:val="2"/>
      <w:sz w:val="21"/>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footer"/>
    <w:basedOn w:val="a6"/>
    <w:uiPriority w:val="99"/>
    <w:qFormat/>
    <w:pPr>
      <w:tabs>
        <w:tab w:val="center" w:pos="4153"/>
        <w:tab w:val="right" w:pos="8306"/>
      </w:tabs>
      <w:adjustRightInd/>
      <w:snapToGrid w:val="0"/>
      <w:spacing w:line="240" w:lineRule="auto"/>
      <w:jc w:val="right"/>
    </w:pPr>
    <w:rPr>
      <w:rFonts w:ascii="宋体"/>
      <w:sz w:val="18"/>
      <w:szCs w:val="18"/>
    </w:rPr>
  </w:style>
  <w:style w:type="paragraph" w:styleId="ab">
    <w:name w:val="header"/>
    <w:basedOn w:val="a6"/>
    <w:uiPriority w:val="99"/>
    <w:qFormat/>
    <w:pPr>
      <w:tabs>
        <w:tab w:val="center" w:pos="4153"/>
        <w:tab w:val="right" w:pos="8306"/>
      </w:tabs>
      <w:adjustRightInd/>
      <w:snapToGrid w:val="0"/>
      <w:jc w:val="center"/>
    </w:pPr>
    <w:rPr>
      <w:sz w:val="18"/>
      <w:szCs w:val="18"/>
    </w:rPr>
  </w:style>
  <w:style w:type="paragraph" w:styleId="1">
    <w:name w:val="toc 1"/>
    <w:basedOn w:val="a6"/>
    <w:next w:val="a6"/>
    <w:uiPriority w:val="39"/>
    <w:unhideWhenUsed/>
    <w:qFormat/>
    <w:rPr>
      <w:rFonts w:ascii="宋体"/>
    </w:rPr>
  </w:style>
  <w:style w:type="paragraph" w:styleId="2">
    <w:name w:val="toc 2"/>
    <w:basedOn w:val="a6"/>
    <w:next w:val="a6"/>
    <w:uiPriority w:val="39"/>
    <w:unhideWhenUsed/>
    <w:qFormat/>
    <w:pPr>
      <w:tabs>
        <w:tab w:val="right" w:leader="dot" w:pos="9344"/>
      </w:tabs>
      <w:spacing w:line="300" w:lineRule="exact"/>
      <w:ind w:left="210"/>
    </w:pPr>
    <w:rPr>
      <w:rFonts w:ascii="宋体"/>
    </w:rPr>
  </w:style>
  <w:style w:type="paragraph" w:styleId="ac">
    <w:name w:val="Normal (Web)"/>
    <w:basedOn w:val="a6"/>
    <w:qFormat/>
    <w:rPr>
      <w:sz w:val="24"/>
    </w:rPr>
  </w:style>
  <w:style w:type="table" w:styleId="ad">
    <w:name w:val="Table Grid"/>
    <w:basedOn w:val="a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标准标志"/>
    <w:next w:val="a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
    <w:name w:val="标准称谓"/>
    <w:next w:val="a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0">
    <w:name w:val="标准文件_文件编号"/>
    <w:basedOn w:val="af1"/>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1">
    <w:name w:val="标准文件_段"/>
    <w:qFormat/>
    <w:pPr>
      <w:autoSpaceDE w:val="0"/>
      <w:autoSpaceDN w:val="0"/>
      <w:ind w:firstLineChars="200" w:firstLine="200"/>
      <w:jc w:val="both"/>
    </w:pPr>
    <w:rPr>
      <w:rFonts w:ascii="宋体"/>
      <w:sz w:val="21"/>
    </w:rPr>
  </w:style>
  <w:style w:type="paragraph" w:customStyle="1" w:styleId="af2">
    <w:name w:val="标准文件_替换文件编号"/>
    <w:basedOn w:val="af0"/>
    <w:qFormat/>
    <w:pPr>
      <w:framePr w:wrap="auto"/>
      <w:spacing w:before="57"/>
    </w:pPr>
    <w:rPr>
      <w:sz w:val="21"/>
    </w:rPr>
  </w:style>
  <w:style w:type="paragraph" w:customStyle="1" w:styleId="af3">
    <w:name w:val="标准文件_文件名称"/>
    <w:basedOn w:val="af1"/>
    <w:next w:val="af1"/>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4">
    <w:name w:val="封面标准英文名称"/>
    <w:qFormat/>
    <w:pPr>
      <w:widowControl w:val="0"/>
      <w:spacing w:line="360" w:lineRule="exact"/>
      <w:jc w:val="center"/>
    </w:pPr>
    <w:rPr>
      <w:sz w:val="28"/>
    </w:rPr>
  </w:style>
  <w:style w:type="paragraph" w:customStyle="1" w:styleId="af5">
    <w:name w:val="其他发布日期"/>
    <w:basedOn w:val="af6"/>
    <w:qFormat/>
    <w:pPr>
      <w:framePr w:w="3997" w:h="471" w:hRule="exact" w:hSpace="0" w:vSpace="181" w:wrap="around" w:vAnchor="page" w:hAnchor="page" w:x="1419" w:y="14097"/>
    </w:pPr>
  </w:style>
  <w:style w:type="paragraph" w:customStyle="1" w:styleId="af6">
    <w:name w:val="发布日期"/>
    <w:qFormat/>
    <w:pPr>
      <w:framePr w:w="4000" w:h="473" w:hRule="exact" w:hSpace="180" w:vSpace="180" w:wrap="around" w:hAnchor="margin" w:y="13511" w:anchorLock="1"/>
    </w:pPr>
    <w:rPr>
      <w:rFonts w:eastAsia="黑体"/>
      <w:sz w:val="28"/>
    </w:rPr>
  </w:style>
  <w:style w:type="paragraph" w:customStyle="1" w:styleId="af7">
    <w:name w:val="其他实施日期"/>
    <w:basedOn w:val="af8"/>
    <w:qFormat/>
    <w:pPr>
      <w:framePr w:w="3997" w:h="471" w:hRule="exact" w:vSpace="181" w:wrap="around" w:vAnchor="page" w:hAnchor="page" w:x="7089" w:y="14097"/>
    </w:pPr>
  </w:style>
  <w:style w:type="paragraph" w:customStyle="1" w:styleId="af8">
    <w:name w:val="实施日期"/>
    <w:basedOn w:val="af6"/>
    <w:qFormat/>
    <w:pPr>
      <w:framePr w:hSpace="0" w:wrap="around" w:xAlign="right"/>
      <w:jc w:val="right"/>
    </w:pPr>
  </w:style>
  <w:style w:type="paragraph" w:customStyle="1" w:styleId="af9">
    <w:name w:val="其他发布部门"/>
    <w:basedOn w:val="afa"/>
    <w:qFormat/>
    <w:pPr>
      <w:framePr w:wrap="around"/>
      <w:spacing w:line="0" w:lineRule="atLeast"/>
    </w:pPr>
    <w:rPr>
      <w:rFonts w:ascii="黑体" w:eastAsia="黑体"/>
      <w:b w:val="0"/>
    </w:rPr>
  </w:style>
  <w:style w:type="paragraph" w:customStyle="1" w:styleId="afa">
    <w:name w:val="发布部门"/>
    <w:next w:val="af1"/>
    <w:qFormat/>
    <w:pPr>
      <w:framePr w:w="7433" w:h="585" w:hRule="exact" w:hSpace="180" w:vSpace="180" w:wrap="around" w:hAnchor="margin" w:xAlign="center" w:y="14401" w:anchorLock="1"/>
      <w:jc w:val="center"/>
    </w:pPr>
    <w:rPr>
      <w:rFonts w:ascii="宋体"/>
      <w:b/>
      <w:w w:val="135"/>
      <w:sz w:val="36"/>
    </w:rPr>
  </w:style>
  <w:style w:type="character" w:customStyle="1" w:styleId="afb">
    <w:name w:val="发布"/>
    <w:basedOn w:val="a7"/>
    <w:qFormat/>
    <w:rPr>
      <w:rFonts w:ascii="黑体" w:eastAsia="黑体"/>
      <w:spacing w:val="85"/>
      <w:w w:val="100"/>
      <w:position w:val="3"/>
      <w:sz w:val="28"/>
      <w:szCs w:val="28"/>
    </w:rPr>
  </w:style>
  <w:style w:type="paragraph" w:customStyle="1" w:styleId="afc">
    <w:name w:val="标准文件_目录标题"/>
    <w:basedOn w:val="a6"/>
    <w:qFormat/>
    <w:pPr>
      <w:spacing w:afterLines="150" w:after="150" w:line="240" w:lineRule="auto"/>
      <w:jc w:val="center"/>
    </w:pPr>
    <w:rPr>
      <w:rFonts w:ascii="黑体" w:eastAsia="黑体"/>
      <w:sz w:val="32"/>
    </w:rPr>
  </w:style>
  <w:style w:type="paragraph" w:customStyle="1" w:styleId="a">
    <w:name w:val="标准文件_前言、引言标题"/>
    <w:next w:val="a6"/>
    <w:qFormat/>
    <w:pPr>
      <w:numPr>
        <w:numId w:val="1"/>
      </w:numPr>
      <w:shd w:val="clear" w:color="FFFFFF" w:fill="FFFFFF"/>
      <w:spacing w:afterLines="150" w:after="150"/>
      <w:ind w:left="0" w:firstLine="0"/>
      <w:jc w:val="center"/>
      <w:outlineLvl w:val="0"/>
    </w:pPr>
    <w:rPr>
      <w:rFonts w:ascii="黑体" w:eastAsia="黑体"/>
      <w:sz w:val="32"/>
    </w:rPr>
  </w:style>
  <w:style w:type="paragraph" w:customStyle="1" w:styleId="afd">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3">
    <w:name w:val="标准文件_章标题"/>
    <w:next w:val="af1"/>
    <w:qFormat/>
    <w:pPr>
      <w:numPr>
        <w:ilvl w:val="1"/>
        <w:numId w:val="2"/>
      </w:numPr>
      <w:spacing w:beforeLines="100" w:before="100" w:afterLines="100" w:after="100"/>
      <w:jc w:val="both"/>
      <w:outlineLvl w:val="0"/>
    </w:pPr>
    <w:rPr>
      <w:rFonts w:ascii="黑体" w:eastAsia="黑体"/>
      <w:sz w:val="21"/>
    </w:rPr>
  </w:style>
  <w:style w:type="paragraph" w:customStyle="1" w:styleId="afe">
    <w:name w:val="标准文件_术语条一"/>
    <w:basedOn w:val="aff"/>
    <w:next w:val="af1"/>
    <w:qFormat/>
  </w:style>
  <w:style w:type="paragraph" w:customStyle="1" w:styleId="aff">
    <w:name w:val="标准文件_一级无标题"/>
    <w:basedOn w:val="a4"/>
    <w:qFormat/>
    <w:pPr>
      <w:spacing w:beforeLines="0" w:before="0" w:afterLines="0" w:after="0"/>
      <w:outlineLvl w:val="9"/>
    </w:pPr>
    <w:rPr>
      <w:rFonts w:ascii="宋体" w:eastAsia="宋体"/>
    </w:rPr>
  </w:style>
  <w:style w:type="paragraph" w:customStyle="1" w:styleId="a4">
    <w:name w:val="标准文件_一级条标题"/>
    <w:basedOn w:val="a3"/>
    <w:next w:val="af1"/>
    <w:qFormat/>
    <w:pPr>
      <w:numPr>
        <w:ilvl w:val="2"/>
      </w:numPr>
      <w:spacing w:beforeLines="50" w:before="50" w:afterLines="50" w:after="50"/>
      <w:outlineLvl w:val="1"/>
    </w:pPr>
  </w:style>
  <w:style w:type="paragraph" w:customStyle="1" w:styleId="aff0">
    <w:name w:val="标准文件_二级无标题"/>
    <w:basedOn w:val="a5"/>
    <w:qFormat/>
    <w:pPr>
      <w:spacing w:beforeLines="0" w:before="0" w:afterLines="0" w:after="0"/>
      <w:outlineLvl w:val="9"/>
    </w:pPr>
    <w:rPr>
      <w:rFonts w:ascii="宋体" w:eastAsia="宋体"/>
    </w:rPr>
  </w:style>
  <w:style w:type="paragraph" w:customStyle="1" w:styleId="a5">
    <w:name w:val="标准文件_二级条标题"/>
    <w:next w:val="af1"/>
    <w:qFormat/>
    <w:pPr>
      <w:widowControl w:val="0"/>
      <w:numPr>
        <w:ilvl w:val="3"/>
        <w:numId w:val="2"/>
      </w:numPr>
      <w:spacing w:beforeLines="50" w:before="50" w:afterLines="50" w:after="50"/>
      <w:jc w:val="both"/>
      <w:outlineLvl w:val="2"/>
    </w:pPr>
    <w:rPr>
      <w:rFonts w:ascii="黑体" w:eastAsia="黑体"/>
      <w:sz w:val="21"/>
    </w:rPr>
  </w:style>
  <w:style w:type="paragraph" w:customStyle="1" w:styleId="aff1">
    <w:name w:val="段"/>
    <w:qFormat/>
    <w:pPr>
      <w:tabs>
        <w:tab w:val="center" w:pos="4201"/>
        <w:tab w:val="right" w:leader="dot" w:pos="9298"/>
      </w:tabs>
      <w:autoSpaceDE w:val="0"/>
      <w:autoSpaceDN w:val="0"/>
      <w:ind w:firstLineChars="200" w:firstLine="420"/>
      <w:jc w:val="both"/>
    </w:pPr>
    <w:rPr>
      <w:rFonts w:ascii="宋体"/>
      <w:sz w:val="21"/>
    </w:rPr>
  </w:style>
  <w:style w:type="paragraph" w:customStyle="1" w:styleId="a0">
    <w:name w:val="标准文件_附录图标号"/>
    <w:basedOn w:val="af1"/>
    <w:next w:val="af1"/>
    <w:qFormat/>
    <w:pPr>
      <w:numPr>
        <w:numId w:val="3"/>
      </w:numPr>
      <w:spacing w:line="14" w:lineRule="exact"/>
      <w:ind w:firstLineChars="0" w:firstLine="0"/>
      <w:jc w:val="center"/>
    </w:pPr>
    <w:rPr>
      <w:rFonts w:ascii="黑体" w:eastAsia="黑体" w:hAnsi="黑体"/>
      <w:vanish/>
      <w:sz w:val="2"/>
      <w:szCs w:val="21"/>
    </w:rPr>
  </w:style>
  <w:style w:type="paragraph" w:customStyle="1" w:styleId="a1">
    <w:name w:val="标准文件_附录表标号"/>
    <w:basedOn w:val="af1"/>
    <w:next w:val="af1"/>
    <w:qFormat/>
    <w:pPr>
      <w:numPr>
        <w:numId w:val="4"/>
      </w:numPr>
      <w:spacing w:line="14" w:lineRule="exact"/>
      <w:ind w:firstLineChars="0" w:firstLine="0"/>
      <w:jc w:val="center"/>
    </w:pPr>
    <w:rPr>
      <w:rFonts w:eastAsia="黑体"/>
      <w:vanish/>
      <w:sz w:val="2"/>
    </w:rPr>
  </w:style>
  <w:style w:type="paragraph" w:customStyle="1" w:styleId="a2">
    <w:name w:val="标准文件_附录标识"/>
    <w:next w:val="af1"/>
    <w:qFormat/>
    <w:pPr>
      <w:numPr>
        <w:numId w:val="5"/>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2">
    <w:name w:val="标准文件_参考文献标题"/>
    <w:basedOn w:val="a6"/>
    <w:next w:val="a6"/>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ff3">
    <w:name w:val="标准文件_页眉奇数页"/>
    <w:next w:val="a6"/>
    <w:qFormat/>
    <w:pPr>
      <w:tabs>
        <w:tab w:val="center" w:pos="4154"/>
        <w:tab w:val="right" w:pos="8306"/>
      </w:tabs>
      <w:spacing w:after="120"/>
      <w:jc w:val="right"/>
    </w:pPr>
    <w:rPr>
      <w:rFonts w:ascii="黑体" w:eastAsia="黑体" w:hAnsi="宋体"/>
      <w:sz w:val="21"/>
    </w:rPr>
  </w:style>
  <w:style w:type="paragraph" w:customStyle="1" w:styleId="aff4">
    <w:name w:val="标准文件_页眉偶数页"/>
    <w:basedOn w:val="aff3"/>
    <w:next w:val="a6"/>
    <w:qFormat/>
    <w:pPr>
      <w:jc w:val="left"/>
    </w:pPr>
  </w:style>
  <w:style w:type="paragraph" w:customStyle="1" w:styleId="aff5">
    <w:name w:val="标准文件_页脚奇数页"/>
    <w:qFormat/>
    <w:pPr>
      <w:ind w:right="227"/>
      <w:jc w:val="right"/>
    </w:pPr>
    <w:rPr>
      <w:rFonts w:ascii="宋体"/>
      <w:sz w:val="18"/>
    </w:rPr>
  </w:style>
  <w:style w:type="paragraph" w:customStyle="1" w:styleId="aff6">
    <w:name w:val="标准文件_页脚偶数页"/>
    <w:qFormat/>
    <w:pPr>
      <w:ind w:left="198"/>
    </w:pPr>
    <w:rPr>
      <w:rFonts w:ascii="宋体"/>
      <w:sz w:val="18"/>
    </w:rPr>
  </w:style>
  <w:style w:type="paragraph" w:styleId="aff7">
    <w:name w:val="Balloon Text"/>
    <w:basedOn w:val="a6"/>
    <w:link w:val="Char"/>
    <w:rsid w:val="00D650EC"/>
    <w:pPr>
      <w:spacing w:line="240" w:lineRule="auto"/>
    </w:pPr>
    <w:rPr>
      <w:sz w:val="18"/>
      <w:szCs w:val="18"/>
    </w:rPr>
  </w:style>
  <w:style w:type="character" w:customStyle="1" w:styleId="Char">
    <w:name w:val="批注框文本 Char"/>
    <w:basedOn w:val="a7"/>
    <w:link w:val="aff7"/>
    <w:rsid w:val="00D650E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ae161e-5d7b-4f51-a8f7-33565e55d343}"/>
        <w:category>
          <w:name w:val="常规"/>
          <w:gallery w:val="placeholder"/>
        </w:category>
        <w:types>
          <w:type w:val="bbPlcHdr"/>
        </w:types>
        <w:behaviors>
          <w:behavior w:val="content"/>
        </w:behaviors>
        <w:guid w:val="{5EAE161E-5D7B-4F51-A8F7-33565E55D343}"/>
      </w:docPartPr>
      <w:docPartBody>
        <w:p w:rsidR="00A233CE" w:rsidRDefault="00A233CE">
          <w:pPr>
            <w:pStyle w:val="0CBB4C642BA14A4DBAE13270FAE4B25E"/>
          </w:pPr>
          <w:r>
            <w:rPr>
              <w:rStyle w:val="a3"/>
              <w:rFonts w:hint="eastAsia"/>
            </w:rPr>
            <w:t>单击或点击此处输入文字。</w:t>
          </w:r>
        </w:p>
      </w:docPartBody>
    </w:docPart>
    <w:docPart>
      <w:docPartPr>
        <w:name w:val="{dc46da87-ab71-4c36-84f9-a7764d2b39ec}"/>
        <w:category>
          <w:name w:val="常规"/>
          <w:gallery w:val="placeholder"/>
        </w:category>
        <w:types>
          <w:type w:val="bbPlcHdr"/>
        </w:types>
        <w:behaviors>
          <w:behavior w:val="content"/>
        </w:behaviors>
        <w:guid w:val="{DC46DA87-AB71-4C36-84F9-A7764D2B39EC}"/>
      </w:docPartPr>
      <w:docPartBody>
        <w:p w:rsidR="00A233CE" w:rsidRDefault="00A233CE">
          <w:pPr>
            <w:pStyle w:val="80A336CF760944CBA2B45138306FB3C4"/>
          </w:pPr>
          <w:r>
            <w:rPr>
              <w:rStyle w:val="a3"/>
              <w:rFonts w:hint="eastAsia"/>
            </w:rPr>
            <w:t>选择一项。</w:t>
          </w:r>
        </w:p>
      </w:docPartBody>
    </w:docPart>
    <w:docPart>
      <w:docPartPr>
        <w:name w:val="{f718f94f-cab4-459f-8768-d3caabfb6271}"/>
        <w:category>
          <w:name w:val="常规"/>
          <w:gallery w:val="placeholder"/>
        </w:category>
        <w:types>
          <w:type w:val="bbPlcHdr"/>
        </w:types>
        <w:behaviors>
          <w:behavior w:val="content"/>
        </w:behaviors>
        <w:guid w:val="{F718F94F-CAB4-459F-8768-D3CAABFB6271}"/>
      </w:docPartPr>
      <w:docPartBody>
        <w:p w:rsidR="00A233CE" w:rsidRDefault="00A233CE">
          <w:pPr>
            <w:pStyle w:val="FE6D2312CF884A4EAFDF5F39FED7E35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A233CE"/>
    <w:rsid w:val="00A23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BB4C642BA14A4DBAE13270FAE4B25E">
    <w:name w:val="0CBB4C642BA14A4DBAE13270FAE4B25E"/>
    <w:qFormat/>
    <w:pPr>
      <w:widowControl w:val="0"/>
      <w:jc w:val="both"/>
    </w:pPr>
    <w:rPr>
      <w:kern w:val="2"/>
      <w:sz w:val="21"/>
      <w:szCs w:val="22"/>
    </w:rPr>
  </w:style>
  <w:style w:type="character" w:styleId="a3">
    <w:name w:val="Placeholder Text"/>
    <w:basedOn w:val="a0"/>
    <w:uiPriority w:val="99"/>
    <w:semiHidden/>
    <w:qFormat/>
    <w:rPr>
      <w:color w:val="808080"/>
    </w:rPr>
  </w:style>
  <w:style w:type="paragraph" w:customStyle="1" w:styleId="80A336CF760944CBA2B45138306FB3C4">
    <w:name w:val="80A336CF760944CBA2B45138306FB3C4"/>
    <w:qFormat/>
    <w:pPr>
      <w:widowControl w:val="0"/>
      <w:jc w:val="both"/>
    </w:pPr>
    <w:rPr>
      <w:kern w:val="2"/>
      <w:sz w:val="21"/>
      <w:szCs w:val="22"/>
    </w:rPr>
  </w:style>
  <w:style w:type="paragraph" w:customStyle="1" w:styleId="FE6D2312CF884A4EAFDF5F39FED7E355">
    <w:name w:val="FE6D2312CF884A4EAFDF5F39FED7E355"/>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CBB4C642BA14A4DBAE13270FAE4B25E">
    <w:name w:val="0CBB4C642BA14A4DBAE13270FAE4B25E"/>
    <w:qFormat/>
    <w:pPr>
      <w:widowControl w:val="0"/>
      <w:jc w:val="both"/>
    </w:pPr>
    <w:rPr>
      <w:kern w:val="2"/>
      <w:sz w:val="21"/>
      <w:szCs w:val="22"/>
    </w:rPr>
  </w:style>
  <w:style w:type="character" w:styleId="a3">
    <w:name w:val="Placeholder Text"/>
    <w:basedOn w:val="a0"/>
    <w:uiPriority w:val="99"/>
    <w:semiHidden/>
    <w:qFormat/>
    <w:rPr>
      <w:color w:val="808080"/>
    </w:rPr>
  </w:style>
  <w:style w:type="paragraph" w:customStyle="1" w:styleId="80A336CF760944CBA2B45138306FB3C4">
    <w:name w:val="80A336CF760944CBA2B45138306FB3C4"/>
    <w:qFormat/>
    <w:pPr>
      <w:widowControl w:val="0"/>
      <w:jc w:val="both"/>
    </w:pPr>
    <w:rPr>
      <w:kern w:val="2"/>
      <w:sz w:val="21"/>
      <w:szCs w:val="22"/>
    </w:rPr>
  </w:style>
  <w:style w:type="paragraph" w:customStyle="1" w:styleId="FE6D2312CF884A4EAFDF5F39FED7E355">
    <w:name w:val="FE6D2312CF884A4EAFDF5F39FED7E35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1446</Words>
  <Characters>1386</Characters>
  <Application>Microsoft Office Word</Application>
  <DocSecurity>0</DocSecurity>
  <Lines>11</Lines>
  <Paragraphs>5</Paragraphs>
  <ScaleCrop>false</ScaleCrop>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JLX Yang</dc:creator>
  <cp:lastModifiedBy>刘富强</cp:lastModifiedBy>
  <cp:revision>4</cp:revision>
  <dcterms:created xsi:type="dcterms:W3CDTF">2023-05-30T05:28:00Z</dcterms:created>
  <dcterms:modified xsi:type="dcterms:W3CDTF">2023-05-30T10:21:00Z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ED7EB7BF40E147E1AA1D2200208E0B17</vt:lpwstr>
  </property>
</Properties>
</file>