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29" w:rsidRDefault="003830EB">
      <w:pPr>
        <w:jc w:val="center"/>
        <w:rPr>
          <w:rFonts w:eastAsia="方正小标宋简体"/>
          <w:bCs/>
          <w:sz w:val="44"/>
          <w:szCs w:val="44"/>
        </w:rPr>
      </w:pPr>
      <w:bookmarkStart w:id="0" w:name="_GoBack"/>
      <w:r>
        <w:rPr>
          <w:rFonts w:eastAsia="方正小标宋简体" w:hint="eastAsia"/>
          <w:bCs/>
          <w:sz w:val="44"/>
          <w:szCs w:val="44"/>
        </w:rPr>
        <w:t>2023</w:t>
      </w:r>
      <w:proofErr w:type="gramStart"/>
      <w:r>
        <w:rPr>
          <w:rFonts w:eastAsia="方正小标宋简体" w:hint="eastAsia"/>
          <w:bCs/>
          <w:sz w:val="44"/>
          <w:szCs w:val="44"/>
        </w:rPr>
        <w:t>医保协议</w:t>
      </w:r>
      <w:proofErr w:type="gramEnd"/>
      <w:r>
        <w:rPr>
          <w:rFonts w:eastAsia="方正小标宋简体" w:hint="eastAsia"/>
          <w:bCs/>
          <w:sz w:val="44"/>
          <w:szCs w:val="44"/>
        </w:rPr>
        <w:t>年度天津市定点医疗机构</w:t>
      </w:r>
    </w:p>
    <w:p w:rsidR="00D21A29" w:rsidRDefault="003830EB">
      <w:pPr>
        <w:jc w:val="center"/>
        <w:rPr>
          <w:rFonts w:eastAsia="方正小标宋简体"/>
          <w:bCs/>
          <w:sz w:val="44"/>
          <w:szCs w:val="44"/>
        </w:rPr>
      </w:pPr>
      <w:proofErr w:type="gramStart"/>
      <w:r>
        <w:rPr>
          <w:rFonts w:eastAsia="方正小标宋简体" w:hint="eastAsia"/>
          <w:bCs/>
          <w:sz w:val="44"/>
          <w:szCs w:val="44"/>
        </w:rPr>
        <w:t>医</w:t>
      </w:r>
      <w:proofErr w:type="gramEnd"/>
      <w:r>
        <w:rPr>
          <w:rFonts w:eastAsia="方正小标宋简体" w:hint="eastAsia"/>
          <w:bCs/>
          <w:sz w:val="44"/>
          <w:szCs w:val="44"/>
        </w:rPr>
        <w:t>保总额预算额度核定方案</w:t>
      </w:r>
    </w:p>
    <w:p w:rsidR="00D21A29" w:rsidRDefault="003830EB">
      <w:pPr>
        <w:jc w:val="center"/>
        <w:rPr>
          <w:rFonts w:ascii="Times New Roman" w:eastAsia="楷体" w:hAnsi="Times New Roman" w:cs="楷体"/>
          <w:sz w:val="32"/>
          <w:szCs w:val="32"/>
        </w:rPr>
      </w:pPr>
      <w:r>
        <w:rPr>
          <w:rFonts w:ascii="Times New Roman" w:eastAsia="楷体" w:hAnsi="Times New Roman" w:cs="楷体" w:hint="eastAsia"/>
          <w:sz w:val="32"/>
          <w:szCs w:val="32"/>
        </w:rPr>
        <w:t>（</w:t>
      </w:r>
      <w:r>
        <w:rPr>
          <w:rFonts w:ascii="Times New Roman" w:eastAsia="楷体" w:hAnsi="Times New Roman" w:cs="楷体"/>
          <w:sz w:val="32"/>
          <w:szCs w:val="32"/>
        </w:rPr>
        <w:t>征求意见</w:t>
      </w:r>
      <w:r>
        <w:rPr>
          <w:rFonts w:ascii="Times New Roman" w:eastAsia="楷体" w:hAnsi="Times New Roman" w:cs="楷体" w:hint="eastAsia"/>
          <w:sz w:val="32"/>
          <w:szCs w:val="32"/>
        </w:rPr>
        <w:t>稿</w:t>
      </w:r>
      <w:r>
        <w:rPr>
          <w:rFonts w:ascii="Times New Roman" w:eastAsia="楷体" w:hAnsi="Times New Roman" w:cs="楷体" w:hint="eastAsia"/>
          <w:sz w:val="32"/>
          <w:szCs w:val="32"/>
        </w:rPr>
        <w:t>）</w:t>
      </w:r>
      <w:bookmarkEnd w:id="0"/>
    </w:p>
    <w:p w:rsidR="00D21A29" w:rsidRDefault="00D21A29">
      <w:pPr>
        <w:rPr>
          <w:rFonts w:ascii="Times New Roman" w:hAnsi="Times New Roman"/>
          <w:sz w:val="32"/>
          <w:szCs w:val="32"/>
        </w:rPr>
      </w:pP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为做好</w:t>
      </w:r>
      <w:r>
        <w:rPr>
          <w:rFonts w:ascii="Times New Roman" w:eastAsia="仿宋" w:hAnsi="Times New Roman" w:cs="仿宋" w:hint="eastAsia"/>
          <w:sz w:val="32"/>
          <w:szCs w:val="32"/>
        </w:rPr>
        <w:t>2023</w:t>
      </w:r>
      <w:proofErr w:type="gramStart"/>
      <w:r>
        <w:rPr>
          <w:rFonts w:ascii="Times New Roman" w:eastAsia="仿宋" w:hAnsi="Times New Roman" w:cs="仿宋" w:hint="eastAsia"/>
          <w:sz w:val="32"/>
          <w:szCs w:val="32"/>
        </w:rPr>
        <w:t>医保协议年度医</w:t>
      </w:r>
      <w:proofErr w:type="gramEnd"/>
      <w:r>
        <w:rPr>
          <w:rFonts w:ascii="Times New Roman" w:eastAsia="仿宋" w:hAnsi="Times New Roman" w:cs="仿宋" w:hint="eastAsia"/>
          <w:sz w:val="32"/>
          <w:szCs w:val="32"/>
        </w:rPr>
        <w:t>保总额预算管理工作，按照《市医保局市卫生健康委市财政局关于印发天津市医疗保障区域</w:t>
      </w: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点数法总额预算和按病种分值付费管理办法</w:t>
      </w:r>
      <w:r>
        <w:rPr>
          <w:rFonts w:eastAsia="仿宋" w:cs="仿宋"/>
          <w:sz w:val="32"/>
          <w:szCs w:val="32"/>
        </w:rPr>
        <w:t>（</w:t>
      </w:r>
      <w:r>
        <w:rPr>
          <w:rFonts w:ascii="Times New Roman" w:eastAsia="仿宋" w:hAnsi="Times New Roman" w:cs="仿宋" w:hint="eastAsia"/>
          <w:sz w:val="32"/>
          <w:szCs w:val="32"/>
        </w:rPr>
        <w:t>试行</w:t>
      </w:r>
      <w:r>
        <w:rPr>
          <w:rFonts w:eastAsia="仿宋" w:cs="仿宋"/>
          <w:sz w:val="32"/>
          <w:szCs w:val="32"/>
        </w:rPr>
        <w:t>）</w:t>
      </w:r>
      <w:r>
        <w:rPr>
          <w:rFonts w:ascii="Times New Roman" w:eastAsia="仿宋" w:hAnsi="Times New Roman" w:cs="仿宋" w:hint="eastAsia"/>
          <w:sz w:val="32"/>
          <w:szCs w:val="32"/>
        </w:rPr>
        <w:t>的通知》</w:t>
      </w:r>
      <w:r>
        <w:rPr>
          <w:rFonts w:eastAsia="仿宋" w:cs="仿宋"/>
          <w:sz w:val="32"/>
          <w:szCs w:val="32"/>
        </w:rPr>
        <w:t>（</w:t>
      </w:r>
      <w:r>
        <w:rPr>
          <w:rFonts w:ascii="Times New Roman" w:eastAsia="仿宋" w:hAnsi="Times New Roman" w:cs="仿宋" w:hint="eastAsia"/>
          <w:sz w:val="32"/>
          <w:szCs w:val="32"/>
        </w:rPr>
        <w:t>津</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保局发〔</w:t>
      </w:r>
      <w:r>
        <w:rPr>
          <w:rFonts w:ascii="Times New Roman" w:eastAsia="仿宋" w:hAnsi="Times New Roman" w:cs="仿宋" w:hint="eastAsia"/>
          <w:sz w:val="32"/>
          <w:szCs w:val="32"/>
        </w:rPr>
        <w:t>2021</w:t>
      </w:r>
      <w:r>
        <w:rPr>
          <w:rFonts w:ascii="Times New Roman" w:eastAsia="仿宋" w:hAnsi="Times New Roman" w:cs="仿宋" w:hint="eastAsia"/>
          <w:sz w:val="32"/>
          <w:szCs w:val="32"/>
        </w:rPr>
        <w:t>〕</w:t>
      </w:r>
      <w:r>
        <w:rPr>
          <w:rFonts w:ascii="Times New Roman" w:eastAsia="仿宋" w:hAnsi="Times New Roman" w:cs="仿宋" w:hint="eastAsia"/>
          <w:sz w:val="32"/>
          <w:szCs w:val="32"/>
        </w:rPr>
        <w:t>75</w:t>
      </w:r>
      <w:r>
        <w:rPr>
          <w:rFonts w:ascii="Times New Roman" w:eastAsia="仿宋" w:hAnsi="Times New Roman" w:cs="仿宋" w:hint="eastAsia"/>
          <w:sz w:val="32"/>
          <w:szCs w:val="32"/>
        </w:rPr>
        <w:t>号，以下简称《区域总额预算管理办法》</w:t>
      </w:r>
      <w:r>
        <w:rPr>
          <w:rFonts w:eastAsia="仿宋" w:cs="仿宋"/>
          <w:sz w:val="32"/>
          <w:szCs w:val="32"/>
        </w:rPr>
        <w:t>）</w:t>
      </w:r>
      <w:r>
        <w:rPr>
          <w:rFonts w:ascii="Times New Roman" w:eastAsia="仿宋" w:hAnsi="Times New Roman" w:cs="仿宋" w:hint="eastAsia"/>
          <w:sz w:val="32"/>
          <w:szCs w:val="32"/>
        </w:rPr>
        <w:t>，</w:t>
      </w:r>
      <w:r>
        <w:rPr>
          <w:rFonts w:ascii="Times New Roman" w:eastAsia="仿宋" w:hAnsi="Times New Roman" w:cs="仿宋" w:hint="eastAsia"/>
          <w:sz w:val="32"/>
          <w:szCs w:val="32"/>
        </w:rPr>
        <w:t>结合实际运行情况，制定本方案。</w:t>
      </w:r>
    </w:p>
    <w:p w:rsidR="00D21A29" w:rsidRDefault="003830EB">
      <w:pPr>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一、工作目标</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按照《区域总额预算管理办法》规定，坚持保障基本、公平合理、激励约束、加强管理、统筹推进原则，合理确定</w:t>
      </w:r>
      <w:r>
        <w:rPr>
          <w:rFonts w:ascii="Times New Roman" w:eastAsia="仿宋" w:hAnsi="Times New Roman" w:cs="仿宋" w:hint="eastAsia"/>
          <w:sz w:val="32"/>
          <w:szCs w:val="32"/>
        </w:rPr>
        <w:t>2023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年度天津市定点医疗机构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保总额预算额度，加快推进多元复合式</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保支付方式改革，发挥</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保基金战略性购买作用和市场在资源配置中的决定性作用，建立区域医疗费用总额增长与</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保基金收入增长相适应的调控机制，更好地平衡医疗事业发展需要和各方承受能力，更好地保障参保人员权益</w:t>
      </w:r>
      <w:r>
        <w:rPr>
          <w:rFonts w:eastAsia="仿宋" w:cs="仿宋"/>
          <w:sz w:val="32"/>
          <w:szCs w:val="32"/>
        </w:rPr>
        <w:t>，</w:t>
      </w:r>
      <w:r>
        <w:rPr>
          <w:rFonts w:ascii="Times New Roman" w:eastAsia="仿宋" w:hAnsi="Times New Roman" w:cs="仿宋" w:hint="eastAsia"/>
          <w:sz w:val="32"/>
          <w:szCs w:val="32"/>
        </w:rPr>
        <w:t>推进医疗保障和医药服务高质量协同发展。</w:t>
      </w:r>
    </w:p>
    <w:p w:rsidR="00D21A29" w:rsidRDefault="003830EB">
      <w:pPr>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二、总额预算核定方法</w:t>
      </w:r>
    </w:p>
    <w:p w:rsidR="00D21A29" w:rsidRDefault="003830EB">
      <w:pPr>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w:t>
      </w:r>
      <w:r>
        <w:rPr>
          <w:rFonts w:ascii="Times New Roman" w:eastAsia="楷体" w:hAnsi="Times New Roman" w:cs="楷体" w:hint="eastAsia"/>
          <w:sz w:val="32"/>
          <w:szCs w:val="32"/>
        </w:rPr>
        <w:t>一</w:t>
      </w:r>
      <w:r>
        <w:rPr>
          <w:rFonts w:ascii="Times New Roman" w:eastAsia="楷体" w:hAnsi="Times New Roman" w:cs="楷体" w:hint="eastAsia"/>
          <w:sz w:val="32"/>
          <w:szCs w:val="32"/>
        </w:rPr>
        <w:t>）</w:t>
      </w:r>
      <w:r>
        <w:rPr>
          <w:rFonts w:ascii="Times New Roman" w:eastAsia="楷体" w:hAnsi="Times New Roman" w:cs="楷体" w:hint="eastAsia"/>
          <w:sz w:val="32"/>
          <w:szCs w:val="32"/>
        </w:rPr>
        <w:t>总额预算分类</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2023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保总额预算额度，按照规定的支付类别、机构类别、费用类别分别核定，具体为：</w:t>
      </w:r>
      <w:r>
        <w:rPr>
          <w:rFonts w:ascii="Times New Roman" w:eastAsia="仿宋" w:hAnsi="Times New Roman" w:cs="仿宋" w:hint="eastAsia"/>
          <w:sz w:val="32"/>
          <w:szCs w:val="32"/>
        </w:rPr>
        <w:lastRenderedPageBreak/>
        <w:t>支付类别分为住院和门诊两类，将癌症放化疗和镇痛治疗门诊特定疾病纳入住院</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保总额预算核定范围，其他门诊特定疾病病种和普通门</w:t>
      </w:r>
      <w:r>
        <w:rPr>
          <w:rFonts w:ascii="Times New Roman" w:eastAsia="仿宋" w:hAnsi="Times New Roman" w:cs="仿宋" w:hint="eastAsia"/>
          <w:sz w:val="32"/>
          <w:szCs w:val="32"/>
        </w:rPr>
        <w:t>（</w:t>
      </w:r>
      <w:r>
        <w:rPr>
          <w:rFonts w:ascii="Times New Roman" w:eastAsia="仿宋" w:hAnsi="Times New Roman" w:cs="仿宋" w:hint="eastAsia"/>
          <w:sz w:val="32"/>
          <w:szCs w:val="32"/>
        </w:rPr>
        <w:t>急</w:t>
      </w:r>
      <w:r>
        <w:rPr>
          <w:rFonts w:ascii="Times New Roman" w:eastAsia="仿宋" w:hAnsi="Times New Roman" w:cs="仿宋" w:hint="eastAsia"/>
          <w:sz w:val="32"/>
          <w:szCs w:val="32"/>
        </w:rPr>
        <w:t>）</w:t>
      </w:r>
      <w:r>
        <w:rPr>
          <w:rFonts w:ascii="Times New Roman" w:eastAsia="仿宋" w:hAnsi="Times New Roman" w:cs="仿宋" w:hint="eastAsia"/>
          <w:sz w:val="32"/>
          <w:szCs w:val="32"/>
        </w:rPr>
        <w:t>诊纳入门诊</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保总额预算核定范围；门诊</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保总额预算再按照三级医疗机构、中医医疗机构、二级医疗机构、家庭医生签约基层医疗机构以及其他基层医疗机构五个机构类别分别核定；</w:t>
      </w:r>
      <w:r>
        <w:rPr>
          <w:rFonts w:ascii="Times New Roman" w:eastAsia="仿宋" w:hAnsi="Times New Roman" w:cs="仿宋" w:hint="eastAsia"/>
          <w:sz w:val="32"/>
          <w:szCs w:val="32"/>
        </w:rPr>
        <w:t>其他基层医疗机构再按照市内六区、滨海新区、</w:t>
      </w:r>
      <w:proofErr w:type="gramStart"/>
      <w:r>
        <w:rPr>
          <w:rFonts w:ascii="Times New Roman" w:eastAsia="仿宋" w:hAnsi="Times New Roman" w:cs="仿宋" w:hint="eastAsia"/>
          <w:sz w:val="32"/>
          <w:szCs w:val="32"/>
        </w:rPr>
        <w:t>环城四</w:t>
      </w:r>
      <w:proofErr w:type="gramEnd"/>
      <w:r>
        <w:rPr>
          <w:rFonts w:ascii="Times New Roman" w:eastAsia="仿宋" w:hAnsi="Times New Roman" w:cs="仿宋" w:hint="eastAsia"/>
          <w:sz w:val="32"/>
          <w:szCs w:val="32"/>
        </w:rPr>
        <w:t>区和远郊五区四个区域分别核定；</w:t>
      </w:r>
      <w:r>
        <w:rPr>
          <w:rFonts w:ascii="Times New Roman" w:eastAsia="仿宋" w:hAnsi="Times New Roman" w:cs="仿宋" w:hint="eastAsia"/>
          <w:sz w:val="32"/>
          <w:szCs w:val="32"/>
        </w:rPr>
        <w:t>各机构类别的门诊</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保总额预算，再按照药品</w:t>
      </w:r>
      <w:r>
        <w:rPr>
          <w:rFonts w:ascii="Times New Roman" w:eastAsia="仿宋" w:hAnsi="Times New Roman" w:cs="仿宋" w:hint="eastAsia"/>
          <w:sz w:val="32"/>
          <w:szCs w:val="32"/>
        </w:rPr>
        <w:t>（</w:t>
      </w:r>
      <w:r>
        <w:rPr>
          <w:rFonts w:ascii="Times New Roman" w:eastAsia="仿宋" w:hAnsi="Times New Roman" w:cs="仿宋" w:hint="eastAsia"/>
          <w:sz w:val="32"/>
          <w:szCs w:val="32"/>
        </w:rPr>
        <w:t>西药和中成药</w:t>
      </w:r>
      <w:r>
        <w:rPr>
          <w:rFonts w:ascii="Times New Roman" w:eastAsia="仿宋" w:hAnsi="Times New Roman" w:cs="仿宋" w:hint="eastAsia"/>
          <w:sz w:val="32"/>
          <w:szCs w:val="32"/>
        </w:rPr>
        <w:t>）</w:t>
      </w:r>
      <w:r>
        <w:rPr>
          <w:rFonts w:ascii="Times New Roman" w:eastAsia="仿宋" w:hAnsi="Times New Roman" w:cs="仿宋" w:hint="eastAsia"/>
          <w:sz w:val="32"/>
          <w:szCs w:val="32"/>
        </w:rPr>
        <w:t>和医疗服务两个费用类别分别核定。</w:t>
      </w:r>
    </w:p>
    <w:p w:rsidR="00D21A29" w:rsidRDefault="003830EB">
      <w:pPr>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t>（</w:t>
      </w:r>
      <w:r>
        <w:rPr>
          <w:rFonts w:ascii="Times New Roman" w:eastAsia="楷体" w:hAnsi="Times New Roman" w:cs="楷体" w:hint="eastAsia"/>
          <w:sz w:val="32"/>
          <w:szCs w:val="32"/>
        </w:rPr>
        <w:t>二</w:t>
      </w:r>
      <w:r>
        <w:rPr>
          <w:rFonts w:ascii="Times New Roman" w:eastAsia="楷体" w:hAnsi="Times New Roman" w:cs="楷体" w:hint="eastAsia"/>
          <w:sz w:val="32"/>
          <w:szCs w:val="32"/>
        </w:rPr>
        <w:t>）</w:t>
      </w:r>
      <w:r>
        <w:rPr>
          <w:rFonts w:ascii="Times New Roman" w:eastAsia="楷体" w:hAnsi="Times New Roman" w:cs="楷体" w:hint="eastAsia"/>
          <w:sz w:val="32"/>
          <w:szCs w:val="32"/>
        </w:rPr>
        <w:t>总额预算基数</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以</w:t>
      </w:r>
      <w:r>
        <w:rPr>
          <w:rFonts w:ascii="Times New Roman" w:eastAsia="仿宋" w:hAnsi="Times New Roman" w:cs="仿宋" w:hint="eastAsia"/>
          <w:sz w:val="32"/>
          <w:szCs w:val="32"/>
        </w:rPr>
        <w:t>2022</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保总额预算额度作为</w:t>
      </w:r>
      <w:r>
        <w:rPr>
          <w:rFonts w:ascii="Times New Roman" w:eastAsia="仿宋" w:hAnsi="Times New Roman" w:cs="仿宋" w:hint="eastAsia"/>
          <w:sz w:val="32"/>
          <w:szCs w:val="32"/>
        </w:rPr>
        <w:t>2023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保总额预算额度的核定基数，并按照上述支付类别、机构类别、费用类别进行细分。其中，</w:t>
      </w:r>
      <w:r>
        <w:rPr>
          <w:rFonts w:ascii="Times New Roman" w:eastAsia="仿宋" w:hAnsi="Times New Roman" w:cs="仿宋" w:hint="eastAsia"/>
          <w:sz w:val="32"/>
          <w:szCs w:val="32"/>
        </w:rPr>
        <w:t>综合考虑</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保政策调整因素，相应增加各细分类别总额预算额度核定基数。一是</w:t>
      </w:r>
      <w:r>
        <w:rPr>
          <w:rFonts w:ascii="Times New Roman" w:eastAsia="仿宋" w:hAnsi="Times New Roman" w:cs="仿宋" w:hint="eastAsia"/>
          <w:sz w:val="32"/>
          <w:szCs w:val="32"/>
        </w:rPr>
        <w:t>2023</w:t>
      </w:r>
      <w:r>
        <w:rPr>
          <w:rFonts w:ascii="Times New Roman" w:eastAsia="仿宋" w:hAnsi="Times New Roman" w:cs="仿宋" w:hint="eastAsia"/>
          <w:sz w:val="32"/>
          <w:szCs w:val="32"/>
        </w:rPr>
        <w:t>年度</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保政策调整</w:t>
      </w:r>
      <w:r>
        <w:rPr>
          <w:rFonts w:ascii="Times New Roman" w:eastAsia="仿宋" w:hAnsi="Times New Roman" w:cs="仿宋" w:hint="eastAsia"/>
          <w:sz w:val="32"/>
          <w:szCs w:val="32"/>
        </w:rPr>
        <w:t>意外伤害</w:t>
      </w:r>
      <w:r>
        <w:rPr>
          <w:rFonts w:ascii="Times New Roman" w:eastAsia="仿宋" w:hAnsi="Times New Roman" w:cs="仿宋" w:hint="eastAsia"/>
          <w:sz w:val="32"/>
          <w:szCs w:val="32"/>
        </w:rPr>
        <w:t>医疗费用</w:t>
      </w:r>
      <w:r>
        <w:rPr>
          <w:rFonts w:ascii="Times New Roman" w:eastAsia="仿宋" w:hAnsi="Times New Roman" w:cs="仿宋" w:hint="eastAsia"/>
          <w:sz w:val="32"/>
          <w:szCs w:val="32"/>
        </w:rPr>
        <w:t>并入基本医疗保险制度</w:t>
      </w:r>
      <w:r>
        <w:rPr>
          <w:rFonts w:ascii="Times New Roman" w:eastAsia="仿宋" w:hAnsi="Times New Roman" w:cs="仿宋" w:hint="eastAsia"/>
          <w:sz w:val="32"/>
          <w:szCs w:val="32"/>
        </w:rPr>
        <w:t>因素，</w:t>
      </w:r>
      <w:r>
        <w:rPr>
          <w:rFonts w:ascii="Times New Roman" w:eastAsia="仿宋" w:hAnsi="Times New Roman" w:cs="仿宋" w:hint="eastAsia"/>
          <w:sz w:val="32"/>
          <w:szCs w:val="32"/>
        </w:rPr>
        <w:t>依据</w:t>
      </w:r>
      <w:r>
        <w:rPr>
          <w:rFonts w:ascii="Times New Roman" w:eastAsia="仿宋" w:hAnsi="Times New Roman" w:cs="仿宋" w:hint="eastAsia"/>
          <w:sz w:val="32"/>
          <w:szCs w:val="32"/>
        </w:rPr>
        <w:t>202</w:t>
      </w:r>
      <w:r>
        <w:rPr>
          <w:rFonts w:ascii="Times New Roman" w:eastAsia="仿宋" w:hAnsi="Times New Roman" w:cs="仿宋" w:hint="eastAsia"/>
          <w:sz w:val="32"/>
          <w:szCs w:val="32"/>
        </w:rPr>
        <w:t>2</w:t>
      </w:r>
      <w:r>
        <w:rPr>
          <w:rFonts w:ascii="Times New Roman" w:eastAsia="仿宋" w:hAnsi="Times New Roman" w:cs="仿宋" w:hint="eastAsia"/>
          <w:sz w:val="32"/>
          <w:szCs w:val="32"/>
        </w:rPr>
        <w:t>年度</w:t>
      </w:r>
      <w:r>
        <w:rPr>
          <w:rFonts w:ascii="Times New Roman" w:eastAsia="仿宋" w:hAnsi="Times New Roman" w:cs="仿宋" w:hint="eastAsia"/>
          <w:sz w:val="32"/>
          <w:szCs w:val="32"/>
        </w:rPr>
        <w:t>参保人员发生的意外伤害</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保费用的</w:t>
      </w:r>
      <w:r>
        <w:rPr>
          <w:rFonts w:ascii="Times New Roman" w:eastAsia="仿宋" w:hAnsi="Times New Roman" w:cs="仿宋" w:hint="eastAsia"/>
          <w:sz w:val="32"/>
          <w:szCs w:val="32"/>
        </w:rPr>
        <w:t>分布情况</w:t>
      </w:r>
      <w:r>
        <w:rPr>
          <w:rFonts w:ascii="Times New Roman" w:eastAsia="仿宋" w:hAnsi="Times New Roman" w:cs="仿宋" w:hint="eastAsia"/>
          <w:sz w:val="32"/>
          <w:szCs w:val="32"/>
        </w:rPr>
        <w:t>，</w:t>
      </w:r>
      <w:r>
        <w:rPr>
          <w:rFonts w:ascii="Times New Roman" w:eastAsia="仿宋" w:hAnsi="Times New Roman" w:cs="仿宋" w:hint="eastAsia"/>
          <w:sz w:val="32"/>
          <w:szCs w:val="32"/>
        </w:rPr>
        <w:t>相应增加门诊、住院</w:t>
      </w:r>
      <w:r>
        <w:rPr>
          <w:rFonts w:ascii="Times New Roman" w:eastAsia="仿宋" w:hAnsi="Times New Roman" w:cs="仿宋" w:hint="eastAsia"/>
          <w:sz w:val="32"/>
          <w:szCs w:val="32"/>
        </w:rPr>
        <w:t>核定基数。二是考虑</w:t>
      </w:r>
      <w:r>
        <w:rPr>
          <w:rFonts w:ascii="Times New Roman" w:eastAsia="仿宋" w:hAnsi="Times New Roman" w:cs="仿宋" w:hint="eastAsia"/>
          <w:sz w:val="32"/>
          <w:szCs w:val="32"/>
        </w:rPr>
        <w:t>2022</w:t>
      </w:r>
      <w:r>
        <w:rPr>
          <w:rFonts w:ascii="Times New Roman" w:eastAsia="仿宋" w:hAnsi="Times New Roman" w:cs="仿宋" w:hint="eastAsia"/>
          <w:sz w:val="32"/>
          <w:szCs w:val="32"/>
        </w:rPr>
        <w:t>年度</w:t>
      </w:r>
      <w:r>
        <w:rPr>
          <w:rFonts w:ascii="Times New Roman" w:eastAsia="仿宋" w:hAnsi="Times New Roman" w:cs="仿宋"/>
          <w:spacing w:val="15"/>
          <w:sz w:val="32"/>
          <w:szCs w:val="32"/>
        </w:rPr>
        <w:t>居民门诊政策调整</w:t>
      </w:r>
      <w:r>
        <w:rPr>
          <w:rFonts w:ascii="Times New Roman" w:eastAsia="仿宋" w:hAnsi="Times New Roman" w:cs="仿宋" w:hint="eastAsia"/>
          <w:spacing w:val="15"/>
          <w:sz w:val="32"/>
          <w:szCs w:val="32"/>
        </w:rPr>
        <w:t>因素</w:t>
      </w:r>
      <w:r>
        <w:rPr>
          <w:rFonts w:ascii="Times New Roman" w:eastAsia="仿宋" w:hAnsi="Times New Roman" w:cs="仿宋" w:hint="eastAsia"/>
          <w:spacing w:val="15"/>
          <w:sz w:val="32"/>
          <w:szCs w:val="32"/>
        </w:rPr>
        <w:t>，</w:t>
      </w:r>
      <w:r>
        <w:rPr>
          <w:rFonts w:ascii="Times New Roman" w:eastAsia="仿宋" w:hAnsi="Times New Roman" w:cs="仿宋" w:hint="eastAsia"/>
          <w:spacing w:val="15"/>
          <w:sz w:val="32"/>
          <w:szCs w:val="32"/>
        </w:rPr>
        <w:t>依据</w:t>
      </w:r>
      <w:r>
        <w:rPr>
          <w:rFonts w:ascii="Times New Roman" w:eastAsia="仿宋" w:hAnsi="Times New Roman" w:cs="仿宋" w:hint="eastAsia"/>
          <w:sz w:val="32"/>
          <w:szCs w:val="32"/>
        </w:rPr>
        <w:t>2022</w:t>
      </w:r>
      <w:r>
        <w:rPr>
          <w:rFonts w:ascii="Times New Roman" w:eastAsia="仿宋" w:hAnsi="Times New Roman" w:cs="仿宋" w:hint="eastAsia"/>
          <w:sz w:val="32"/>
          <w:szCs w:val="32"/>
        </w:rPr>
        <w:t>协议</w:t>
      </w:r>
      <w:r>
        <w:rPr>
          <w:rFonts w:ascii="Times New Roman" w:eastAsia="仿宋" w:hAnsi="Times New Roman" w:cs="仿宋" w:hint="eastAsia"/>
          <w:spacing w:val="15"/>
          <w:sz w:val="32"/>
          <w:szCs w:val="32"/>
        </w:rPr>
        <w:t>年度三级医疗机构实际发生的居民门诊医疗费用的情况，</w:t>
      </w:r>
      <w:r>
        <w:rPr>
          <w:rFonts w:ascii="Times New Roman" w:eastAsia="仿宋" w:hAnsi="Times New Roman" w:cs="仿宋"/>
          <w:spacing w:val="14"/>
          <w:sz w:val="32"/>
          <w:szCs w:val="32"/>
        </w:rPr>
        <w:t>相应</w:t>
      </w:r>
      <w:r>
        <w:rPr>
          <w:rFonts w:ascii="Times New Roman" w:eastAsia="仿宋" w:hAnsi="Times New Roman" w:cs="仿宋"/>
          <w:spacing w:val="3"/>
          <w:sz w:val="32"/>
          <w:szCs w:val="32"/>
        </w:rPr>
        <w:t>增加</w:t>
      </w:r>
      <w:r>
        <w:rPr>
          <w:rFonts w:eastAsia="仿宋" w:cs="仿宋"/>
          <w:spacing w:val="3"/>
          <w:sz w:val="32"/>
          <w:szCs w:val="32"/>
        </w:rPr>
        <w:t>三级医疗机构和中医医疗机构</w:t>
      </w:r>
      <w:r>
        <w:rPr>
          <w:rFonts w:ascii="Times New Roman" w:eastAsia="仿宋" w:hAnsi="Times New Roman" w:cs="仿宋"/>
          <w:spacing w:val="3"/>
          <w:sz w:val="32"/>
          <w:szCs w:val="32"/>
        </w:rPr>
        <w:t>这两个机构类别的门诊</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w:t>
      </w:r>
      <w:r>
        <w:rPr>
          <w:rFonts w:ascii="Times New Roman" w:eastAsia="仿宋" w:hAnsi="Times New Roman" w:cs="仿宋" w:hint="eastAsia"/>
          <w:spacing w:val="3"/>
          <w:sz w:val="32"/>
          <w:szCs w:val="32"/>
        </w:rPr>
        <w:t>核定基数，</w:t>
      </w:r>
      <w:r>
        <w:rPr>
          <w:rFonts w:ascii="Times New Roman" w:eastAsia="仿宋" w:hAnsi="Times New Roman" w:cs="仿宋"/>
          <w:spacing w:val="3"/>
          <w:sz w:val="32"/>
          <w:szCs w:val="32"/>
        </w:rPr>
        <w:t>并将增量预算</w:t>
      </w:r>
      <w:r>
        <w:rPr>
          <w:rFonts w:ascii="Times New Roman" w:eastAsia="仿宋" w:hAnsi="Times New Roman" w:cs="仿宋" w:hint="eastAsia"/>
          <w:spacing w:val="3"/>
          <w:sz w:val="32"/>
          <w:szCs w:val="32"/>
        </w:rPr>
        <w:t>基数</w:t>
      </w:r>
      <w:r>
        <w:rPr>
          <w:rFonts w:ascii="Times New Roman" w:eastAsia="仿宋" w:hAnsi="Times New Roman" w:cs="仿宋"/>
          <w:spacing w:val="5"/>
          <w:sz w:val="32"/>
          <w:szCs w:val="32"/>
        </w:rPr>
        <w:t>细分至这两个机构类别的</w:t>
      </w:r>
      <w:proofErr w:type="gramStart"/>
      <w:r>
        <w:rPr>
          <w:rFonts w:ascii="Times New Roman" w:eastAsia="仿宋" w:hAnsi="Times New Roman" w:cs="仿宋"/>
          <w:spacing w:val="5"/>
          <w:sz w:val="32"/>
          <w:szCs w:val="32"/>
        </w:rPr>
        <w:t>各费用</w:t>
      </w:r>
      <w:proofErr w:type="gramEnd"/>
      <w:r>
        <w:rPr>
          <w:rFonts w:ascii="Times New Roman" w:eastAsia="仿宋" w:hAnsi="Times New Roman" w:cs="仿宋"/>
          <w:spacing w:val="5"/>
          <w:sz w:val="32"/>
          <w:szCs w:val="32"/>
        </w:rPr>
        <w:t>类别。</w:t>
      </w:r>
    </w:p>
    <w:p w:rsidR="00D21A29" w:rsidRDefault="003830EB">
      <w:pPr>
        <w:ind w:firstLineChars="200" w:firstLine="640"/>
        <w:rPr>
          <w:rFonts w:ascii="Times New Roman" w:eastAsia="楷体" w:hAnsi="Times New Roman" w:cs="楷体"/>
          <w:sz w:val="32"/>
          <w:szCs w:val="32"/>
        </w:rPr>
      </w:pPr>
      <w:r>
        <w:rPr>
          <w:rFonts w:ascii="Times New Roman" w:eastAsia="楷体" w:hAnsi="Times New Roman" w:cs="楷体" w:hint="eastAsia"/>
          <w:sz w:val="32"/>
          <w:szCs w:val="32"/>
        </w:rPr>
        <w:lastRenderedPageBreak/>
        <w:t>（</w:t>
      </w:r>
      <w:r>
        <w:rPr>
          <w:rFonts w:ascii="Times New Roman" w:eastAsia="楷体" w:hAnsi="Times New Roman" w:cs="楷体" w:hint="eastAsia"/>
          <w:sz w:val="32"/>
          <w:szCs w:val="32"/>
        </w:rPr>
        <w:t>三</w:t>
      </w:r>
      <w:r>
        <w:rPr>
          <w:rFonts w:ascii="Times New Roman" w:eastAsia="楷体" w:hAnsi="Times New Roman" w:cs="楷体" w:hint="eastAsia"/>
          <w:sz w:val="32"/>
          <w:szCs w:val="32"/>
        </w:rPr>
        <w:t>）</w:t>
      </w:r>
      <w:r>
        <w:rPr>
          <w:rFonts w:ascii="Times New Roman" w:eastAsia="楷体" w:hAnsi="Times New Roman" w:cs="楷体" w:hint="eastAsia"/>
          <w:sz w:val="32"/>
          <w:szCs w:val="32"/>
        </w:rPr>
        <w:t>考虑增长因素</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以</w:t>
      </w:r>
      <w:r>
        <w:rPr>
          <w:rFonts w:ascii="Times New Roman" w:eastAsia="仿宋" w:hAnsi="Times New Roman" w:cs="仿宋" w:hint="eastAsia"/>
          <w:sz w:val="32"/>
          <w:szCs w:val="32"/>
        </w:rPr>
        <w:t>2023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w:t>
      </w:r>
      <w:r>
        <w:rPr>
          <w:rFonts w:ascii="Times New Roman" w:eastAsia="仿宋" w:hAnsi="Times New Roman" w:cs="仿宋" w:hint="eastAsia"/>
          <w:sz w:val="32"/>
          <w:szCs w:val="32"/>
        </w:rPr>
        <w:t>的核定基数</w:t>
      </w:r>
      <w:r>
        <w:rPr>
          <w:rFonts w:ascii="Times New Roman" w:eastAsia="仿宋" w:hAnsi="Times New Roman" w:cs="仿宋" w:hint="eastAsia"/>
          <w:sz w:val="32"/>
          <w:szCs w:val="32"/>
        </w:rPr>
        <w:t>为基础，根据</w:t>
      </w:r>
      <w:r>
        <w:rPr>
          <w:rFonts w:ascii="Times New Roman" w:eastAsia="仿宋" w:hAnsi="Times New Roman" w:cs="仿宋" w:hint="eastAsia"/>
          <w:sz w:val="32"/>
          <w:szCs w:val="32"/>
        </w:rPr>
        <w:t>2019</w:t>
      </w:r>
      <w:r>
        <w:rPr>
          <w:rFonts w:ascii="Times New Roman" w:eastAsia="仿宋" w:hAnsi="Times New Roman" w:cs="仿宋" w:hint="eastAsia"/>
          <w:sz w:val="32"/>
          <w:szCs w:val="32"/>
        </w:rPr>
        <w:t>年至</w:t>
      </w:r>
      <w:r>
        <w:rPr>
          <w:rFonts w:ascii="Times New Roman" w:eastAsia="仿宋" w:hAnsi="Times New Roman" w:cs="仿宋" w:hint="eastAsia"/>
          <w:sz w:val="32"/>
          <w:szCs w:val="32"/>
        </w:rPr>
        <w:t xml:space="preserve">2022 </w:t>
      </w:r>
      <w:r>
        <w:rPr>
          <w:rFonts w:ascii="Times New Roman" w:eastAsia="仿宋" w:hAnsi="Times New Roman" w:cs="仿宋" w:hint="eastAsia"/>
          <w:sz w:val="32"/>
          <w:szCs w:val="32"/>
        </w:rPr>
        <w:t>年全市医疗费用总额的年均增幅，统一考虑增长因素</w:t>
      </w:r>
      <w:r>
        <w:rPr>
          <w:rFonts w:ascii="Times New Roman" w:eastAsia="仿宋" w:hAnsi="Times New Roman" w:cs="仿宋" w:hint="eastAsia"/>
          <w:sz w:val="32"/>
          <w:szCs w:val="32"/>
        </w:rPr>
        <w:t>后</w:t>
      </w:r>
      <w:r>
        <w:rPr>
          <w:rFonts w:ascii="Times New Roman" w:eastAsia="仿宋" w:hAnsi="Times New Roman" w:cs="仿宋" w:hint="eastAsia"/>
          <w:sz w:val="32"/>
          <w:szCs w:val="32"/>
        </w:rPr>
        <w:t>，分别核定</w:t>
      </w:r>
      <w:r>
        <w:rPr>
          <w:rFonts w:ascii="Times New Roman" w:eastAsia="仿宋" w:hAnsi="Times New Roman" w:cs="仿宋" w:hint="eastAsia"/>
          <w:sz w:val="32"/>
          <w:szCs w:val="32"/>
        </w:rPr>
        <w:t>2023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年度各类别的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w:t>
      </w:r>
    </w:p>
    <w:p w:rsidR="00D21A29" w:rsidRDefault="003830EB">
      <w:pPr>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w:t>
      </w:r>
      <w:r>
        <w:rPr>
          <w:rFonts w:ascii="Times New Roman" w:eastAsia="黑体" w:hAnsi="Times New Roman" w:cs="黑体" w:hint="eastAsia"/>
          <w:sz w:val="32"/>
          <w:szCs w:val="32"/>
        </w:rPr>
        <w:t>、</w:t>
      </w:r>
      <w:r>
        <w:rPr>
          <w:rFonts w:ascii="Times New Roman" w:eastAsia="黑体" w:hAnsi="Times New Roman" w:cs="黑体" w:hint="eastAsia"/>
          <w:sz w:val="32"/>
          <w:szCs w:val="32"/>
        </w:rPr>
        <w:t>总额预算核定结果</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按照上述总额预算核定方法测算，</w:t>
      </w:r>
      <w:r>
        <w:rPr>
          <w:rFonts w:ascii="Times New Roman" w:eastAsia="仿宋" w:hAnsi="Times New Roman" w:cs="仿宋" w:hint="eastAsia"/>
          <w:sz w:val="32"/>
          <w:szCs w:val="32"/>
        </w:rPr>
        <w:t>2022</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保总额预算额度为</w:t>
      </w:r>
      <w:r>
        <w:rPr>
          <w:rFonts w:ascii="Times New Roman" w:eastAsia="仿宋" w:hAnsi="Times New Roman" w:cs="仿宋" w:hint="eastAsia"/>
          <w:sz w:val="32"/>
          <w:szCs w:val="32"/>
        </w:rPr>
        <w:t>575.53</w:t>
      </w:r>
      <w:r>
        <w:rPr>
          <w:rFonts w:ascii="Times New Roman" w:eastAsia="仿宋" w:hAnsi="Times New Roman" w:cs="仿宋" w:hint="eastAsia"/>
          <w:sz w:val="32"/>
          <w:szCs w:val="32"/>
        </w:rPr>
        <w:t>亿元</w:t>
      </w:r>
      <w:r>
        <w:rPr>
          <w:rFonts w:ascii="Times New Roman" w:eastAsia="仿宋" w:hAnsi="Times New Roman" w:cs="仿宋" w:hint="eastAsia"/>
          <w:sz w:val="32"/>
          <w:szCs w:val="32"/>
        </w:rPr>
        <w:t>（</w:t>
      </w:r>
      <w:r>
        <w:rPr>
          <w:rFonts w:ascii="Times New Roman" w:eastAsia="仿宋" w:hAnsi="Times New Roman" w:cs="仿宋" w:hint="eastAsia"/>
          <w:sz w:val="32"/>
          <w:szCs w:val="32"/>
        </w:rPr>
        <w:t>包含参保人员发生的意外伤害</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保费用</w:t>
      </w:r>
      <w:r>
        <w:rPr>
          <w:rFonts w:ascii="Times New Roman" w:eastAsia="仿宋" w:hAnsi="Times New Roman" w:cs="仿宋" w:hint="eastAsia"/>
          <w:sz w:val="32"/>
          <w:szCs w:val="32"/>
        </w:rPr>
        <w:t>8.26</w:t>
      </w:r>
      <w:r>
        <w:rPr>
          <w:rFonts w:ascii="Times New Roman" w:eastAsia="仿宋" w:hAnsi="Times New Roman" w:cs="仿宋" w:hint="eastAsia"/>
          <w:sz w:val="32"/>
          <w:szCs w:val="32"/>
        </w:rPr>
        <w:t>亿元；</w:t>
      </w:r>
      <w:r>
        <w:rPr>
          <w:rFonts w:ascii="Times New Roman" w:eastAsia="仿宋" w:hAnsi="Times New Roman" w:cs="仿宋" w:hint="eastAsia"/>
          <w:spacing w:val="5"/>
          <w:sz w:val="32"/>
          <w:szCs w:val="32"/>
        </w:rPr>
        <w:t>因</w:t>
      </w:r>
      <w:r>
        <w:rPr>
          <w:rFonts w:ascii="Times New Roman" w:eastAsia="仿宋" w:hAnsi="Times New Roman" w:cs="仿宋"/>
          <w:spacing w:val="5"/>
          <w:sz w:val="32"/>
          <w:szCs w:val="32"/>
        </w:rPr>
        <w:t>居民</w:t>
      </w:r>
      <w:proofErr w:type="gramStart"/>
      <w:r>
        <w:rPr>
          <w:rFonts w:ascii="Times New Roman" w:eastAsia="仿宋" w:hAnsi="Times New Roman" w:cs="仿宋"/>
          <w:spacing w:val="5"/>
          <w:sz w:val="32"/>
          <w:szCs w:val="32"/>
        </w:rPr>
        <w:t>医</w:t>
      </w:r>
      <w:proofErr w:type="gramEnd"/>
      <w:r>
        <w:rPr>
          <w:rFonts w:ascii="Times New Roman" w:eastAsia="仿宋" w:hAnsi="Times New Roman" w:cs="仿宋"/>
          <w:spacing w:val="5"/>
          <w:sz w:val="32"/>
          <w:szCs w:val="32"/>
        </w:rPr>
        <w:t>保门诊政策</w:t>
      </w:r>
      <w:r>
        <w:rPr>
          <w:rFonts w:ascii="Times New Roman" w:eastAsia="仿宋" w:hAnsi="Times New Roman" w:cs="仿宋" w:hint="eastAsia"/>
          <w:spacing w:val="5"/>
          <w:sz w:val="32"/>
          <w:szCs w:val="32"/>
        </w:rPr>
        <w:t>增加的三级医疗机构发生的居民门诊</w:t>
      </w:r>
      <w:proofErr w:type="gramStart"/>
      <w:r>
        <w:rPr>
          <w:rFonts w:ascii="Times New Roman" w:eastAsia="仿宋" w:hAnsi="Times New Roman" w:cs="仿宋" w:hint="eastAsia"/>
          <w:spacing w:val="5"/>
          <w:sz w:val="32"/>
          <w:szCs w:val="32"/>
        </w:rPr>
        <w:t>医</w:t>
      </w:r>
      <w:proofErr w:type="gramEnd"/>
      <w:r>
        <w:rPr>
          <w:rFonts w:ascii="Times New Roman" w:eastAsia="仿宋" w:hAnsi="Times New Roman" w:cs="仿宋" w:hint="eastAsia"/>
          <w:spacing w:val="5"/>
          <w:sz w:val="32"/>
          <w:szCs w:val="32"/>
        </w:rPr>
        <w:t>保费用</w:t>
      </w:r>
      <w:r>
        <w:rPr>
          <w:rFonts w:ascii="Times New Roman" w:eastAsia="仿宋" w:hAnsi="Times New Roman" w:cs="仿宋" w:hint="eastAsia"/>
          <w:sz w:val="32"/>
          <w:szCs w:val="32"/>
        </w:rPr>
        <w:t>8.82</w:t>
      </w:r>
      <w:r>
        <w:rPr>
          <w:rFonts w:ascii="Times New Roman" w:eastAsia="仿宋" w:hAnsi="Times New Roman" w:cs="仿宋"/>
          <w:spacing w:val="5"/>
          <w:sz w:val="32"/>
          <w:szCs w:val="32"/>
        </w:rPr>
        <w:t>亿元</w:t>
      </w:r>
      <w:r>
        <w:rPr>
          <w:rFonts w:ascii="Times New Roman" w:eastAsia="仿宋" w:hAnsi="Times New Roman" w:cs="仿宋" w:hint="eastAsia"/>
          <w:sz w:val="32"/>
          <w:szCs w:val="32"/>
        </w:rPr>
        <w:t>）</w:t>
      </w:r>
      <w:r>
        <w:rPr>
          <w:rFonts w:ascii="Times New Roman" w:eastAsia="仿宋" w:hAnsi="Times New Roman" w:cs="仿宋" w:hint="eastAsia"/>
          <w:sz w:val="32"/>
          <w:szCs w:val="32"/>
        </w:rPr>
        <w:t>，</w:t>
      </w:r>
      <w:r>
        <w:rPr>
          <w:rFonts w:ascii="Times New Roman" w:eastAsia="仿宋" w:hAnsi="Times New Roman" w:cs="仿宋" w:hint="eastAsia"/>
          <w:sz w:val="32"/>
          <w:szCs w:val="32"/>
        </w:rPr>
        <w:t>以此为</w:t>
      </w:r>
      <w:r>
        <w:rPr>
          <w:rFonts w:ascii="Times New Roman" w:eastAsia="仿宋" w:hAnsi="Times New Roman" w:cs="仿宋" w:hint="eastAsia"/>
          <w:sz w:val="32"/>
          <w:szCs w:val="32"/>
        </w:rPr>
        <w:t>202</w:t>
      </w:r>
      <w:r>
        <w:rPr>
          <w:rFonts w:ascii="Times New Roman" w:eastAsia="仿宋" w:hAnsi="Times New Roman" w:cs="仿宋" w:hint="eastAsia"/>
          <w:sz w:val="32"/>
          <w:szCs w:val="32"/>
        </w:rPr>
        <w:t>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保总额预算额度的核定基数，按照</w:t>
      </w:r>
      <w:r>
        <w:rPr>
          <w:rFonts w:ascii="Times New Roman" w:eastAsia="仿宋" w:hAnsi="Times New Roman" w:cs="仿宋" w:hint="eastAsia"/>
          <w:sz w:val="32"/>
          <w:szCs w:val="32"/>
        </w:rPr>
        <w:t>2019</w:t>
      </w:r>
      <w:r>
        <w:rPr>
          <w:rFonts w:ascii="Times New Roman" w:eastAsia="仿宋" w:hAnsi="Times New Roman" w:cs="仿宋" w:hint="eastAsia"/>
          <w:sz w:val="32"/>
          <w:szCs w:val="32"/>
        </w:rPr>
        <w:t>年至</w:t>
      </w:r>
      <w:r>
        <w:rPr>
          <w:rFonts w:ascii="Times New Roman" w:eastAsia="仿宋" w:hAnsi="Times New Roman" w:cs="仿宋" w:hint="eastAsia"/>
          <w:sz w:val="32"/>
          <w:szCs w:val="32"/>
        </w:rPr>
        <w:t>202</w:t>
      </w:r>
      <w:r>
        <w:rPr>
          <w:rFonts w:ascii="Times New Roman" w:eastAsia="仿宋" w:hAnsi="Times New Roman" w:cs="仿宋" w:hint="eastAsia"/>
          <w:sz w:val="32"/>
          <w:szCs w:val="32"/>
        </w:rPr>
        <w:t>2</w:t>
      </w:r>
      <w:r>
        <w:rPr>
          <w:rFonts w:ascii="Times New Roman" w:eastAsia="仿宋" w:hAnsi="Times New Roman" w:cs="仿宋" w:hint="eastAsia"/>
          <w:sz w:val="32"/>
          <w:szCs w:val="32"/>
        </w:rPr>
        <w:t>年全市医疗费用总额年均增幅</w:t>
      </w:r>
      <w:r>
        <w:rPr>
          <w:rFonts w:ascii="Times New Roman" w:eastAsia="仿宋" w:hAnsi="Times New Roman" w:cs="仿宋" w:hint="eastAsia"/>
          <w:sz w:val="32"/>
          <w:szCs w:val="32"/>
        </w:rPr>
        <w:t>4.35</w:t>
      </w:r>
      <w:r>
        <w:rPr>
          <w:rFonts w:ascii="Times New Roman" w:eastAsia="仿宋" w:hAnsi="Times New Roman" w:cs="仿宋" w:hint="eastAsia"/>
          <w:sz w:val="32"/>
          <w:szCs w:val="32"/>
        </w:rPr>
        <w:t>%</w:t>
      </w:r>
      <w:r>
        <w:rPr>
          <w:rFonts w:ascii="Times New Roman" w:eastAsia="仿宋" w:hAnsi="Times New Roman" w:cs="仿宋" w:hint="eastAsia"/>
          <w:sz w:val="32"/>
          <w:szCs w:val="32"/>
        </w:rPr>
        <w:t>考虑增长因素后</w:t>
      </w:r>
      <w:r>
        <w:rPr>
          <w:rFonts w:ascii="Times New Roman" w:eastAsia="仿宋" w:hAnsi="Times New Roman" w:cs="仿宋" w:hint="eastAsia"/>
          <w:sz w:val="32"/>
          <w:szCs w:val="32"/>
        </w:rPr>
        <w:t>，</w:t>
      </w:r>
      <w:r>
        <w:rPr>
          <w:rFonts w:ascii="Times New Roman" w:eastAsia="仿宋" w:hAnsi="Times New Roman" w:cs="仿宋" w:hint="eastAsia"/>
          <w:sz w:val="32"/>
          <w:szCs w:val="32"/>
        </w:rPr>
        <w:t>202</w:t>
      </w:r>
      <w:r>
        <w:rPr>
          <w:rFonts w:ascii="Times New Roman" w:eastAsia="仿宋" w:hAnsi="Times New Roman" w:cs="仿宋" w:hint="eastAsia"/>
          <w:sz w:val="32"/>
          <w:szCs w:val="32"/>
        </w:rPr>
        <w:t>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保总额预算额度为</w:t>
      </w:r>
      <w:r>
        <w:rPr>
          <w:rFonts w:ascii="Times New Roman" w:eastAsia="仿宋" w:hAnsi="Times New Roman" w:cs="仿宋" w:hint="eastAsia"/>
          <w:sz w:val="32"/>
          <w:szCs w:val="32"/>
        </w:rPr>
        <w:t>600.57</w:t>
      </w:r>
      <w:r>
        <w:rPr>
          <w:rFonts w:eastAsia="仿宋" w:cs="仿宋"/>
          <w:sz w:val="32"/>
          <w:szCs w:val="32"/>
        </w:rPr>
        <w:t>亿</w:t>
      </w:r>
      <w:r>
        <w:rPr>
          <w:rFonts w:ascii="Times New Roman" w:eastAsia="仿宋" w:hAnsi="Times New Roman" w:cs="仿宋" w:hint="eastAsia"/>
          <w:sz w:val="32"/>
          <w:szCs w:val="32"/>
        </w:rPr>
        <w:t>元。其中，门诊、住院支付类别的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保总额预算额度分别为</w:t>
      </w:r>
      <w:r>
        <w:rPr>
          <w:rFonts w:ascii="Times New Roman" w:eastAsia="仿宋" w:hAnsi="Times New Roman" w:cs="仿宋" w:hint="eastAsia"/>
          <w:sz w:val="32"/>
          <w:szCs w:val="32"/>
        </w:rPr>
        <w:t>334.37</w:t>
      </w:r>
      <w:r>
        <w:rPr>
          <w:rFonts w:ascii="Times New Roman" w:eastAsia="仿宋" w:hAnsi="Times New Roman" w:cs="仿宋" w:hint="eastAsia"/>
          <w:sz w:val="32"/>
          <w:szCs w:val="32"/>
        </w:rPr>
        <w:t>亿元</w:t>
      </w:r>
      <w:r>
        <w:rPr>
          <w:rFonts w:ascii="Times New Roman" w:eastAsia="仿宋" w:hAnsi="Times New Roman" w:cs="仿宋" w:hint="eastAsia"/>
          <w:sz w:val="32"/>
          <w:szCs w:val="32"/>
        </w:rPr>
        <w:t>和</w:t>
      </w:r>
      <w:r>
        <w:rPr>
          <w:rFonts w:ascii="Times New Roman" w:eastAsia="仿宋" w:hAnsi="Times New Roman" w:cs="仿宋" w:hint="eastAsia"/>
          <w:sz w:val="32"/>
          <w:szCs w:val="32"/>
        </w:rPr>
        <w:t>266.20</w:t>
      </w:r>
      <w:r>
        <w:rPr>
          <w:rFonts w:ascii="Times New Roman" w:eastAsia="仿宋" w:hAnsi="Times New Roman" w:cs="仿宋" w:hint="eastAsia"/>
          <w:sz w:val="32"/>
          <w:szCs w:val="32"/>
        </w:rPr>
        <w:t>亿元，</w:t>
      </w:r>
      <w:r>
        <w:rPr>
          <w:rFonts w:ascii="Times New Roman" w:eastAsia="仿宋" w:hAnsi="Times New Roman" w:cs="仿宋" w:hint="eastAsia"/>
          <w:sz w:val="32"/>
          <w:szCs w:val="32"/>
        </w:rPr>
        <w:t>门诊</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保总额预算额度的各细分类别测算情况如下。</w:t>
      </w:r>
    </w:p>
    <w:p w:rsidR="00D21A29" w:rsidRDefault="00D21A29">
      <w:pPr>
        <w:spacing w:before="225" w:line="219" w:lineRule="auto"/>
        <w:ind w:firstLineChars="300" w:firstLine="976"/>
        <w:rPr>
          <w:rFonts w:ascii="Times New Roman" w:hAnsi="Times New Roman" w:cs="宋体"/>
          <w:b/>
          <w:bCs/>
          <w:spacing w:val="2"/>
          <w:sz w:val="32"/>
          <w:szCs w:val="32"/>
        </w:rPr>
      </w:pPr>
    </w:p>
    <w:p w:rsidR="00D21A29" w:rsidRDefault="00D21A29">
      <w:pPr>
        <w:spacing w:before="225" w:line="219" w:lineRule="auto"/>
        <w:ind w:firstLineChars="300" w:firstLine="976"/>
        <w:rPr>
          <w:rFonts w:ascii="Times New Roman" w:hAnsi="Times New Roman" w:cs="宋体"/>
          <w:b/>
          <w:bCs/>
          <w:spacing w:val="2"/>
          <w:sz w:val="32"/>
          <w:szCs w:val="32"/>
        </w:rPr>
      </w:pPr>
    </w:p>
    <w:p w:rsidR="00D21A29" w:rsidRDefault="00D21A29">
      <w:pPr>
        <w:snapToGrid w:val="0"/>
        <w:jc w:val="left"/>
        <w:rPr>
          <w:sz w:val="18"/>
          <w:szCs w:val="18"/>
        </w:rPr>
      </w:pPr>
    </w:p>
    <w:p w:rsidR="00975BA3" w:rsidRPr="00975BA3" w:rsidRDefault="00975BA3" w:rsidP="00975BA3">
      <w:pPr>
        <w:pStyle w:val="a0"/>
        <w:rPr>
          <w:rFonts w:hint="eastAsia"/>
        </w:rPr>
      </w:pPr>
    </w:p>
    <w:p w:rsidR="00D21A29" w:rsidRDefault="003830EB">
      <w:pPr>
        <w:spacing w:before="225" w:line="219" w:lineRule="auto"/>
        <w:ind w:firstLineChars="300" w:firstLine="976"/>
        <w:rPr>
          <w:rFonts w:ascii="Times New Roman" w:hAnsi="Times New Roman" w:cs="宋体"/>
          <w:spacing w:val="2"/>
          <w:sz w:val="31"/>
          <w:szCs w:val="31"/>
        </w:rPr>
      </w:pPr>
      <w:r>
        <w:rPr>
          <w:rFonts w:ascii="Times New Roman" w:hAnsi="Times New Roman" w:cs="宋体"/>
          <w:b/>
          <w:bCs/>
          <w:spacing w:val="2"/>
          <w:sz w:val="32"/>
          <w:szCs w:val="32"/>
        </w:rPr>
        <w:lastRenderedPageBreak/>
        <w:t>202</w:t>
      </w:r>
      <w:r>
        <w:rPr>
          <w:rFonts w:ascii="Times New Roman" w:hAnsi="Times New Roman" w:cs="宋体" w:hint="eastAsia"/>
          <w:b/>
          <w:bCs/>
          <w:spacing w:val="2"/>
          <w:sz w:val="32"/>
          <w:szCs w:val="32"/>
        </w:rPr>
        <w:t>3</w:t>
      </w:r>
      <w:proofErr w:type="gramStart"/>
      <w:r>
        <w:rPr>
          <w:rFonts w:ascii="Times New Roman" w:hAnsi="Times New Roman" w:cs="宋体"/>
          <w:b/>
          <w:bCs/>
          <w:spacing w:val="2"/>
          <w:sz w:val="32"/>
          <w:szCs w:val="32"/>
        </w:rPr>
        <w:t>医保协议</w:t>
      </w:r>
      <w:proofErr w:type="gramEnd"/>
      <w:r>
        <w:rPr>
          <w:rFonts w:ascii="Times New Roman" w:hAnsi="Times New Roman" w:cs="宋体"/>
          <w:b/>
          <w:bCs/>
          <w:spacing w:val="2"/>
          <w:sz w:val="32"/>
          <w:szCs w:val="32"/>
        </w:rPr>
        <w:t>年度门诊</w:t>
      </w:r>
      <w:proofErr w:type="gramStart"/>
      <w:r>
        <w:rPr>
          <w:rFonts w:ascii="Times New Roman" w:hAnsi="Times New Roman" w:cs="宋体"/>
          <w:b/>
          <w:bCs/>
          <w:spacing w:val="2"/>
          <w:sz w:val="32"/>
          <w:szCs w:val="32"/>
        </w:rPr>
        <w:t>医</w:t>
      </w:r>
      <w:proofErr w:type="gramEnd"/>
      <w:r>
        <w:rPr>
          <w:rFonts w:ascii="Times New Roman" w:hAnsi="Times New Roman" w:cs="宋体"/>
          <w:b/>
          <w:bCs/>
          <w:spacing w:val="2"/>
          <w:sz w:val="32"/>
          <w:szCs w:val="32"/>
        </w:rPr>
        <w:t>保总额预算额度</w:t>
      </w:r>
      <w:r>
        <w:rPr>
          <w:rFonts w:ascii="Times New Roman" w:hAnsi="Times New Roman" w:cs="宋体" w:hint="eastAsia"/>
          <w:spacing w:val="2"/>
          <w:sz w:val="31"/>
          <w:szCs w:val="31"/>
        </w:rPr>
        <w:t xml:space="preserve">   </w:t>
      </w:r>
    </w:p>
    <w:p w:rsidR="00D21A29" w:rsidRDefault="003830EB">
      <w:pPr>
        <w:spacing w:before="45" w:line="185" w:lineRule="auto"/>
        <w:ind w:right="421" w:firstLine="0"/>
        <w:jc w:val="right"/>
        <w:rPr>
          <w:rFonts w:ascii="Times New Roman" w:hAnsi="Times New Roman" w:cs="宋体"/>
          <w:spacing w:val="2"/>
          <w:sz w:val="24"/>
          <w:szCs w:val="24"/>
        </w:rPr>
      </w:pPr>
      <w:r>
        <w:rPr>
          <w:rFonts w:ascii="Times New Roman" w:hAnsi="Times New Roman" w:cs="宋体"/>
          <w:spacing w:val="2"/>
          <w:sz w:val="24"/>
          <w:szCs w:val="24"/>
        </w:rPr>
        <w:t>单位：亿元</w:t>
      </w:r>
    </w:p>
    <w:tbl>
      <w:tblPr>
        <w:tblW w:w="0" w:type="auto"/>
        <w:jc w:val="center"/>
        <w:tblLook w:val="04A0" w:firstRow="1" w:lastRow="0" w:firstColumn="1" w:lastColumn="0" w:noHBand="0" w:noVBand="1"/>
      </w:tblPr>
      <w:tblGrid>
        <w:gridCol w:w="3116"/>
        <w:gridCol w:w="1376"/>
        <w:gridCol w:w="976"/>
        <w:gridCol w:w="1666"/>
        <w:gridCol w:w="1376"/>
      </w:tblGrid>
      <w:tr w:rsidR="00D21A29">
        <w:trPr>
          <w:trHeight w:val="56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s="宋体"/>
                <w:b/>
                <w:bCs/>
                <w:color w:val="000000"/>
                <w:sz w:val="29"/>
                <w:szCs w:val="29"/>
              </w:rPr>
            </w:pPr>
            <w:r>
              <w:rPr>
                <w:rFonts w:ascii="Times New Roman" w:hAnsi="Times New Roman" w:cs="宋体" w:hint="eastAsia"/>
                <w:b/>
                <w:bCs/>
                <w:color w:val="000000"/>
                <w:kern w:val="0"/>
                <w:sz w:val="29"/>
                <w:szCs w:val="29"/>
                <w:lang w:bidi="ar"/>
              </w:rPr>
              <w:t>医疗机构类别</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s="宋体"/>
                <w:b/>
                <w:bCs/>
                <w:color w:val="000000"/>
                <w:sz w:val="29"/>
                <w:szCs w:val="29"/>
              </w:rPr>
            </w:pPr>
            <w:r>
              <w:rPr>
                <w:rFonts w:ascii="Times New Roman" w:hAnsi="Times New Roman" w:cs="宋体" w:hint="eastAsia"/>
                <w:b/>
                <w:bCs/>
                <w:color w:val="000000"/>
                <w:kern w:val="0"/>
                <w:sz w:val="29"/>
                <w:szCs w:val="29"/>
                <w:lang w:bidi="ar"/>
              </w:rPr>
              <w:t>区划</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s="宋体"/>
                <w:b/>
                <w:bCs/>
                <w:color w:val="000000"/>
                <w:sz w:val="29"/>
                <w:szCs w:val="29"/>
              </w:rPr>
            </w:pPr>
            <w:r>
              <w:rPr>
                <w:rFonts w:ascii="Times New Roman" w:hAnsi="Times New Roman" w:cs="宋体" w:hint="eastAsia"/>
                <w:b/>
                <w:bCs/>
                <w:color w:val="000000"/>
                <w:kern w:val="0"/>
                <w:sz w:val="29"/>
                <w:szCs w:val="29"/>
                <w:lang w:bidi="ar"/>
              </w:rPr>
              <w:t>门诊购买总额</w:t>
            </w:r>
          </w:p>
        </w:tc>
      </w:tr>
      <w:tr w:rsidR="00D21A29">
        <w:trPr>
          <w:trHeight w:val="777"/>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D21A29">
            <w:pPr>
              <w:spacing w:line="240" w:lineRule="auto"/>
              <w:ind w:firstLine="0"/>
              <w:jc w:val="center"/>
              <w:rPr>
                <w:rFonts w:ascii="Times New Roman" w:hAnsi="Times New Roman" w:cs="宋体"/>
                <w:b/>
                <w:bCs/>
                <w:color w:val="000000"/>
                <w:sz w:val="29"/>
                <w:szCs w:val="29"/>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D21A29">
            <w:pPr>
              <w:spacing w:line="240" w:lineRule="auto"/>
              <w:ind w:firstLine="0"/>
              <w:jc w:val="center"/>
              <w:rPr>
                <w:rFonts w:ascii="Times New Roman" w:hAnsi="Times New Roman" w:cs="宋体"/>
                <w:b/>
                <w:bCs/>
                <w:color w:val="000000"/>
                <w:sz w:val="29"/>
                <w:szCs w:val="29"/>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s="宋体"/>
                <w:color w:val="000000"/>
                <w:sz w:val="29"/>
                <w:szCs w:val="29"/>
              </w:rPr>
            </w:pPr>
            <w:r>
              <w:rPr>
                <w:rFonts w:ascii="Times New Roman" w:hAnsi="Times New Roman" w:cs="宋体" w:hint="eastAsia"/>
                <w:b/>
                <w:bCs/>
                <w:color w:val="000000"/>
                <w:kern w:val="0"/>
                <w:sz w:val="29"/>
                <w:szCs w:val="29"/>
                <w:lang w:bidi="ar"/>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400" w:lineRule="exact"/>
              <w:ind w:firstLine="0"/>
              <w:jc w:val="center"/>
              <w:textAlignment w:val="top"/>
              <w:rPr>
                <w:rFonts w:ascii="Times New Roman" w:hAnsi="Times New Roman" w:cs="宋体"/>
                <w:color w:val="000000"/>
                <w:kern w:val="0"/>
                <w:sz w:val="29"/>
                <w:szCs w:val="29"/>
                <w:lang w:bidi="ar"/>
              </w:rPr>
            </w:pPr>
            <w:r>
              <w:rPr>
                <w:rFonts w:ascii="Times New Roman" w:hAnsi="Times New Roman" w:cs="宋体" w:hint="eastAsia"/>
                <w:color w:val="000000"/>
                <w:kern w:val="0"/>
                <w:sz w:val="29"/>
                <w:szCs w:val="29"/>
                <w:lang w:bidi="ar"/>
              </w:rPr>
              <w:t>药品</w:t>
            </w:r>
            <w:r>
              <w:rPr>
                <w:rFonts w:ascii="Times New Roman" w:hAnsi="Times New Roman" w:cs="宋体"/>
                <w:color w:val="000000"/>
                <w:kern w:val="0"/>
                <w:sz w:val="29"/>
                <w:szCs w:val="29"/>
                <w:lang w:bidi="ar"/>
              </w:rPr>
              <w:t>（</w:t>
            </w:r>
            <w:r>
              <w:rPr>
                <w:rFonts w:ascii="Times New Roman" w:hAnsi="Times New Roman" w:cs="宋体" w:hint="eastAsia"/>
                <w:color w:val="000000"/>
                <w:kern w:val="0"/>
                <w:sz w:val="29"/>
                <w:szCs w:val="29"/>
                <w:lang w:bidi="ar"/>
              </w:rPr>
              <w:t>西药</w:t>
            </w:r>
          </w:p>
          <w:p w:rsidR="00D21A29" w:rsidRDefault="003830EB">
            <w:pPr>
              <w:widowControl/>
              <w:spacing w:line="400" w:lineRule="exact"/>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和中成药</w:t>
            </w:r>
            <w:r>
              <w:rPr>
                <w:rFonts w:ascii="Times New Roman" w:hAnsi="Times New Roman" w:cs="宋体"/>
                <w:color w:val="000000"/>
                <w:kern w:val="0"/>
                <w:sz w:val="29"/>
                <w:szCs w:val="29"/>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s="宋体"/>
                <w:color w:val="000000"/>
                <w:sz w:val="29"/>
                <w:szCs w:val="29"/>
              </w:rPr>
            </w:pPr>
            <w:r>
              <w:rPr>
                <w:rFonts w:ascii="Times New Roman" w:hAnsi="Times New Roman" w:cs="宋体" w:hint="eastAsia"/>
                <w:color w:val="000000"/>
                <w:kern w:val="0"/>
                <w:sz w:val="29"/>
                <w:szCs w:val="29"/>
                <w:lang w:bidi="ar"/>
              </w:rPr>
              <w:t>医疗服务</w:t>
            </w:r>
          </w:p>
        </w:tc>
      </w:tr>
      <w:tr w:rsidR="00D21A29">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三级医疗机构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sz w:val="29"/>
                <w:szCs w:val="29"/>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11</w:t>
            </w:r>
            <w:r>
              <w:rPr>
                <w:rFonts w:ascii="Times New Roman" w:hAnsi="Times New Roman" w:hint="eastAsia"/>
                <w:color w:val="000000"/>
                <w:sz w:val="28"/>
                <w:szCs w:val="28"/>
              </w:rPr>
              <w:t>4.54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5</w:t>
            </w:r>
            <w:r>
              <w:rPr>
                <w:rFonts w:ascii="Times New Roman" w:hAnsi="Times New Roman" w:hint="eastAsia"/>
                <w:color w:val="000000"/>
                <w:sz w:val="28"/>
                <w:szCs w:val="28"/>
              </w:rPr>
              <w:t>7.35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57.19</w:t>
            </w:r>
          </w:p>
        </w:tc>
      </w:tr>
      <w:tr w:rsidR="00D21A29">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中医医疗机构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sz w:val="29"/>
                <w:szCs w:val="29"/>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37.</w:t>
            </w:r>
            <w:r>
              <w:rPr>
                <w:rFonts w:ascii="Times New Roman" w:hAnsi="Times New Roman" w:hint="eastAsia"/>
                <w:color w:val="000000"/>
                <w:sz w:val="28"/>
                <w:szCs w:val="28"/>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14.</w:t>
            </w:r>
            <w:r>
              <w:rPr>
                <w:rFonts w:ascii="Times New Roman" w:hAnsi="Times New Roman" w:hint="eastAsia"/>
                <w:color w:val="000000"/>
                <w:sz w:val="28"/>
                <w:szCs w:val="28"/>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hint="eastAsia"/>
                <w:color w:val="000000"/>
                <w:sz w:val="28"/>
                <w:szCs w:val="28"/>
              </w:rPr>
              <w:t>3.18</w:t>
            </w:r>
          </w:p>
        </w:tc>
      </w:tr>
      <w:tr w:rsidR="00D21A29">
        <w:trPr>
          <w:trHeight w:val="9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二级医疗机构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sz w:val="29"/>
                <w:szCs w:val="29"/>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21.70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12.86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8.84</w:t>
            </w:r>
          </w:p>
        </w:tc>
      </w:tr>
      <w:tr w:rsidR="00D21A29">
        <w:trPr>
          <w:trHeight w:val="4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家</w:t>
            </w:r>
            <w:proofErr w:type="gramStart"/>
            <w:r>
              <w:rPr>
                <w:rFonts w:ascii="Times New Roman" w:hAnsi="Times New Roman" w:cs="宋体" w:hint="eastAsia"/>
                <w:color w:val="000000"/>
                <w:kern w:val="0"/>
                <w:sz w:val="29"/>
                <w:szCs w:val="29"/>
                <w:lang w:bidi="ar"/>
              </w:rPr>
              <w:t>医</w:t>
            </w:r>
            <w:proofErr w:type="gramEnd"/>
            <w:r>
              <w:rPr>
                <w:rFonts w:ascii="Times New Roman" w:hAnsi="Times New Roman" w:cs="宋体" w:hint="eastAsia"/>
                <w:color w:val="000000"/>
                <w:kern w:val="0"/>
                <w:sz w:val="29"/>
                <w:szCs w:val="29"/>
                <w:lang w:bidi="ar"/>
              </w:rPr>
              <w:t>基层机构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sz w:val="29"/>
                <w:szCs w:val="29"/>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71.92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57.95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color w:val="000000"/>
                <w:sz w:val="28"/>
                <w:szCs w:val="28"/>
              </w:rPr>
              <w:t>13.97</w:t>
            </w:r>
          </w:p>
        </w:tc>
      </w:tr>
      <w:tr w:rsidR="00D21A29">
        <w:trPr>
          <w:trHeight w:val="403"/>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s="宋体"/>
                <w:color w:val="000000"/>
                <w:sz w:val="29"/>
                <w:szCs w:val="29"/>
              </w:rPr>
            </w:pPr>
            <w:r>
              <w:rPr>
                <w:rFonts w:ascii="Times New Roman" w:hAnsi="Times New Roman" w:cs="宋体" w:hint="eastAsia"/>
                <w:color w:val="000000"/>
                <w:kern w:val="0"/>
                <w:sz w:val="29"/>
                <w:szCs w:val="29"/>
                <w:lang w:bidi="ar"/>
              </w:rPr>
              <w:t>其他基层机构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市内六区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54.01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31.34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22.67</w:t>
            </w:r>
          </w:p>
        </w:tc>
      </w:tr>
      <w:tr w:rsidR="00D21A29">
        <w:trPr>
          <w:trHeight w:val="403"/>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D21A29">
            <w:pPr>
              <w:spacing w:line="240" w:lineRule="auto"/>
              <w:ind w:firstLine="0"/>
              <w:jc w:val="center"/>
              <w:rPr>
                <w:rFonts w:ascii="Times New Roman" w:hAnsi="Times New Roman" w:cs="宋体"/>
                <w:color w:val="000000"/>
                <w:sz w:val="29"/>
                <w:szCs w:val="29"/>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top"/>
              <w:rPr>
                <w:rFonts w:ascii="Times New Roman" w:hAnsi="Times New Roman" w:cs="宋体"/>
                <w:color w:val="000000"/>
                <w:sz w:val="29"/>
                <w:szCs w:val="29"/>
              </w:rPr>
            </w:pPr>
            <w:proofErr w:type="gramStart"/>
            <w:r>
              <w:rPr>
                <w:rFonts w:ascii="Times New Roman" w:hAnsi="Times New Roman" w:cs="宋体" w:hint="eastAsia"/>
                <w:color w:val="000000"/>
                <w:kern w:val="0"/>
                <w:sz w:val="29"/>
                <w:szCs w:val="29"/>
                <w:lang w:bidi="ar"/>
              </w:rPr>
              <w:t>环城四</w:t>
            </w:r>
            <w:proofErr w:type="gramEnd"/>
            <w:r>
              <w:rPr>
                <w:rFonts w:ascii="Times New Roman" w:hAnsi="Times New Roman" w:cs="宋体" w:hint="eastAsia"/>
                <w:color w:val="000000"/>
                <w:kern w:val="0"/>
                <w:sz w:val="29"/>
                <w:szCs w:val="29"/>
                <w:lang w:bidi="ar"/>
              </w:rPr>
              <w:t>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13.06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5.91</w:t>
            </w:r>
          </w:p>
        </w:tc>
      </w:tr>
      <w:tr w:rsidR="00D21A29">
        <w:trPr>
          <w:trHeight w:val="403"/>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D21A29">
            <w:pPr>
              <w:spacing w:line="240" w:lineRule="auto"/>
              <w:ind w:firstLine="0"/>
              <w:jc w:val="center"/>
              <w:rPr>
                <w:rFonts w:ascii="Times New Roman" w:hAnsi="Times New Roman" w:cs="宋体"/>
                <w:color w:val="000000"/>
                <w:sz w:val="29"/>
                <w:szCs w:val="29"/>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滨海新区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7.54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5.12</w:t>
            </w:r>
          </w:p>
        </w:tc>
      </w:tr>
      <w:tr w:rsidR="00D21A29">
        <w:trPr>
          <w:trHeight w:val="90"/>
          <w:jc w:val="center"/>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D21A29">
            <w:pPr>
              <w:spacing w:line="240" w:lineRule="auto"/>
              <w:ind w:firstLine="0"/>
              <w:jc w:val="center"/>
              <w:rPr>
                <w:rFonts w:ascii="Times New Roman" w:hAnsi="Times New Roman" w:cs="宋体"/>
                <w:color w:val="000000"/>
                <w:sz w:val="29"/>
                <w:szCs w:val="29"/>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top"/>
              <w:rPr>
                <w:rFonts w:ascii="Times New Roman" w:hAnsi="Times New Roman" w:cs="宋体"/>
                <w:color w:val="000000"/>
                <w:sz w:val="29"/>
                <w:szCs w:val="29"/>
              </w:rPr>
            </w:pPr>
            <w:r>
              <w:rPr>
                <w:rFonts w:ascii="Times New Roman" w:hAnsi="Times New Roman" w:cs="宋体" w:hint="eastAsia"/>
                <w:color w:val="000000"/>
                <w:kern w:val="0"/>
                <w:sz w:val="29"/>
                <w:szCs w:val="29"/>
                <w:lang w:bidi="ar"/>
              </w:rPr>
              <w:t>远郊五区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4.57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olor w:val="000000"/>
                <w:sz w:val="28"/>
                <w:szCs w:val="28"/>
              </w:rPr>
            </w:pPr>
            <w:r>
              <w:rPr>
                <w:rFonts w:ascii="Times New Roman" w:hAnsi="Times New Roman" w:hint="eastAsia"/>
                <w:color w:val="000000"/>
                <w:sz w:val="28"/>
                <w:szCs w:val="28"/>
              </w:rPr>
              <w:t>2.31</w:t>
            </w:r>
          </w:p>
        </w:tc>
      </w:tr>
      <w:tr w:rsidR="00D21A29">
        <w:trPr>
          <w:trHeight w:val="60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360" w:lineRule="exact"/>
              <w:ind w:firstLine="0"/>
              <w:jc w:val="center"/>
              <w:textAlignment w:val="center"/>
              <w:rPr>
                <w:rFonts w:ascii="Times New Roman" w:hAnsi="Times New Roman" w:cs="宋体"/>
                <w:b/>
                <w:bCs/>
                <w:color w:val="000000"/>
                <w:kern w:val="0"/>
                <w:sz w:val="29"/>
                <w:szCs w:val="29"/>
                <w:lang w:bidi="ar"/>
              </w:rPr>
            </w:pPr>
            <w:r>
              <w:rPr>
                <w:rFonts w:ascii="Times New Roman" w:hAnsi="Times New Roman" w:cs="宋体" w:hint="eastAsia"/>
                <w:color w:val="000000"/>
                <w:kern w:val="0"/>
                <w:sz w:val="29"/>
                <w:szCs w:val="29"/>
                <w:lang w:bidi="ar"/>
              </w:rPr>
              <w:t>处方流转暂未分配额度</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Chars="200" w:firstLine="580"/>
              <w:rPr>
                <w:rFonts w:ascii="Times New Roman" w:hAnsi="Times New Roman" w:cs="宋体"/>
                <w:color w:val="000000"/>
                <w:sz w:val="29"/>
                <w:szCs w:val="29"/>
              </w:rPr>
            </w:pPr>
            <w:r>
              <w:rPr>
                <w:rFonts w:ascii="Times New Roman" w:hAnsi="Times New Roman" w:cs="宋体" w:hint="eastAsia"/>
                <w:color w:val="000000"/>
                <w:sz w:val="29"/>
                <w:szCs w:val="29"/>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olor w:val="000000"/>
                <w:kern w:val="0"/>
                <w:sz w:val="28"/>
                <w:szCs w:val="28"/>
                <w:lang w:bidi="ar"/>
              </w:rPr>
            </w:pPr>
            <w:r>
              <w:rPr>
                <w:rFonts w:ascii="Times New Roman" w:hAnsi="Times New Roman"/>
                <w:color w:val="000000"/>
                <w:kern w:val="0"/>
                <w:sz w:val="28"/>
                <w:szCs w:val="28"/>
                <w:lang w:bidi="ar"/>
              </w:rPr>
              <w:t>9.74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olor w:val="000000"/>
                <w:kern w:val="0"/>
                <w:sz w:val="28"/>
                <w:szCs w:val="28"/>
                <w:lang w:bidi="ar"/>
              </w:rPr>
            </w:pPr>
            <w:r>
              <w:rPr>
                <w:rFonts w:ascii="Times New Roman" w:hAnsi="Times New Roman"/>
                <w:color w:val="000000"/>
                <w:sz w:val="28"/>
                <w:szCs w:val="28"/>
              </w:rPr>
              <w:t>9.74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widowControl/>
              <w:spacing w:line="240" w:lineRule="auto"/>
              <w:ind w:firstLine="0"/>
              <w:jc w:val="center"/>
              <w:textAlignment w:val="center"/>
              <w:rPr>
                <w:rFonts w:ascii="Times New Roman" w:hAnsi="Times New Roman"/>
                <w:color w:val="000000"/>
                <w:sz w:val="28"/>
                <w:szCs w:val="28"/>
              </w:rPr>
            </w:pPr>
            <w:r>
              <w:rPr>
                <w:rFonts w:ascii="Times New Roman" w:hAnsi="Times New Roman"/>
                <w:color w:val="000000"/>
                <w:sz w:val="28"/>
                <w:szCs w:val="28"/>
              </w:rPr>
              <w:t>0</w:t>
            </w:r>
          </w:p>
        </w:tc>
      </w:tr>
      <w:tr w:rsidR="00D21A29">
        <w:trPr>
          <w:trHeight w:val="600"/>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1A29" w:rsidRDefault="003830EB">
            <w:pPr>
              <w:spacing w:line="240" w:lineRule="auto"/>
              <w:ind w:firstLine="0"/>
              <w:jc w:val="center"/>
              <w:rPr>
                <w:rFonts w:ascii="Times New Roman" w:hAnsi="Times New Roman" w:cs="宋体"/>
                <w:color w:val="000000"/>
                <w:sz w:val="29"/>
                <w:szCs w:val="29"/>
              </w:rPr>
            </w:pPr>
            <w:r>
              <w:rPr>
                <w:rFonts w:ascii="Times New Roman" w:hAnsi="Times New Roman" w:cs="宋体" w:hint="eastAsia"/>
                <w:b/>
                <w:bCs/>
                <w:color w:val="000000"/>
                <w:kern w:val="0"/>
                <w:sz w:val="29"/>
                <w:szCs w:val="29"/>
                <w:lang w:bidi="ar"/>
              </w:rPr>
              <w:t>合计</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Pr>
          <w:p w:rsidR="00D21A29" w:rsidRDefault="003830EB">
            <w:pPr>
              <w:spacing w:line="240" w:lineRule="auto"/>
              <w:ind w:firstLine="0"/>
              <w:jc w:val="center"/>
              <w:rPr>
                <w:rFonts w:ascii="Times New Roman" w:hAnsi="Times New Roman" w:cs="Arial"/>
                <w:color w:val="000000"/>
                <w:szCs w:val="21"/>
              </w:rPr>
            </w:pPr>
            <w:r>
              <w:rPr>
                <w:rFonts w:ascii="Times New Roman" w:hAnsi="Times New Roman" w:hint="eastAsia"/>
                <w:color w:val="000000"/>
                <w:sz w:val="28"/>
                <w:szCs w:val="28"/>
              </w:rPr>
              <w:t>334.37</w:t>
            </w:r>
          </w:p>
        </w:tc>
      </w:tr>
    </w:tbl>
    <w:p w:rsidR="00D21A29" w:rsidRDefault="003830EB">
      <w:pPr>
        <w:ind w:firstLineChars="200" w:firstLine="640"/>
        <w:rPr>
          <w:rFonts w:ascii="Times New Roman" w:eastAsia="黑体" w:hAnsi="Times New Roman" w:cs="黑体"/>
          <w:sz w:val="32"/>
          <w:szCs w:val="32"/>
        </w:rPr>
      </w:pPr>
      <w:r>
        <w:rPr>
          <w:rFonts w:ascii="Times New Roman" w:eastAsia="仿宋" w:hAnsi="Times New Roman" w:cs="仿宋" w:hint="eastAsia"/>
          <w:sz w:val="32"/>
          <w:szCs w:val="32"/>
        </w:rPr>
        <w:t>对于</w:t>
      </w:r>
      <w:r>
        <w:rPr>
          <w:rFonts w:ascii="Times New Roman" w:eastAsia="仿宋" w:hAnsi="Times New Roman" w:cs="仿宋" w:hint="eastAsia"/>
          <w:sz w:val="32"/>
          <w:szCs w:val="32"/>
        </w:rPr>
        <w:t>年初</w:t>
      </w:r>
      <w:r>
        <w:rPr>
          <w:rFonts w:ascii="Times New Roman" w:eastAsia="仿宋" w:hAnsi="Times New Roman" w:cs="仿宋" w:hint="eastAsia"/>
          <w:sz w:val="32"/>
          <w:szCs w:val="32"/>
        </w:rPr>
        <w:t>因处方流转</w:t>
      </w:r>
      <w:r>
        <w:rPr>
          <w:rFonts w:ascii="Times New Roman" w:eastAsia="仿宋" w:hAnsi="Times New Roman" w:cs="仿宋" w:hint="eastAsia"/>
          <w:sz w:val="32"/>
          <w:szCs w:val="32"/>
        </w:rPr>
        <w:t>暂未分配至各机构类别的门诊药品总额</w:t>
      </w:r>
      <w:r>
        <w:rPr>
          <w:rFonts w:ascii="Times New Roman" w:eastAsia="仿宋" w:hAnsi="Times New Roman" w:cs="仿宋" w:hint="eastAsia"/>
          <w:sz w:val="32"/>
          <w:szCs w:val="32"/>
        </w:rPr>
        <w:t>预算额度</w:t>
      </w:r>
      <w:r>
        <w:rPr>
          <w:rFonts w:ascii="Times New Roman" w:eastAsia="仿宋" w:hAnsi="Times New Roman" w:cs="仿宋" w:hint="eastAsia"/>
          <w:sz w:val="32"/>
          <w:szCs w:val="32"/>
        </w:rPr>
        <w:t>9.74</w:t>
      </w:r>
      <w:r>
        <w:rPr>
          <w:rFonts w:ascii="Times New Roman" w:eastAsia="仿宋" w:hAnsi="Times New Roman" w:cs="仿宋" w:hint="eastAsia"/>
          <w:sz w:val="32"/>
          <w:szCs w:val="32"/>
        </w:rPr>
        <w:t>亿元</w:t>
      </w:r>
      <w:r>
        <w:rPr>
          <w:rFonts w:ascii="Times New Roman" w:eastAsia="仿宋" w:hAnsi="Times New Roman" w:cs="仿宋" w:hint="eastAsia"/>
          <w:sz w:val="32"/>
          <w:szCs w:val="32"/>
        </w:rPr>
        <w:t>，</w:t>
      </w:r>
      <w:r>
        <w:rPr>
          <w:rFonts w:ascii="Times New Roman" w:eastAsia="仿宋" w:hAnsi="Times New Roman" w:cs="仿宋" w:hint="eastAsia"/>
          <w:sz w:val="32"/>
          <w:szCs w:val="32"/>
        </w:rPr>
        <w:t>按照《</w:t>
      </w:r>
      <w:r>
        <w:rPr>
          <w:rFonts w:ascii="Times New Roman" w:eastAsia="仿宋" w:hAnsi="Times New Roman" w:cs="仿宋" w:hint="eastAsia"/>
          <w:sz w:val="32"/>
          <w:szCs w:val="32"/>
        </w:rPr>
        <w:t>市医保局</w:t>
      </w: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市卫生健康委</w:t>
      </w:r>
      <w:r>
        <w:rPr>
          <w:rFonts w:ascii="Times New Roman" w:eastAsia="仿宋" w:hAnsi="Times New Roman" w:cs="仿宋" w:hint="eastAsia"/>
          <w:sz w:val="32"/>
          <w:szCs w:val="32"/>
        </w:rPr>
        <w:t xml:space="preserve"> </w:t>
      </w:r>
      <w:r>
        <w:rPr>
          <w:rFonts w:ascii="Times New Roman" w:eastAsia="仿宋" w:hAnsi="Times New Roman" w:cs="仿宋" w:hint="eastAsia"/>
          <w:sz w:val="32"/>
          <w:szCs w:val="32"/>
        </w:rPr>
        <w:t>市财政局关于进一步做好我市医疗保障区域点数法总额预算管理有关工作的通知</w:t>
      </w:r>
      <w:r>
        <w:rPr>
          <w:rFonts w:ascii="Times New Roman" w:eastAsia="仿宋" w:hAnsi="Times New Roman" w:cs="仿宋" w:hint="eastAsia"/>
          <w:sz w:val="32"/>
          <w:szCs w:val="32"/>
        </w:rPr>
        <w:t>》《</w:t>
      </w:r>
      <w:r>
        <w:rPr>
          <w:rFonts w:ascii="Times New Roman" w:eastAsia="仿宋" w:hAnsi="Times New Roman" w:cs="仿宋" w:hint="eastAsia"/>
          <w:sz w:val="32"/>
          <w:szCs w:val="32"/>
        </w:rPr>
        <w:t>津医保局发〔</w:t>
      </w:r>
      <w:r>
        <w:rPr>
          <w:rFonts w:ascii="Times New Roman" w:eastAsia="仿宋" w:hAnsi="Times New Roman" w:cs="仿宋" w:hint="eastAsia"/>
          <w:sz w:val="32"/>
          <w:szCs w:val="32"/>
        </w:rPr>
        <w:t>2022</w:t>
      </w:r>
      <w:r>
        <w:rPr>
          <w:rFonts w:ascii="Times New Roman" w:eastAsia="仿宋" w:hAnsi="Times New Roman" w:cs="仿宋" w:hint="eastAsia"/>
          <w:sz w:val="32"/>
          <w:szCs w:val="32"/>
        </w:rPr>
        <w:t>〕</w:t>
      </w:r>
      <w:r>
        <w:rPr>
          <w:rFonts w:ascii="Times New Roman" w:eastAsia="仿宋" w:hAnsi="Times New Roman" w:cs="仿宋" w:hint="eastAsia"/>
          <w:sz w:val="32"/>
          <w:szCs w:val="32"/>
        </w:rPr>
        <w:t xml:space="preserve">60 </w:t>
      </w:r>
      <w:r>
        <w:rPr>
          <w:rFonts w:ascii="Times New Roman" w:eastAsia="仿宋" w:hAnsi="Times New Roman" w:cs="仿宋" w:hint="eastAsia"/>
          <w:sz w:val="32"/>
          <w:szCs w:val="32"/>
        </w:rPr>
        <w:t>号</w:t>
      </w:r>
      <w:r>
        <w:rPr>
          <w:rFonts w:ascii="Times New Roman" w:eastAsia="仿宋" w:hAnsi="Times New Roman" w:cs="仿宋" w:hint="eastAsia"/>
          <w:sz w:val="32"/>
          <w:szCs w:val="32"/>
        </w:rPr>
        <w:t>》</w:t>
      </w:r>
      <w:r>
        <w:rPr>
          <w:rFonts w:ascii="Times New Roman" w:eastAsia="仿宋" w:hAnsi="Times New Roman" w:cs="仿宋" w:hint="eastAsia"/>
          <w:sz w:val="32"/>
          <w:szCs w:val="32"/>
        </w:rPr>
        <w:t>规定，</w:t>
      </w:r>
      <w:r>
        <w:rPr>
          <w:rFonts w:ascii="Times New Roman" w:eastAsia="仿宋" w:hAnsi="Times New Roman" w:cs="仿宋" w:hint="eastAsia"/>
          <w:sz w:val="32"/>
          <w:szCs w:val="32"/>
        </w:rPr>
        <w:t>根据定点医药机构间处方流转导致的超支情况按月统筹调剂使用，并按时间进度核定统筹调剂使用的限额。</w:t>
      </w:r>
    </w:p>
    <w:p w:rsidR="00D21A29" w:rsidRDefault="003830EB">
      <w:pPr>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lastRenderedPageBreak/>
        <w:t>四、统筹基金预算核定</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按照《区域总额预算管理办法》规定，以</w:t>
      </w:r>
      <w:r>
        <w:rPr>
          <w:rFonts w:ascii="Times New Roman" w:eastAsia="仿宋" w:hAnsi="Times New Roman" w:cs="仿宋" w:hint="eastAsia"/>
          <w:sz w:val="32"/>
          <w:szCs w:val="32"/>
        </w:rPr>
        <w:t>202</w:t>
      </w:r>
      <w:r>
        <w:rPr>
          <w:rFonts w:ascii="Times New Roman" w:eastAsia="仿宋" w:hAnsi="Times New Roman" w:cs="仿宋" w:hint="eastAsia"/>
          <w:sz w:val="32"/>
          <w:szCs w:val="32"/>
        </w:rPr>
        <w:t>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年度全市定点医疗机构</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保总额预算额度为基础，根据</w:t>
      </w:r>
      <w:r>
        <w:rPr>
          <w:rFonts w:ascii="Times New Roman" w:eastAsia="仿宋" w:hAnsi="Times New Roman" w:cs="仿宋" w:hint="eastAsia"/>
          <w:sz w:val="32"/>
          <w:szCs w:val="32"/>
        </w:rPr>
        <w:t>202</w:t>
      </w:r>
      <w:r>
        <w:rPr>
          <w:rFonts w:ascii="Times New Roman" w:eastAsia="仿宋" w:hAnsi="Times New Roman" w:cs="仿宋" w:hint="eastAsia"/>
          <w:sz w:val="32"/>
          <w:szCs w:val="32"/>
        </w:rPr>
        <w:t>2</w:t>
      </w:r>
      <w:r>
        <w:rPr>
          <w:rFonts w:ascii="Times New Roman" w:eastAsia="仿宋" w:hAnsi="Times New Roman" w:cs="仿宋" w:hint="eastAsia"/>
          <w:sz w:val="32"/>
          <w:szCs w:val="32"/>
        </w:rPr>
        <w:t>年度基本</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保统筹基金支付在</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保基金和</w:t>
      </w:r>
      <w:proofErr w:type="gramStart"/>
      <w:r>
        <w:rPr>
          <w:rFonts w:ascii="Times New Roman" w:eastAsia="仿宋" w:hAnsi="Times New Roman" w:cs="仿宋" w:hint="eastAsia"/>
          <w:sz w:val="32"/>
          <w:szCs w:val="32"/>
        </w:rPr>
        <w:t>参保人</w:t>
      </w:r>
      <w:proofErr w:type="gramEnd"/>
      <w:r>
        <w:rPr>
          <w:rFonts w:ascii="Times New Roman" w:eastAsia="仿宋" w:hAnsi="Times New Roman" w:cs="仿宋" w:hint="eastAsia"/>
          <w:sz w:val="32"/>
          <w:szCs w:val="32"/>
        </w:rPr>
        <w:t>员医疗费用总额中所占比例，按照职工</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保和居民</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保两个险种，分别核定基本</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保统筹基金</w:t>
      </w:r>
      <w:r>
        <w:rPr>
          <w:rFonts w:ascii="Times New Roman" w:eastAsia="仿宋" w:hAnsi="Times New Roman" w:cs="仿宋" w:hint="eastAsia"/>
          <w:sz w:val="32"/>
          <w:szCs w:val="32"/>
        </w:rPr>
        <w:t>202</w:t>
      </w:r>
      <w:r>
        <w:rPr>
          <w:rFonts w:ascii="Times New Roman" w:eastAsia="仿宋" w:hAnsi="Times New Roman" w:cs="仿宋" w:hint="eastAsia"/>
          <w:sz w:val="32"/>
          <w:szCs w:val="32"/>
        </w:rPr>
        <w:t>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年度向全市定点医疗机构购买服务的总额预算额度。</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按照上述方法核定，</w:t>
      </w:r>
      <w:r>
        <w:rPr>
          <w:rFonts w:ascii="Times New Roman" w:eastAsia="仿宋" w:hAnsi="Times New Roman" w:cs="仿宋" w:hint="eastAsia"/>
          <w:sz w:val="32"/>
          <w:szCs w:val="32"/>
        </w:rPr>
        <w:t>职工、居民基本</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保统筹基金的总额预算额度分别为</w:t>
      </w:r>
      <w:r>
        <w:rPr>
          <w:rFonts w:ascii="Times New Roman" w:eastAsia="仿宋" w:hAnsi="Times New Roman" w:cs="仿宋" w:hint="eastAsia"/>
          <w:sz w:val="32"/>
          <w:szCs w:val="32"/>
        </w:rPr>
        <w:t>252.78</w:t>
      </w:r>
      <w:r>
        <w:rPr>
          <w:rFonts w:ascii="Times New Roman" w:eastAsia="仿宋" w:hAnsi="Times New Roman" w:cs="仿宋" w:hint="eastAsia"/>
          <w:sz w:val="32"/>
          <w:szCs w:val="32"/>
        </w:rPr>
        <w:t>亿</w:t>
      </w:r>
      <w:r>
        <w:rPr>
          <w:rFonts w:ascii="Times New Roman" w:eastAsia="仿宋" w:hAnsi="Times New Roman" w:cs="仿宋" w:hint="eastAsia"/>
          <w:sz w:val="32"/>
          <w:szCs w:val="32"/>
        </w:rPr>
        <w:t>元和</w:t>
      </w:r>
      <w:r>
        <w:rPr>
          <w:rFonts w:ascii="Times New Roman" w:eastAsia="仿宋" w:hAnsi="Times New Roman" w:cs="仿宋" w:hint="eastAsia"/>
          <w:sz w:val="32"/>
          <w:szCs w:val="32"/>
        </w:rPr>
        <w:t>60.94</w:t>
      </w:r>
      <w:r>
        <w:rPr>
          <w:rFonts w:ascii="Times New Roman" w:eastAsia="仿宋" w:hAnsi="Times New Roman" w:cs="仿宋" w:hint="eastAsia"/>
          <w:sz w:val="32"/>
          <w:szCs w:val="32"/>
        </w:rPr>
        <w:t>亿元。</w:t>
      </w:r>
    </w:p>
    <w:p w:rsidR="00D21A29" w:rsidRDefault="003830EB">
      <w:pPr>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五、总额预算分配和调整</w:t>
      </w:r>
    </w:p>
    <w:p w:rsidR="00D21A29" w:rsidRDefault="003830EB">
      <w:pPr>
        <w:ind w:firstLineChars="200" w:firstLine="640"/>
        <w:rPr>
          <w:rFonts w:ascii="Times New Roman" w:eastAsia="仿宋" w:hAnsi="Times New Roman" w:cs="仿宋"/>
          <w:sz w:val="32"/>
          <w:szCs w:val="32"/>
        </w:rPr>
      </w:pPr>
      <w:r>
        <w:rPr>
          <w:rFonts w:ascii="Times New Roman" w:eastAsia="仿宋" w:hAnsi="Times New Roman" w:cs="仿宋" w:hint="eastAsia"/>
          <w:sz w:val="32"/>
          <w:szCs w:val="32"/>
        </w:rPr>
        <w:t>按照《区域总额预算管理办法》规定，根据各定点医疗机构为参保人员提供服务情况，</w:t>
      </w:r>
      <w:r>
        <w:rPr>
          <w:rFonts w:ascii="Times New Roman" w:eastAsia="仿宋" w:hAnsi="Times New Roman" w:cs="仿宋" w:hint="eastAsia"/>
          <w:sz w:val="32"/>
          <w:szCs w:val="32"/>
        </w:rPr>
        <w:t>202</w:t>
      </w:r>
      <w:r>
        <w:rPr>
          <w:rFonts w:ascii="Times New Roman" w:eastAsia="仿宋" w:hAnsi="Times New Roman" w:cs="仿宋" w:hint="eastAsia"/>
          <w:sz w:val="32"/>
          <w:szCs w:val="32"/>
        </w:rPr>
        <w:t>3</w:t>
      </w:r>
      <w:proofErr w:type="gramStart"/>
      <w:r>
        <w:rPr>
          <w:rFonts w:ascii="Times New Roman" w:eastAsia="仿宋" w:hAnsi="Times New Roman" w:cs="仿宋" w:hint="eastAsia"/>
          <w:sz w:val="32"/>
          <w:szCs w:val="32"/>
        </w:rPr>
        <w:t>医保协议</w:t>
      </w:r>
      <w:proofErr w:type="gramEnd"/>
      <w:r>
        <w:rPr>
          <w:rFonts w:ascii="Times New Roman" w:eastAsia="仿宋" w:hAnsi="Times New Roman" w:cs="仿宋" w:hint="eastAsia"/>
          <w:sz w:val="32"/>
          <w:szCs w:val="32"/>
        </w:rPr>
        <w:t>年度各类别</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保总额预算额度按</w:t>
      </w:r>
      <w:proofErr w:type="gramStart"/>
      <w:r>
        <w:rPr>
          <w:rFonts w:ascii="Times New Roman" w:eastAsia="仿宋" w:hAnsi="Times New Roman" w:cs="仿宋" w:hint="eastAsia"/>
          <w:sz w:val="32"/>
          <w:szCs w:val="32"/>
        </w:rPr>
        <w:t>月分配至各</w:t>
      </w:r>
      <w:proofErr w:type="gramEnd"/>
      <w:r>
        <w:rPr>
          <w:rFonts w:ascii="Times New Roman" w:eastAsia="仿宋" w:hAnsi="Times New Roman" w:cs="仿宋" w:hint="eastAsia"/>
          <w:sz w:val="32"/>
          <w:szCs w:val="32"/>
        </w:rPr>
        <w:t>定点医疗机构。</w:t>
      </w:r>
      <w:r>
        <w:rPr>
          <w:rFonts w:ascii="Times New Roman" w:eastAsia="仿宋" w:hAnsi="Times New Roman" w:cs="仿宋" w:hint="eastAsia"/>
          <w:sz w:val="32"/>
          <w:szCs w:val="32"/>
        </w:rPr>
        <w:t>其中</w:t>
      </w:r>
      <w:r>
        <w:rPr>
          <w:rFonts w:ascii="Times New Roman" w:eastAsia="仿宋" w:hAnsi="Times New Roman" w:cs="仿宋" w:hint="eastAsia"/>
          <w:sz w:val="32"/>
          <w:szCs w:val="32"/>
        </w:rPr>
        <w:t>，每月依据定点医疗机构</w:t>
      </w:r>
      <w:r>
        <w:rPr>
          <w:rFonts w:ascii="Times New Roman" w:eastAsia="仿宋" w:hAnsi="Times New Roman" w:cs="仿宋" w:hint="eastAsia"/>
          <w:sz w:val="32"/>
          <w:szCs w:val="32"/>
        </w:rPr>
        <w:t>2023</w:t>
      </w:r>
      <w:r>
        <w:rPr>
          <w:rFonts w:ascii="Times New Roman" w:eastAsia="仿宋" w:hAnsi="Times New Roman" w:cs="仿宋" w:hint="eastAsia"/>
          <w:sz w:val="32"/>
          <w:szCs w:val="32"/>
        </w:rPr>
        <w:t>协议年度确认的门诊结算标识完成结算，对于协议年度内定点医疗机构级别变更的情况及跨区变更机构，原则上本年度不再相应调整门诊结算类型及区域总额，将依据医疗机构级别变更情况合理确定下一个协议年度各细分总额预算额度。</w:t>
      </w:r>
    </w:p>
    <w:p w:rsidR="00D21A29" w:rsidRDefault="003830EB">
      <w:pPr>
        <w:ind w:firstLineChars="200" w:firstLine="640"/>
      </w:pPr>
      <w:r>
        <w:rPr>
          <w:rFonts w:ascii="Times New Roman" w:eastAsia="仿宋" w:hAnsi="Times New Roman" w:cs="仿宋" w:hint="eastAsia"/>
          <w:sz w:val="32"/>
          <w:szCs w:val="32"/>
        </w:rPr>
        <w:t>实</w:t>
      </w:r>
      <w:r>
        <w:rPr>
          <w:rFonts w:ascii="Times New Roman" w:eastAsia="仿宋" w:hAnsi="Times New Roman" w:cs="仿宋" w:hint="eastAsia"/>
          <w:sz w:val="32"/>
          <w:szCs w:val="32"/>
        </w:rPr>
        <w:t>际执行过程中，因医疗保障制度改革、医药卫生体制改革、影响范围较大的突发事件等因素，需对全市或某类别</w:t>
      </w:r>
      <w:proofErr w:type="gramStart"/>
      <w:r>
        <w:rPr>
          <w:rFonts w:ascii="Times New Roman" w:eastAsia="仿宋" w:hAnsi="Times New Roman" w:cs="仿宋" w:hint="eastAsia"/>
          <w:sz w:val="32"/>
          <w:szCs w:val="32"/>
        </w:rPr>
        <w:t>医</w:t>
      </w:r>
      <w:proofErr w:type="gramEnd"/>
      <w:r>
        <w:rPr>
          <w:rFonts w:ascii="Times New Roman" w:eastAsia="仿宋" w:hAnsi="Times New Roman" w:cs="仿宋" w:hint="eastAsia"/>
          <w:sz w:val="32"/>
          <w:szCs w:val="32"/>
        </w:rPr>
        <w:t>保总额预算额度进行调整的，调整方案另行制定。</w:t>
      </w:r>
    </w:p>
    <w:p w:rsidR="00D21A29" w:rsidRDefault="00D21A29">
      <w:pPr>
        <w:pStyle w:val="Default"/>
      </w:pPr>
    </w:p>
    <w:sectPr w:rsidR="00D21A29">
      <w:footerReference w:type="default" r:id="rId7"/>
      <w:footerReference w:type="first" r:id="rId8"/>
      <w:pgSz w:w="11906" w:h="16838"/>
      <w:pgMar w:top="2098" w:right="1474" w:bottom="1984" w:left="1587" w:header="851" w:footer="992" w:gutter="0"/>
      <w:pgNumType w:fmt="numberInDash" w:start="2"/>
      <w:cols w:space="720"/>
      <w:rtlGutter/>
      <w:docGrid w:type="lines" w:linePitch="3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0EB" w:rsidRDefault="003830EB">
      <w:pPr>
        <w:spacing w:line="240" w:lineRule="auto"/>
      </w:pPr>
      <w:r>
        <w:separator/>
      </w:r>
    </w:p>
  </w:endnote>
  <w:endnote w:type="continuationSeparator" w:id="0">
    <w:p w:rsidR="003830EB" w:rsidRDefault="003830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Luxi Sans">
    <w:altName w:val="DejaVu San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altName w:val="FreeSerif"/>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00"/>
    <w:family w:val="auto"/>
    <w:pitch w:val="default"/>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29" w:rsidRDefault="003830EB">
    <w:pPr>
      <w:pStyle w:val="a0"/>
      <w:ind w:firstLine="0"/>
      <w:jc w:val="center"/>
      <w:rPr>
        <w:rFonts w:ascii="宋体"/>
        <w:sz w:val="28"/>
        <w:szCs w:val="28"/>
      </w:rPr>
    </w:pPr>
    <w:r>
      <w:rPr>
        <w:noProof/>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00075" cy="367030"/>
              <wp:effectExtent l="0" t="0" r="0" b="0"/>
              <wp:wrapNone/>
              <wp:docPr id="1" name="文本框 5"/>
              <wp:cNvGraphicFramePr/>
              <a:graphic xmlns:a="http://schemas.openxmlformats.org/drawingml/2006/main">
                <a:graphicData uri="http://schemas.microsoft.com/office/word/2010/wordprocessingShape">
                  <wps:wsp>
                    <wps:cNvSpPr/>
                    <wps:spPr>
                      <a:xfrm>
                        <a:off x="0" y="0"/>
                        <a:ext cx="600075" cy="367030"/>
                      </a:xfrm>
                      <a:prstGeom prst="rect">
                        <a:avLst/>
                      </a:prstGeom>
                      <a:noFill/>
                      <a:ln w="6350" cap="flat" cmpd="sng">
                        <a:noFill/>
                        <a:prstDash val="solid"/>
                        <a:round/>
                      </a:ln>
                    </wps:spPr>
                    <wps:txbx>
                      <w:txbxContent>
                        <w:p w:rsidR="00D21A29" w:rsidRDefault="00D21A29">
                          <w:pPr>
                            <w:pStyle w:val="a0"/>
                            <w:ind w:rightChars="100" w:right="210"/>
                          </w:pPr>
                        </w:p>
                      </w:txbxContent>
                    </wps:txbx>
                    <wps:bodyPr vert="horz" wrap="none" lIns="0" tIns="0" rIns="0" bIns="0" anchor="t" anchorCtr="0">
                      <a:spAutoFit/>
                    </wps:bodyPr>
                  </wps:wsp>
                </a:graphicData>
              </a:graphic>
            </wp:anchor>
          </w:drawing>
        </mc:Choice>
        <mc:Fallback>
          <w:pict>
            <v:rect id="文本框 5" o:spid="_x0000_s1026" style="position:absolute;left:0;text-align:left;margin-left:-3.95pt;margin-top:0;width:47.25pt;height:28.9pt;z-index:102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" filled="f" stroked="f" strokeweight=".5pt">
              <v:stroke joinstyle="round"/>
              <v:textbox style="mso-fit-shape-to-text:t" inset="0,0,0,0">
                <w:txbxContent>
                  <w:p w:rsidR="00D21A29" w:rsidRDefault="00D21A29">
                    <w:pPr>
                      <w:pStyle w:val="a0"/>
                      <w:ind w:rightChars="100" w:right="210"/>
                    </w:pP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29" w:rsidRDefault="003830EB">
    <w:pPr>
      <w:pStyle w:val="a0"/>
    </w:pPr>
    <w:r>
      <w:fldChar w:fldCharType="begin"/>
    </w:r>
    <w:r>
      <w:instrText>Page</w:instrText>
    </w:r>
    <w:r>
      <w:fldChar w:fldCharType="separate"/>
    </w:r>
    <w:r>
      <w:t>- 1 -</w:t>
    </w:r>
    <w:r>
      <w:fldChar w:fldCharType="end"/>
    </w:r>
    <w:r>
      <w:fldChar w:fldCharType="begin"/>
    </w:r>
    <w:r>
      <w:instrText>NumPages</w:instrText>
    </w:r>
    <w:r>
      <w:fldChar w:fldCharType="separate"/>
    </w:r>
    <w:r>
      <w:t>4</w:t>
    </w:r>
    <w:r>
      <w:fldChar w:fldCharType="end"/>
    </w:r>
    <w:r>
      <w:fldChar w:fldCharType="begin"/>
    </w:r>
    <w:r>
      <w:instrText>Page</w:instrText>
    </w:r>
    <w:r>
      <w:fldChar w:fldCharType="separate"/>
    </w:r>
    <w:r>
      <w:t>- 1 -</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0EB" w:rsidRDefault="003830EB">
      <w:pPr>
        <w:spacing w:line="240" w:lineRule="auto"/>
      </w:pPr>
      <w:r>
        <w:separator/>
      </w:r>
    </w:p>
  </w:footnote>
  <w:footnote w:type="continuationSeparator" w:id="0">
    <w:p w:rsidR="003830EB" w:rsidRDefault="003830E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clean"/>
  <w:documentProtection w:edit="readOnly" w:enforcement="0"/>
  <w:defaultTabStop w:val="420"/>
  <w:drawingGridHorizontalSpacing w:val="210"/>
  <w:drawingGridVerticalSpacing w:val="158"/>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D21A29"/>
    <w:rsid w:val="FCDF486E"/>
    <w:rsid w:val="FFDC89ED"/>
    <w:rsid w:val="003830EB"/>
    <w:rsid w:val="00975BA3"/>
    <w:rsid w:val="00D21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2692F92"/>
  <w15:docId w15:val="{22D30B26-2916-4A21-8796-9A360869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note tex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78" w:lineRule="exact"/>
      <w:ind w:firstLine="72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rFonts w:ascii="Luxi Sans" w:eastAsia="黑体" w:hAnsi="Luxi Sans"/>
      <w:b/>
      <w:sz w:val="32"/>
    </w:rPr>
  </w:style>
  <w:style w:type="paragraph" w:styleId="3">
    <w:name w:val="heading 3"/>
    <w:basedOn w:val="a"/>
    <w:next w:val="a"/>
    <w:qFormat/>
    <w:pPr>
      <w:keepNext/>
      <w:keepLines/>
      <w:spacing w:before="260" w:after="260" w:line="415" w:lineRule="auto"/>
      <w:outlineLvl w:val="2"/>
    </w:pPr>
    <w:rPr>
      <w:b/>
      <w:sz w:val="32"/>
    </w:rPr>
  </w:style>
  <w:style w:type="paragraph" w:styleId="4">
    <w:name w:val="heading 4"/>
    <w:basedOn w:val="a"/>
    <w:next w:val="a"/>
    <w:qFormat/>
    <w:pPr>
      <w:keepNext/>
      <w:keepLines/>
      <w:spacing w:before="280" w:after="290" w:line="377" w:lineRule="auto"/>
      <w:ind w:firstLine="0"/>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szCs w:val="18"/>
    </w:rPr>
  </w:style>
  <w:style w:type="paragraph" w:styleId="5">
    <w:name w:val="index 5"/>
    <w:basedOn w:val="a"/>
    <w:next w:val="a"/>
    <w:qFormat/>
    <w:pPr>
      <w:ind w:left="1680"/>
    </w:pPr>
  </w:style>
  <w:style w:type="paragraph" w:styleId="a4">
    <w:name w:val="annotation text"/>
    <w:basedOn w:val="a"/>
    <w:qFormat/>
    <w:pPr>
      <w:spacing w:line="240" w:lineRule="auto"/>
      <w:ind w:firstLine="0"/>
      <w:jc w:val="left"/>
    </w:pPr>
    <w:rPr>
      <w:rFonts w:ascii="Times New Roman" w:hAnsi="Times New Roman"/>
      <w:kern w:val="0"/>
      <w:sz w:val="24"/>
      <w:szCs w:val="20"/>
    </w:rPr>
  </w:style>
  <w:style w:type="paragraph" w:styleId="a5">
    <w:name w:val="Body Text"/>
    <w:basedOn w:val="a"/>
    <w:next w:val="a"/>
    <w:qFormat/>
    <w:pPr>
      <w:jc w:val="center"/>
    </w:pPr>
    <w:rPr>
      <w:sz w:val="44"/>
      <w:szCs w:val="20"/>
    </w:rPr>
  </w:style>
  <w:style w:type="paragraph" w:styleId="a6">
    <w:name w:val="Body Text Indent"/>
    <w:next w:val="5"/>
    <w:qFormat/>
    <w:pPr>
      <w:widowControl w:val="0"/>
      <w:ind w:firstLine="360"/>
      <w:jc w:val="both"/>
    </w:pPr>
    <w:rPr>
      <w:kern w:val="2"/>
      <w:sz w:val="21"/>
    </w:rPr>
  </w:style>
  <w:style w:type="paragraph" w:styleId="a7">
    <w:name w:val="Date"/>
    <w:basedOn w:val="a"/>
    <w:next w:val="a"/>
    <w:qFormat/>
    <w:pPr>
      <w:ind w:leftChars="2500" w:left="2500"/>
    </w:pPr>
  </w:style>
  <w:style w:type="paragraph" w:styleId="a8">
    <w:name w:val="Balloon Text"/>
    <w:basedOn w:val="a"/>
    <w:qFormat/>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widowControl/>
      <w:snapToGrid w:val="0"/>
      <w:spacing w:line="360" w:lineRule="auto"/>
      <w:ind w:firstLine="0"/>
      <w:jc w:val="left"/>
    </w:pPr>
    <w:rPr>
      <w:sz w:val="18"/>
      <w:szCs w:val="18"/>
    </w:rPr>
  </w:style>
  <w:style w:type="paragraph" w:styleId="ab">
    <w:name w:val="Normal (Web)"/>
    <w:basedOn w:val="a"/>
    <w:next w:val="5"/>
    <w:qFormat/>
    <w:pPr>
      <w:spacing w:before="100" w:beforeAutospacing="1" w:after="100" w:afterAutospacing="1"/>
      <w:jc w:val="left"/>
    </w:pPr>
    <w:rPr>
      <w:kern w:val="0"/>
      <w:sz w:val="24"/>
      <w:szCs w:val="24"/>
    </w:rPr>
  </w:style>
  <w:style w:type="paragraph" w:styleId="ac">
    <w:name w:val="Body Text First Indent"/>
    <w:basedOn w:val="a5"/>
    <w:qFormat/>
    <w:pPr>
      <w:spacing w:after="120"/>
      <w:ind w:firstLineChars="100" w:firstLine="100"/>
      <w:jc w:val="both"/>
    </w:pPr>
    <w:rPr>
      <w:rFonts w:ascii="Times New Roman" w:hAnsi="Times New Roman"/>
      <w:sz w:val="21"/>
    </w:rPr>
  </w:style>
  <w:style w:type="paragraph" w:styleId="20">
    <w:name w:val="Body Text First Indent 2"/>
    <w:basedOn w:val="a6"/>
    <w:next w:val="a0"/>
    <w:qFormat/>
    <w:pPr>
      <w:ind w:firstLineChars="200" w:firstLine="200"/>
    </w:pPr>
  </w:style>
  <w:style w:type="character" w:styleId="ad">
    <w:name w:val="Strong"/>
    <w:basedOn w:val="a1"/>
    <w:qFormat/>
    <w:rPr>
      <w:b/>
      <w:bCs/>
    </w:rPr>
  </w:style>
  <w:style w:type="character" w:styleId="ae">
    <w:name w:val="page number"/>
    <w:basedOn w:val="a1"/>
    <w:qFormat/>
  </w:style>
  <w:style w:type="character" w:styleId="af">
    <w:name w:val="Hyperlink"/>
    <w:basedOn w:val="a1"/>
    <w:qFormat/>
    <w:rPr>
      <w:color w:val="0000FF"/>
      <w:u w:val="single"/>
    </w:rPr>
  </w:style>
  <w:style w:type="paragraph" w:customStyle="1" w:styleId="Default">
    <w:name w:val="Default"/>
    <w:qFormat/>
    <w:pPr>
      <w:widowControl w:val="0"/>
      <w:autoSpaceDE w:val="0"/>
      <w:autoSpaceDN w:val="0"/>
      <w:adjustRightInd w:val="0"/>
      <w:spacing w:line="578" w:lineRule="exact"/>
      <w:ind w:firstLine="720"/>
      <w:jc w:val="both"/>
    </w:pPr>
    <w:rPr>
      <w:rFonts w:ascii="宋体" w:cs="宋体"/>
      <w:color w:val="000000"/>
      <w:sz w:val="24"/>
      <w:szCs w:val="24"/>
    </w:rPr>
  </w:style>
  <w:style w:type="paragraph" w:styleId="af0">
    <w:name w:val="List Paragraph"/>
    <w:basedOn w:val="a"/>
    <w:qFormat/>
    <w:pPr>
      <w:ind w:firstLineChars="200" w:firstLine="200"/>
    </w:pPr>
  </w:style>
  <w:style w:type="paragraph" w:customStyle="1" w:styleId="BodyText">
    <w:name w:val="BodyText"/>
    <w:basedOn w:val="a"/>
    <w:qFormat/>
    <w:pPr>
      <w:widowControl/>
      <w:jc w:val="center"/>
    </w:pPr>
    <w:rPr>
      <w:sz w:val="44"/>
      <w:szCs w:val="20"/>
    </w:rPr>
  </w:style>
  <w:style w:type="character" w:customStyle="1" w:styleId="NormalCharacter">
    <w:name w:val="NormalCharacter"/>
    <w:qFormat/>
  </w:style>
  <w:style w:type="paragraph" w:customStyle="1" w:styleId="10">
    <w:name w:val="列出段落1"/>
    <w:basedOn w:val="a"/>
    <w:qFormat/>
    <w:pPr>
      <w:ind w:firstLineChars="200" w:firstLine="200"/>
    </w:pPr>
    <w:rPr>
      <w:sz w:val="18"/>
    </w:rPr>
  </w:style>
  <w:style w:type="character" w:customStyle="1" w:styleId="fontstyle01">
    <w:name w:val="fontstyle01"/>
    <w:qFormat/>
    <w:rPr>
      <w:rFonts w:ascii="等线" w:hAnsi="等线"/>
      <w:color w:val="000000"/>
      <w:sz w:val="24"/>
      <w:szCs w:val="24"/>
    </w:rPr>
  </w:style>
  <w:style w:type="paragraph" w:customStyle="1" w:styleId="p0">
    <w:name w:val="p0"/>
    <w:basedOn w:val="a"/>
    <w:qFormat/>
    <w:pPr>
      <w:widowControl/>
    </w:pPr>
    <w:rPr>
      <w:rFonts w:ascii="Times New Roman" w:hAnsi="Times New Roman"/>
      <w:kern w:val="0"/>
      <w:szCs w:val="21"/>
    </w:rPr>
  </w:style>
  <w:style w:type="paragraph" w:customStyle="1" w:styleId="p2">
    <w:name w:val="p2"/>
    <w:basedOn w:val="a"/>
    <w:qFormat/>
    <w:pPr>
      <w:widowControl/>
      <w:spacing w:beforeAutospacing="1" w:afterAutospacing="1" w:line="600" w:lineRule="atLeast"/>
      <w:ind w:firstLine="0"/>
      <w:jc w:val="left"/>
    </w:pPr>
    <w:rPr>
      <w:rFonts w:ascii="仿宋_GB2312" w:eastAsia="仿宋_GB2312"/>
      <w:color w:val="000000"/>
      <w:kern w:val="0"/>
      <w:sz w:val="32"/>
      <w:szCs w:val="32"/>
    </w:rPr>
  </w:style>
  <w:style w:type="paragraph" w:customStyle="1" w:styleId="msolistparagraph0">
    <w:name w:val="msolistparagraph"/>
    <w:basedOn w:val="a"/>
    <w:qFormat/>
    <w:pPr>
      <w:spacing w:line="240" w:lineRule="auto"/>
      <w:ind w:firstLineChars="200" w:firstLine="200"/>
    </w:pPr>
    <w:rPr>
      <w:rFonts w:ascii="Times New Roman" w:hAnsi="Times New Roman"/>
      <w:szCs w:val="20"/>
    </w:rPr>
  </w:style>
  <w:style w:type="character" w:customStyle="1" w:styleId="font81">
    <w:name w:val="font81"/>
    <w:qFormat/>
    <w:rPr>
      <w:rFonts w:ascii="仿宋_GB2312" w:eastAsia="仿宋_GB2312" w:cs="仿宋_GB2312"/>
      <w:color w:val="000000"/>
      <w:sz w:val="24"/>
      <w:szCs w:val="24"/>
      <w:u w:val="none"/>
    </w:rPr>
  </w:style>
  <w:style w:type="paragraph" w:customStyle="1" w:styleId="af1">
    <w:name w:val="公文正文"/>
    <w:basedOn w:val="a"/>
    <w:qFormat/>
    <w:pPr>
      <w:ind w:firstLineChars="200" w:firstLine="200"/>
    </w:pPr>
    <w:rPr>
      <w:rFonts w:eastAsia="仿宋_GB2312"/>
      <w:kern w:val="0"/>
      <w:sz w:val="32"/>
      <w:szCs w:val="24"/>
    </w:rPr>
  </w:style>
  <w:style w:type="character" w:customStyle="1" w:styleId="HeiTi">
    <w:name w:val="Hei Ti"/>
    <w:qFormat/>
    <w:rPr>
      <w:rFonts w:ascii="黑体" w:eastAsia="黑体" w:hAnsi="黑体" w:cs="黑体"/>
      <w:sz w:val="32"/>
    </w:rPr>
  </w:style>
  <w:style w:type="character" w:customStyle="1" w:styleId="HeiTiBold">
    <w:name w:val="Hei Ti Bold"/>
    <w:qFormat/>
    <w:rPr>
      <w:rFonts w:ascii="黑体" w:eastAsia="黑体" w:hAnsi="黑体" w:cs="黑体"/>
      <w:b/>
      <w:sz w:val="32"/>
    </w:rPr>
  </w:style>
  <w:style w:type="character" w:customStyle="1" w:styleId="HeiTiBold1">
    <w:name w:val="Hei Ti Bold1"/>
    <w:qFormat/>
    <w:rPr>
      <w:rFonts w:ascii="黑体" w:eastAsia="黑体" w:hAnsi="黑体" w:cs="黑体"/>
      <w:b/>
      <w:sz w:val="36"/>
    </w:rPr>
  </w:style>
  <w:style w:type="character" w:customStyle="1" w:styleId="GB2312">
    <w:name w:val="GB_2312"/>
    <w:qFormat/>
    <w:rPr>
      <w:rFonts w:ascii="仿宋_GB2312" w:eastAsia="仿宋_GB2312" w:hAnsi="仿宋_GB2312" w:cs="仿宋_GB2312"/>
      <w:sz w:val="32"/>
    </w:rPr>
  </w:style>
  <w:style w:type="character" w:customStyle="1" w:styleId="GB23121">
    <w:name w:val="GB_23121"/>
    <w:qFormat/>
    <w:rPr>
      <w:rFonts w:ascii="仿宋_GB2312" w:eastAsia="仿宋_GB2312" w:hAnsi="仿宋_GB2312" w:cs="仿宋_GB2312"/>
      <w:sz w:val="36"/>
    </w:rPr>
  </w:style>
  <w:style w:type="character" w:customStyle="1" w:styleId="RedColor">
    <w:name w:val="Red_Color"/>
    <w:qFormat/>
    <w:rPr>
      <w:rFonts w:ascii="方正小标宋简体" w:eastAsia="方正小标宋简体" w:hAnsi="方正小标宋简体" w:cs="方正小标宋简体"/>
      <w:color w:val="000000"/>
      <w:sz w:val="65"/>
    </w:rPr>
  </w:style>
  <w:style w:type="character" w:customStyle="1" w:styleId="KaiTi">
    <w:name w:val="KaiTi"/>
    <w:qFormat/>
    <w:rPr>
      <w:rFonts w:ascii="楷体_GB2312" w:eastAsia="楷体_GB2312" w:hAnsi="楷体_GB2312" w:cs="楷体_GB2312"/>
      <w:sz w:val="32"/>
    </w:rPr>
  </w:style>
  <w:style w:type="character" w:customStyle="1" w:styleId="FzXbs">
    <w:name w:val="Fz_Xbs"/>
    <w:qFormat/>
    <w:rPr>
      <w:rFonts w:ascii="方正小标宋简体" w:eastAsia="方正小标宋简体" w:hAnsi="方正小标宋简体" w:cs="方正小标宋简体"/>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Company>微软中国</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天津市医疗保障局</dc:title>
  <dc:creator>微软用户</dc:creator>
  <cp:lastModifiedBy>Tech-Winning</cp:lastModifiedBy>
  <cp:revision>4</cp:revision>
  <cp:lastPrinted>2022-02-24T01:01:00Z</cp:lastPrinted>
  <dcterms:created xsi:type="dcterms:W3CDTF">2021-09-03T17:37:00Z</dcterms:created>
  <dcterms:modified xsi:type="dcterms:W3CDTF">2023-05-12T07:43:00Z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