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市医保局关于印发《关于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做好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失能评定结论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/>
        </w:rPr>
        <w:t>有效期满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人员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/>
        </w:rPr>
        <w:t>错峰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评定工作的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各区医保局、市医保中心、各级委托经办机构：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为平稳有序开展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错峰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评定工作，市医保局制定了《关于做好失能评定结论有效期满人员错峰评定工作的实施方案》，经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次局长办公会审议通过，现印发给你们，请遵照执行。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Times New Roman" w:hAnsi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市医保局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2023年5月15日   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（此件</w:t>
      </w:r>
      <w:bookmarkStart w:id="0" w:name="_GoBack"/>
      <w:bookmarkEnd w:id="0"/>
      <w:r>
        <w:rPr>
          <w:rFonts w:hint="default" w:eastAsia="仿宋_GB2312" w:cs="Times New Roman"/>
          <w:kern w:val="2"/>
          <w:sz w:val="32"/>
          <w:szCs w:val="32"/>
          <w:lang w:eastAsia="zh-CN" w:bidi="ar-SA"/>
        </w:rPr>
        <w:t>主动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失能评定结论</w:t>
      </w: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/>
        </w:rPr>
        <w:t>有效期满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人员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/>
        </w:rPr>
        <w:t>错峰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评定工作的实施方案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ascii="Times New Roman" w:hAnsi="Times New Roman" w:cs="Times New Roman"/>
          <w:sz w:val="15"/>
          <w:szCs w:val="15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自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2023年5月中旬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，我市长期护理保险（以下简称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Hans"/>
        </w:rPr>
        <w:t>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长护险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Hans"/>
        </w:rPr>
        <w:t>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试点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启动初期重度失能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人员评定结论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有效期相继期满。为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积极应对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失能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评定高峰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Hans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平稳有序开展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错峰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评定工作，特制定本实施方案。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一、总体要求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（一）基本原则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坚持严把标准、严控流程，确保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结论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客观真实，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守牢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长护险“入口关”。坚持问题导向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需求导向，优化流程，讲求实效，保障重度失能人员权益。坚持统筹推进，分工协作、压实责任、合力攻坚，提升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经办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服务效能。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（二）工作目标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通过充实评定力量、错峰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开展评定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、严把评定标准、做好社会宣传等措施，高效有序开展重新评定工作，确保在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月3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日前错峰完成5至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月失能评定结论集中到期的重度失能人员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失能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评定工作，稳妥应对评定高峰期，提升失能评定工作质量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维护参保人员权益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长护险基金安全。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二、工作任务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黑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（一）确定错峰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</w:rPr>
        <w:t>评定对象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范围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及结论生效规则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1.评定对象。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对于失能评定结论为5、6级，评定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结论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2023年5月1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日至2023年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月3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日到期的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参保人员，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纳入本次错峰评定对象范围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2.结论生效规则。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对于重新评定结论生效日早于原评定结论到期日的，按原评定结论到期次日，重新评定结论生效。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按本实施方案规定时限完成重新评定申请的，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失能评定结论延长至重新评定结论生效之日。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未按规定时限完成重新评定申请的，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失能评定结论到期日早于申请截止时间的，其失能评定结论延长至申请截止日期。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（二）充实失能评定工作力量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失能评定机构应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针对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本次评定高峰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工作预案，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确保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在5月内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兑现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投标文件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承诺的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失能评定人员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配备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专业化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培训等工作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此项工作组织实施情况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纳入考核内容并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与失能评定质量保证金挂钩。失能评定培训机构应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通过调整培训频次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、增加师资力量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、细化课程内容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等方式，加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强专业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培训和考核力度，提升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失能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评定人员专业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水平和业务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 xml:space="preserve">    （三）</w:t>
      </w: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错峰受理失能评定申请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根据评定对象是否正在享受待遇、服务方式以及评定结论到期时间，采取错峰方式，合理安排失能评定申请时间（详见附件）。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评定对象应严格按照申请时间要求提交申请。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申请方式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对于机构护理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评定对象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，委托经办机构采取上门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，在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评定对象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所在机构集中开展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受理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申请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对于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居家护理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评定对象，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可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就近的经办窗口提交申请。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评定对象应按照本市有关规定，提前准备好病历资料等相关材料，按照规定时限提交申请，确保及时完成重新评定申请，避免影响后期待遇。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评定对象可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通过线上预约排队功能，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提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前预约提交申请时间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减少等候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避免聚集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实现分流错峰。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（四）错峰开展失能评定工作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失能评定机构在接到评定派单后，应按规定及时安排评定人员进行上门评定，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严格按照失能评定办法有关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时限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要求及时完成失能评定工作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失能评定机构应切实充实失能评定工作力量，严格把握失能评定标准和流程，保质保量完成失能评定工作，确保失能评定结论客观、真实、科学。</w:t>
      </w:r>
    </w:p>
    <w:p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（五）加强失能评定工作质量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管控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  <w:lang w:val="en-US" w:eastAsia="zh-CN"/>
        </w:rPr>
        <w:t>严把“自评申请关”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参保人员及申请人应严格按照政策及相关经办管理要求，实事求是开展失能状态自评，并提供规范、完整、真实、有效的申请材料。委托经办机构应通过申请受理、日常巡查、专项检查等工作，不断加强对参保人失能状况的稽核检查，对存在虚假申报的，一经发现，严肃处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2.严把“现场评估关”。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失能评定人员应通过社区走访、量表评估等方式，对评定对象做好失能检查和问询记录，进行问询和检查，不得缺项、漏项，辅助工作人员进行全过程影像记录。采集相关信息于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评定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当日上传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长护险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信息系统。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3.严把“结论复核关”。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失能评定机构组织其他失能评定人员，通过回看视频、查阅病历、联合审查等方式对现场评估情况及有关资料等进行统一复核，要切实压实复核责任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。评定时效性、异议复评申请率、复评一致率、投诉举报情况等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纳入考核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内容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highlight w:val="none"/>
        </w:rPr>
        <w:t>4.严把“异议复评关”。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坚持严谨、严肃原则，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委托经办机构组织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 w:bidi="ar-SA"/>
        </w:rPr>
        <w:t>失能评定专家妥善做好异议复评工作。区医保行政部门组织做好辖区异议复评信访投诉、社会维稳等工作。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（六）</w:t>
      </w: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做好重新评定社会宣传引导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委托经办机构应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针对本次重新评定工作开展线上线下多种形式宣传，通过印发明白纸、点对点发送短消息、送政策进社区等方式进行精准宣传，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针对特殊情况开展走访调查，并指导定点护理机构做好解答、正确宣传，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确保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评定对象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应知尽知。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加强宣导解释，及时回应群众关切，积极引导，有效管控舆情。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三、组织实施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（一）加强组织领导，精心组织实施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各单位、各部门要将本次失能评定工作当做近期重点工作任务抓好落实，切实加强领导，周密部署安排，精心组织实施，确保长护险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错峰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评定工作有力有序有效开展。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（二）明确职责分工，做好协同配合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市医保局负责制定工作方案。区医保局做好辖区信访投诉、社会维稳工作。市医保中心指导委托经办机构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做好错峰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评定工作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的统筹管理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。委托经办机构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负责本次错峰评定工作的组织实施、制定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应急预案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与措施，做好各类特殊情况的应对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失能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评定培训机构负责评定人员培训及相关专业指导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失能评定机构负责评定工作的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实施。各单位、各部门要加强协同配合，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建立信息传达机制，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形成工作合力，确保总体平稳有序。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both"/>
        <w:textAlignment w:val="auto"/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  <w:highlight w:val="none"/>
        </w:rPr>
        <w:t>（三）落实纪律要求，坚守廉洁底线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Hans"/>
        </w:rPr>
        <w:t>各单位、部门应严格遵守相关政策规定，严格工作纪律要求，坚守廉洁从业底线，依法依规实施评定。存在违法违规违纪行为，一经查处将严肃追究责任，并按程序进行通报。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ascii="Times New Roman" w:hAnsi="Times New Roman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76" w:leftChars="304" w:hanging="838" w:hangingChars="262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附件：失能评定结论有效期满人员错峰评定完成申请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76" w:leftChars="304" w:hanging="838" w:hangingChars="262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both"/>
        <w:textAlignment w:val="auto"/>
        <w:rPr>
          <w:rFonts w:hint="eastAsia" w:ascii="Times New Roman" w:hAnsi="Times New Roman" w:cs="Times New Roman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880" w:firstLineChars="200"/>
        <w:textAlignment w:val="auto"/>
        <w:rPr>
          <w:rFonts w:hint="eastAsia" w:ascii="Times New Roman" w:hAnsi="Times New Roman" w:cs="Times New Roman"/>
          <w:highlight w:val="none"/>
          <w:lang w:eastAsia="zh-CN"/>
        </w:rPr>
      </w:pPr>
    </w:p>
    <w:p>
      <w:pPr>
        <w:pStyle w:val="5"/>
        <w:spacing w:line="578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ascii="Times New Roman" w:hAnsi="Times New Roman"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 w:eastAsia="黑体" w:cs="黑体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pPr>
        <w:spacing w:line="578" w:lineRule="exact"/>
        <w:ind w:left="210" w:leftChars="100" w:right="210" w:right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</w:rPr>
        <w:pict>
          <v:line id="_x0000_s1043" o:spid="_x0000_s1043" o:spt="20" style="position:absolute;left:0pt;margin-left:-0.05pt;margin-top:0pt;height:0pt;width:441.05pt;z-index:25167564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_x0000_s1044" o:spid="_x0000_s1044" o:spt="20" style="position:absolute;left:0pt;margin-left:0pt;margin-top:30.5pt;height:0pt;width:441.05pt;z-index:25167667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_x0000_s1045" o:spid="_x0000_s1045" o:spt="20" style="position:absolute;left:0pt;margin-left:0pt;margin-top:0pt;height:0pt;width:441.05pt;z-index:251677696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Times New Roman" w:hAnsi="Times New Roman" w:eastAsia="仿宋_GB2312"/>
          <w:sz w:val="28"/>
          <w:szCs w:val="28"/>
        </w:rPr>
        <w:t>天津市医疗保障局办公室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</w:rPr>
        <w:sectPr>
          <w:headerReference r:id="rId9" w:type="default"/>
          <w:footerReference r:id="rId10" w:type="default"/>
          <w:pgSz w:w="11906" w:h="16838"/>
          <w:pgMar w:top="1440" w:right="1531" w:bottom="1440" w:left="1531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失能评定结论</w:t>
      </w: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/>
        </w:rPr>
        <w:t>有效期满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人员</w:t>
      </w: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/>
        </w:rPr>
        <w:t>错峰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评定</w:t>
      </w:r>
      <w:r>
        <w:rPr>
          <w:rFonts w:hint="default" w:ascii="Times New Roman" w:hAnsi="Times New Roman" w:eastAsia="方正小标宋简体" w:cs="方正小标宋简体"/>
          <w:sz w:val="44"/>
          <w:szCs w:val="44"/>
          <w:highlight w:val="none"/>
        </w:rPr>
        <w:t>完成申请时间安排</w:t>
      </w:r>
    </w:p>
    <w:tbl>
      <w:tblPr>
        <w:tblStyle w:val="10"/>
        <w:tblpPr w:leftFromText="180" w:rightFromText="180" w:vertAnchor="text" w:horzAnchor="page" w:tblpX="1195" w:tblpY="191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3785"/>
        <w:gridCol w:w="3877"/>
        <w:gridCol w:w="2135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  <w:t>评定对象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结论到期日期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  <w:t>完成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  <w:t>时限</w:t>
            </w:r>
          </w:p>
        </w:tc>
        <w:tc>
          <w:tcPr>
            <w:tcW w:w="21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  <w:t>申请方式</w:t>
            </w:r>
          </w:p>
        </w:tc>
        <w:tc>
          <w:tcPr>
            <w:tcW w:w="317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2"/>
                <w:szCs w:val="22"/>
                <w:highlight w:val="none"/>
                <w:vertAlign w:val="baseline"/>
                <w:lang w:eastAsia="zh-CN"/>
              </w:rPr>
              <w:t>原结论有效期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正在享受机构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护理服务的人员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2023年5月15日至5月31日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方案印发之日起至2023年6月20日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  <w:t>到定点护理机构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  <w:t>集中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受理申请</w:t>
            </w:r>
          </w:p>
        </w:tc>
        <w:tc>
          <w:tcPr>
            <w:tcW w:w="3173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按规定时限完成重新评定申请的，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Hans"/>
              </w:rPr>
              <w:t>其失能评定结论延长至新重新评定结论生效之日。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未按规定时限完成重新评定申请的，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Hans"/>
              </w:rPr>
              <w:t>失能评定结论到期日早于申请截止时间的，其失能评定结论延长至申请截止日期。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3.对于重新评定结论生效日早于原评定结论到期日的，按原评定结论到期次日，重新评定结论生效。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2023年6月1日至10月31日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2023年6月21日至7月20日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正在享受居家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护理服务的人员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5月15日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日至6月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0日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个人到就近的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经办窗口提交申请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2023年5月1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日至5月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2023年6月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0日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1日至6月30日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2023年7月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1日至7月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2023年7月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1日至7月31日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月1日至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2023年8月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1日至8月31日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2023年9月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1日至9月30日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2023年8月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1日至8月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1日至10月31日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月1日至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  <w:t>未正在享受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  <w:t>待遇的人员</w:t>
            </w: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5月15日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日至6月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0日</w:t>
            </w:r>
          </w:p>
        </w:tc>
        <w:tc>
          <w:tcPr>
            <w:tcW w:w="213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个人到就近的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经办窗口提交申请</w:t>
            </w: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2023年5月1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日至5月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2023年6月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0日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1日至6月30日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2023年7月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1日至7月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2023年7月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1日至7月31日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月1日至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2023年8月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1日至8月31日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2023年9月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1日至9月30日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2023年8月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1日至8月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37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1日至10月31日</w:t>
            </w:r>
          </w:p>
        </w:tc>
        <w:tc>
          <w:tcPr>
            <w:tcW w:w="38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2023年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月1日至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13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  <w:tc>
          <w:tcPr>
            <w:tcW w:w="3173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2"/>
          <w:szCs w:val="2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  <w:lang w:eastAsia="zh-Hans"/>
        </w:rPr>
        <w:t>备注：1.评定对象应按照本市有关规定，提前准备好病历资料等相关材料，按照规定时限提交申请，确保及时完成重新评定申请。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Chars="200" w:firstLine="220" w:firstLineChars="100"/>
        <w:jc w:val="both"/>
        <w:textAlignment w:val="auto"/>
        <w:rPr>
          <w:rFonts w:hint="default" w:ascii="Times New Roman" w:hAnsi="Times New Roman" w:eastAsia="仿宋_GB2312" w:cs="Times New Roman"/>
          <w:sz w:val="22"/>
          <w:szCs w:val="22"/>
          <w:highlight w:val="none"/>
          <w:lang w:eastAsia="zh-Hans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  <w:lang w:val="en" w:eastAsia="zh-Hans"/>
        </w:rPr>
        <w:t>2.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  <w:lang w:eastAsia="zh-Hans"/>
        </w:rPr>
        <w:t>委托经办机构在申请受理过程中应对申请材料完整性、规范治疗是否满6个月、参保状态、自评量表等进行严格审核。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500" w:leftChars="238" w:firstLine="138" w:firstLineChars="63"/>
        <w:jc w:val="both"/>
        <w:textAlignment w:val="auto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  <w:lang w:eastAsia="zh-Hans"/>
        </w:rPr>
        <w:t>3.失能评定机构应切实充实失能评定工作力量，严格把握失能评定标准和流程，保质保量完成失能评定工作。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</w:p>
    <w:sectPr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12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1</w:t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1BFBF9C8"/>
    <w:rsid w:val="35FF5D4F"/>
    <w:rsid w:val="3B7FBFB1"/>
    <w:rsid w:val="4B4D8993"/>
    <w:rsid w:val="51F1B5E5"/>
    <w:rsid w:val="57FCD311"/>
    <w:rsid w:val="7B7B6DA7"/>
    <w:rsid w:val="7FFBC8C8"/>
    <w:rsid w:val="9A5E865A"/>
    <w:rsid w:val="B57FF11A"/>
    <w:rsid w:val="BDBF55A8"/>
    <w:rsid w:val="D7BF1BDD"/>
    <w:rsid w:val="DBF7A07D"/>
    <w:rsid w:val="FDF56301"/>
    <w:rsid w:val="FDF77059"/>
    <w:rsid w:val="FFE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Arial" w:hAnsi="Arial" w:eastAsia="楷体_GB231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3081</Words>
  <Characters>3268</Characters>
  <Lines>1</Lines>
  <Paragraphs>1</Paragraphs>
  <TotalTime>2</TotalTime>
  <ScaleCrop>false</ScaleCrop>
  <LinksUpToDate>false</LinksUpToDate>
  <CharactersWithSpaces>3312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2021-03-29T19:26:00Z</dcterms:created>
  <dc:creator>linhong</dc:creator>
  <cp:lastModifiedBy>长护险领导小组办公室</cp:lastModifiedBy>
  <cp:lastPrinted>2005-02-19T23:04:00Z</cp:lastPrinted>
  <dcterms:modified xsi:type="dcterms:W3CDTF">2023-05-17T01:18:22Z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