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05665" w14:textId="77777777" w:rsidR="004342CA" w:rsidRDefault="00000000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>
        <w:rPr>
          <w:rFonts w:ascii="黑体" w:eastAsia="黑体" w:hAnsi="黑体" w:cs="Times New Roman" w:hint="eastAsia"/>
          <w:color w:val="000000"/>
          <w:sz w:val="28"/>
          <w:szCs w:val="28"/>
        </w:rPr>
        <w:t>姜  半  夏</w:t>
      </w:r>
    </w:p>
    <w:p w14:paraId="7CBF4072" w14:textId="77777777" w:rsidR="004342CA" w:rsidRDefault="00000000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宋体" w:hAnsi="Times New Roman" w:cs="Times New Roman" w:hint="eastAsia"/>
          <w:b/>
          <w:sz w:val="24"/>
          <w:szCs w:val="24"/>
        </w:rPr>
        <w:t>Jiangbanxia</w:t>
      </w:r>
      <w:proofErr w:type="spellEnd"/>
    </w:p>
    <w:p w14:paraId="50185ADC" w14:textId="77777777" w:rsidR="004342CA" w:rsidRPr="00DD45E6" w:rsidRDefault="00000000">
      <w:pPr>
        <w:spacing w:line="440" w:lineRule="exact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DD45E6">
        <w:rPr>
          <w:rFonts w:ascii="Times New Roman" w:eastAsia="宋体" w:hAnsi="Times New Roman" w:cs="Times New Roman" w:hint="eastAsia"/>
          <w:sz w:val="24"/>
          <w:szCs w:val="24"/>
        </w:rPr>
        <w:t>PINELLIAE RHIZOMA PRAEPARATUM CUM ZINGIBERE ET ALUMINE</w:t>
      </w:r>
    </w:p>
    <w:p w14:paraId="51629717" w14:textId="77777777" w:rsidR="004342CA" w:rsidRDefault="00000000">
      <w:pPr>
        <w:adjustRightInd w:val="0"/>
        <w:spacing w:line="360" w:lineRule="auto"/>
        <w:ind w:firstLineChars="200" w:firstLine="420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Cs/>
          <w:szCs w:val="21"/>
        </w:rPr>
        <w:t>本品为半夏的炮制加工品。</w:t>
      </w:r>
    </w:p>
    <w:p w14:paraId="4E4B4025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Cs/>
          <w:szCs w:val="21"/>
        </w:rPr>
        <w:t>【</w:t>
      </w:r>
      <w:r>
        <w:rPr>
          <w:rFonts w:ascii="Times New Roman" w:eastAsia="宋体" w:hAnsi="Times New Roman"/>
          <w:b/>
          <w:bCs/>
          <w:szCs w:val="21"/>
        </w:rPr>
        <w:t>炮制</w:t>
      </w:r>
      <w:r>
        <w:rPr>
          <w:rFonts w:ascii="Times New Roman" w:eastAsia="宋体" w:hAnsi="Times New Roman"/>
          <w:bCs/>
          <w:szCs w:val="21"/>
        </w:rPr>
        <w:t>】</w:t>
      </w:r>
      <w:r>
        <w:rPr>
          <w:rFonts w:ascii="Times New Roman" w:eastAsia="宋体" w:hAnsi="Times New Roman" w:hint="eastAsia"/>
          <w:bCs/>
          <w:szCs w:val="21"/>
        </w:rPr>
        <w:t xml:space="preserve"> </w:t>
      </w:r>
      <w:r>
        <w:rPr>
          <w:rFonts w:ascii="Times New Roman" w:eastAsia="宋体" w:hAnsi="Times New Roman"/>
          <w:bCs/>
          <w:szCs w:val="21"/>
        </w:rPr>
        <w:t>取净半夏，大小分开，用水浸泡至内</w:t>
      </w:r>
      <w:proofErr w:type="gramStart"/>
      <w:r>
        <w:rPr>
          <w:rFonts w:ascii="Times New Roman" w:eastAsia="宋体" w:hAnsi="Times New Roman"/>
          <w:bCs/>
          <w:szCs w:val="21"/>
        </w:rPr>
        <w:t>无干心</w:t>
      </w:r>
      <w:proofErr w:type="gramEnd"/>
      <w:r>
        <w:rPr>
          <w:rFonts w:ascii="Times New Roman" w:eastAsia="宋体" w:hAnsi="Times New Roman"/>
          <w:bCs/>
          <w:szCs w:val="21"/>
        </w:rPr>
        <w:t>时，取出；另取生姜切片煎汤，加白矾与半夏共煮透，取出，</w:t>
      </w:r>
      <w:r>
        <w:rPr>
          <w:rFonts w:ascii="Times New Roman" w:eastAsia="宋体" w:hAnsi="Times New Roman" w:hint="eastAsia"/>
          <w:bCs/>
          <w:szCs w:val="21"/>
        </w:rPr>
        <w:t>晾干，</w:t>
      </w:r>
      <w:r>
        <w:rPr>
          <w:rFonts w:ascii="Times New Roman" w:eastAsia="宋体" w:hAnsi="Times New Roman"/>
          <w:bCs/>
          <w:szCs w:val="21"/>
        </w:rPr>
        <w:t>切厚片，干燥。</w:t>
      </w:r>
    </w:p>
    <w:p w14:paraId="37E8AFC5" w14:textId="77777777" w:rsidR="004342CA" w:rsidRDefault="00000000">
      <w:pPr>
        <w:spacing w:line="360" w:lineRule="auto"/>
        <w:ind w:firstLineChars="200" w:firstLine="420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Cs/>
          <w:szCs w:val="21"/>
        </w:rPr>
        <w:t>每</w:t>
      </w:r>
      <w:r>
        <w:rPr>
          <w:rFonts w:ascii="Times New Roman" w:eastAsia="宋体" w:hAnsi="Times New Roman"/>
          <w:bCs/>
          <w:szCs w:val="21"/>
        </w:rPr>
        <w:t>100kg</w:t>
      </w:r>
      <w:r>
        <w:rPr>
          <w:rFonts w:ascii="Times New Roman" w:eastAsia="宋体" w:hAnsi="Times New Roman"/>
          <w:bCs/>
          <w:szCs w:val="21"/>
        </w:rPr>
        <w:t>净半夏，用生姜</w:t>
      </w:r>
      <w:r>
        <w:rPr>
          <w:rFonts w:ascii="Times New Roman" w:eastAsia="宋体" w:hAnsi="Times New Roman"/>
          <w:bCs/>
          <w:szCs w:val="21"/>
        </w:rPr>
        <w:t>25kg</w:t>
      </w:r>
      <w:r>
        <w:rPr>
          <w:rFonts w:ascii="Times New Roman" w:eastAsia="宋体" w:hAnsi="Times New Roman"/>
          <w:bCs/>
          <w:szCs w:val="21"/>
        </w:rPr>
        <w:t>、白矾</w:t>
      </w:r>
      <w:r>
        <w:rPr>
          <w:rFonts w:ascii="Times New Roman" w:eastAsia="宋体" w:hAnsi="Times New Roman"/>
          <w:bCs/>
          <w:szCs w:val="21"/>
        </w:rPr>
        <w:t>12.5kg</w:t>
      </w:r>
      <w:r>
        <w:rPr>
          <w:rFonts w:ascii="Times New Roman" w:eastAsia="宋体" w:hAnsi="Times New Roman"/>
          <w:bCs/>
          <w:szCs w:val="21"/>
        </w:rPr>
        <w:t>。</w:t>
      </w:r>
    </w:p>
    <w:p w14:paraId="74ABFAB8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Cs/>
          <w:szCs w:val="21"/>
        </w:rPr>
        <w:t>【</w:t>
      </w:r>
      <w:r>
        <w:rPr>
          <w:rFonts w:ascii="Times New Roman" w:eastAsia="宋体" w:hAnsi="Times New Roman"/>
          <w:b/>
          <w:bCs/>
          <w:szCs w:val="21"/>
        </w:rPr>
        <w:t>性状</w:t>
      </w:r>
      <w:r>
        <w:rPr>
          <w:rFonts w:ascii="Times New Roman" w:eastAsia="宋体" w:hAnsi="Times New Roman"/>
          <w:bCs/>
          <w:szCs w:val="21"/>
        </w:rPr>
        <w:t>】</w:t>
      </w:r>
      <w:r>
        <w:rPr>
          <w:rFonts w:ascii="Times New Roman" w:eastAsia="宋体" w:hAnsi="Times New Roman" w:hint="eastAsia"/>
          <w:bCs/>
          <w:szCs w:val="21"/>
        </w:rPr>
        <w:t xml:space="preserve"> </w:t>
      </w:r>
      <w:r>
        <w:rPr>
          <w:rFonts w:ascii="Times New Roman" w:eastAsia="宋体" w:hAnsi="Times New Roman"/>
          <w:bCs/>
          <w:szCs w:val="21"/>
        </w:rPr>
        <w:t>本品</w:t>
      </w:r>
      <w:r>
        <w:rPr>
          <w:rFonts w:ascii="Times New Roman" w:eastAsia="宋体" w:hAnsi="Times New Roman" w:hint="eastAsia"/>
          <w:bCs/>
          <w:szCs w:val="21"/>
        </w:rPr>
        <w:t>为椭圆形</w:t>
      </w:r>
      <w:r>
        <w:rPr>
          <w:rFonts w:ascii="Times New Roman" w:eastAsia="宋体" w:hAnsi="Times New Roman"/>
          <w:bCs/>
          <w:szCs w:val="21"/>
        </w:rPr>
        <w:t>、</w:t>
      </w:r>
      <w:r>
        <w:rPr>
          <w:rFonts w:ascii="Times New Roman" w:eastAsia="宋体" w:hAnsi="Times New Roman" w:hint="eastAsia"/>
          <w:bCs/>
          <w:szCs w:val="21"/>
        </w:rPr>
        <w:t>类圆形或</w:t>
      </w:r>
      <w:r>
        <w:rPr>
          <w:rFonts w:ascii="Times New Roman" w:eastAsia="宋体" w:hAnsi="Times New Roman"/>
          <w:bCs/>
          <w:szCs w:val="21"/>
        </w:rPr>
        <w:t>不规则的厚片。表面棕色至棕褐色。质硬脆，断面淡黄棕色，常具角质样光泽。气微香，味淡、微有麻舌感，嚼之略粘牙。</w:t>
      </w:r>
    </w:p>
    <w:p w14:paraId="04BE631A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Cs/>
          <w:szCs w:val="21"/>
        </w:rPr>
        <w:t>【</w:t>
      </w:r>
      <w:r>
        <w:rPr>
          <w:rFonts w:ascii="Times New Roman" w:eastAsia="宋体" w:hAnsi="Times New Roman"/>
          <w:b/>
          <w:bCs/>
          <w:szCs w:val="21"/>
        </w:rPr>
        <w:t>鉴别</w:t>
      </w:r>
      <w:r>
        <w:rPr>
          <w:rFonts w:ascii="Times New Roman" w:eastAsia="宋体" w:hAnsi="Times New Roman"/>
          <w:bCs/>
          <w:szCs w:val="21"/>
        </w:rPr>
        <w:t>】</w:t>
      </w:r>
      <w:r>
        <w:rPr>
          <w:rFonts w:ascii="Times New Roman" w:eastAsia="宋体" w:hAnsi="Times New Roman" w:hint="eastAsia"/>
          <w:bCs/>
          <w:szCs w:val="21"/>
        </w:rPr>
        <w:t xml:space="preserve"> </w:t>
      </w:r>
      <w:r>
        <w:rPr>
          <w:rFonts w:ascii="Times New Roman" w:eastAsia="宋体" w:hAnsi="Times New Roman"/>
          <w:bCs/>
          <w:szCs w:val="21"/>
        </w:rPr>
        <w:t>（</w:t>
      </w:r>
      <w:r>
        <w:rPr>
          <w:rFonts w:ascii="Times New Roman" w:eastAsia="宋体" w:hAnsi="Times New Roman"/>
          <w:bCs/>
          <w:szCs w:val="21"/>
        </w:rPr>
        <w:t>1</w:t>
      </w:r>
      <w:r>
        <w:rPr>
          <w:rFonts w:ascii="Times New Roman" w:eastAsia="宋体" w:hAnsi="Times New Roman"/>
          <w:bCs/>
          <w:szCs w:val="21"/>
        </w:rPr>
        <w:t>）本品粉末黄褐色至黄棕色。薄壁细胞可见淡黄色糊化淀粉粒。草酸钙针晶</w:t>
      </w:r>
      <w:proofErr w:type="gramStart"/>
      <w:r>
        <w:rPr>
          <w:rFonts w:ascii="Times New Roman" w:eastAsia="宋体" w:hAnsi="Times New Roman"/>
          <w:bCs/>
          <w:szCs w:val="21"/>
        </w:rPr>
        <w:t>束存在</w:t>
      </w:r>
      <w:proofErr w:type="gramEnd"/>
      <w:r>
        <w:rPr>
          <w:rFonts w:ascii="Times New Roman" w:eastAsia="宋体" w:hAnsi="Times New Roman"/>
          <w:bCs/>
          <w:szCs w:val="21"/>
        </w:rPr>
        <w:t>于椭圆形黏液细胞中，或随处散在，针晶长</w:t>
      </w:r>
      <w:r>
        <w:rPr>
          <w:rFonts w:ascii="Times New Roman" w:eastAsia="宋体" w:hAnsi="Times New Roman" w:cs="Times New Roman"/>
          <w:bCs/>
          <w:szCs w:val="21"/>
        </w:rPr>
        <w:t>20~144μm</w:t>
      </w:r>
      <w:r>
        <w:rPr>
          <w:rFonts w:ascii="Times New Roman" w:eastAsia="宋体" w:hAnsi="Times New Roman"/>
          <w:bCs/>
          <w:szCs w:val="21"/>
        </w:rPr>
        <w:t>。螺纹导管直径</w:t>
      </w:r>
      <w:r>
        <w:rPr>
          <w:rFonts w:ascii="Times New Roman" w:eastAsia="宋体" w:hAnsi="Times New Roman" w:cs="Times New Roman"/>
          <w:bCs/>
          <w:szCs w:val="21"/>
        </w:rPr>
        <w:t>10~24μm</w:t>
      </w:r>
      <w:r>
        <w:rPr>
          <w:rFonts w:ascii="Times New Roman" w:eastAsia="宋体" w:hAnsi="Times New Roman"/>
          <w:bCs/>
          <w:szCs w:val="21"/>
        </w:rPr>
        <w:t>。</w:t>
      </w:r>
    </w:p>
    <w:p w14:paraId="16EC9279" w14:textId="77777777" w:rsidR="004342CA" w:rsidRDefault="00000000">
      <w:pPr>
        <w:spacing w:line="360" w:lineRule="auto"/>
        <w:ind w:firstLine="431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Cs/>
          <w:szCs w:val="21"/>
        </w:rPr>
        <w:t>（</w:t>
      </w:r>
      <w:r>
        <w:rPr>
          <w:rFonts w:ascii="Times New Roman" w:eastAsia="宋体" w:hAnsi="Times New Roman"/>
          <w:bCs/>
          <w:szCs w:val="21"/>
        </w:rPr>
        <w:t>2</w:t>
      </w:r>
      <w:r>
        <w:rPr>
          <w:rFonts w:ascii="Times New Roman" w:eastAsia="宋体" w:hAnsi="Times New Roman"/>
          <w:bCs/>
          <w:szCs w:val="21"/>
        </w:rPr>
        <w:t>）取本品粉末</w:t>
      </w:r>
      <w:r>
        <w:rPr>
          <w:rFonts w:ascii="Times New Roman" w:eastAsia="宋体" w:hAnsi="Times New Roman"/>
          <w:bCs/>
          <w:szCs w:val="21"/>
        </w:rPr>
        <w:t>5g</w:t>
      </w:r>
      <w:r>
        <w:rPr>
          <w:rFonts w:ascii="Times New Roman" w:eastAsia="宋体" w:hAnsi="Times New Roman"/>
          <w:bCs/>
          <w:szCs w:val="21"/>
        </w:rPr>
        <w:t>，加甲醇</w:t>
      </w:r>
      <w:r>
        <w:rPr>
          <w:rFonts w:ascii="Times New Roman" w:eastAsia="宋体" w:hAnsi="Times New Roman"/>
          <w:bCs/>
          <w:szCs w:val="21"/>
        </w:rPr>
        <w:t>50ml</w:t>
      </w:r>
      <w:r>
        <w:rPr>
          <w:rFonts w:ascii="Times New Roman" w:eastAsia="宋体" w:hAnsi="Times New Roman"/>
          <w:bCs/>
          <w:szCs w:val="21"/>
        </w:rPr>
        <w:t>，加热回流</w:t>
      </w:r>
      <w:r>
        <w:rPr>
          <w:rFonts w:ascii="Times New Roman" w:eastAsia="宋体" w:hAnsi="Times New Roman"/>
          <w:bCs/>
          <w:szCs w:val="21"/>
        </w:rPr>
        <w:t>1</w:t>
      </w:r>
      <w:r>
        <w:rPr>
          <w:rFonts w:ascii="Times New Roman" w:eastAsia="宋体" w:hAnsi="Times New Roman"/>
          <w:bCs/>
          <w:szCs w:val="21"/>
        </w:rPr>
        <w:t>小时，放冷，滤过，滤液蒸干，残渣加乙醚</w:t>
      </w:r>
      <w:r>
        <w:rPr>
          <w:rFonts w:ascii="Times New Roman" w:eastAsia="宋体" w:hAnsi="Times New Roman"/>
          <w:bCs/>
          <w:szCs w:val="21"/>
        </w:rPr>
        <w:t>30ml</w:t>
      </w:r>
      <w:r>
        <w:rPr>
          <w:rFonts w:ascii="Times New Roman" w:eastAsia="宋体" w:hAnsi="Times New Roman"/>
          <w:bCs/>
          <w:szCs w:val="21"/>
        </w:rPr>
        <w:t>使溶解，滤过，滤液挥干，残渣加甲醇</w:t>
      </w:r>
      <w:r>
        <w:rPr>
          <w:rFonts w:ascii="Times New Roman" w:eastAsia="宋体" w:hAnsi="Times New Roman"/>
          <w:bCs/>
          <w:szCs w:val="21"/>
        </w:rPr>
        <w:t>0</w:t>
      </w:r>
      <w:r>
        <w:rPr>
          <w:rFonts w:ascii="Times New Roman" w:eastAsia="宋体" w:hAnsi="Times New Roman" w:cs="MS Mincho"/>
          <w:bCs/>
          <w:szCs w:val="21"/>
        </w:rPr>
        <w:t>.</w:t>
      </w:r>
      <w:r>
        <w:rPr>
          <w:rFonts w:ascii="Times New Roman" w:eastAsia="宋体" w:hAnsi="Times New Roman"/>
          <w:bCs/>
          <w:szCs w:val="21"/>
        </w:rPr>
        <w:t>5ml</w:t>
      </w:r>
      <w:r>
        <w:rPr>
          <w:rFonts w:ascii="Times New Roman" w:eastAsia="宋体" w:hAnsi="Times New Roman"/>
          <w:bCs/>
          <w:szCs w:val="21"/>
        </w:rPr>
        <w:t>使溶解，作为</w:t>
      </w:r>
      <w:proofErr w:type="gramStart"/>
      <w:r>
        <w:rPr>
          <w:rFonts w:ascii="Times New Roman" w:eastAsia="宋体" w:hAnsi="Times New Roman"/>
          <w:bCs/>
          <w:szCs w:val="21"/>
        </w:rPr>
        <w:t>供试品溶液</w:t>
      </w:r>
      <w:proofErr w:type="gramEnd"/>
      <w:r>
        <w:rPr>
          <w:rFonts w:ascii="Times New Roman" w:eastAsia="宋体" w:hAnsi="Times New Roman"/>
          <w:bCs/>
          <w:szCs w:val="21"/>
        </w:rPr>
        <w:t>。另取半夏对照药材</w:t>
      </w:r>
      <w:r>
        <w:rPr>
          <w:rFonts w:ascii="Times New Roman" w:eastAsia="宋体" w:hAnsi="Times New Roman"/>
          <w:bCs/>
          <w:szCs w:val="21"/>
        </w:rPr>
        <w:t>5g</w:t>
      </w:r>
      <w:r>
        <w:rPr>
          <w:rFonts w:ascii="Times New Roman" w:eastAsia="宋体" w:hAnsi="Times New Roman"/>
          <w:bCs/>
          <w:szCs w:val="21"/>
        </w:rPr>
        <w:t>、干姜对照药材</w:t>
      </w:r>
      <w:r>
        <w:rPr>
          <w:rFonts w:ascii="Times New Roman" w:eastAsia="宋体" w:hAnsi="Times New Roman"/>
          <w:bCs/>
          <w:szCs w:val="21"/>
        </w:rPr>
        <w:t>0.1g</w:t>
      </w:r>
      <w:r>
        <w:rPr>
          <w:rFonts w:ascii="Times New Roman" w:eastAsia="宋体" w:hAnsi="Times New Roman"/>
          <w:bCs/>
          <w:szCs w:val="21"/>
        </w:rPr>
        <w:t>，同法分别制成对照药材溶液。照薄层色谱法（</w:t>
      </w:r>
      <w:r>
        <w:rPr>
          <w:rFonts w:ascii="Times New Roman" w:eastAsia="宋体" w:hAnsi="Times New Roman" w:hint="eastAsia"/>
          <w:bCs/>
          <w:szCs w:val="21"/>
        </w:rPr>
        <w:t>《中国</w:t>
      </w:r>
      <w:r>
        <w:rPr>
          <w:rFonts w:ascii="Times New Roman" w:eastAsia="宋体" w:hAnsi="Times New Roman"/>
          <w:bCs/>
          <w:szCs w:val="21"/>
        </w:rPr>
        <w:t>药典</w:t>
      </w:r>
      <w:r>
        <w:rPr>
          <w:rFonts w:ascii="Times New Roman" w:eastAsia="宋体" w:hAnsi="Times New Roman" w:hint="eastAsia"/>
          <w:bCs/>
          <w:szCs w:val="21"/>
        </w:rPr>
        <w:t>》</w:t>
      </w:r>
      <w:r>
        <w:rPr>
          <w:rFonts w:ascii="Times New Roman" w:eastAsia="宋体" w:hAnsi="Times New Roman" w:hint="eastAsia"/>
          <w:bCs/>
          <w:szCs w:val="21"/>
        </w:rPr>
        <w:t>2020</w:t>
      </w:r>
      <w:r>
        <w:rPr>
          <w:rFonts w:ascii="Times New Roman" w:eastAsia="宋体" w:hAnsi="Times New Roman" w:hint="eastAsia"/>
          <w:bCs/>
          <w:szCs w:val="21"/>
        </w:rPr>
        <w:t>年版</w:t>
      </w:r>
      <w:r>
        <w:rPr>
          <w:rFonts w:ascii="Times New Roman" w:eastAsia="宋体" w:hAnsi="Times New Roman"/>
          <w:bCs/>
          <w:szCs w:val="21"/>
        </w:rPr>
        <w:t>四部通则</w:t>
      </w:r>
      <w:r>
        <w:rPr>
          <w:rFonts w:ascii="Times New Roman" w:eastAsia="宋体" w:hAnsi="Times New Roman"/>
          <w:bCs/>
          <w:szCs w:val="21"/>
        </w:rPr>
        <w:t>0502</w:t>
      </w:r>
      <w:r>
        <w:rPr>
          <w:rFonts w:ascii="Times New Roman" w:eastAsia="宋体" w:hAnsi="Times New Roman"/>
          <w:bCs/>
          <w:szCs w:val="21"/>
        </w:rPr>
        <w:t>）试验，吸取上述三种溶液各</w:t>
      </w:r>
      <w:r>
        <w:rPr>
          <w:rFonts w:ascii="Times New Roman" w:eastAsia="宋体" w:hAnsi="Times New Roman" w:cs="Times New Roman"/>
          <w:bCs/>
          <w:szCs w:val="21"/>
        </w:rPr>
        <w:t>10μl</w:t>
      </w:r>
      <w:r>
        <w:rPr>
          <w:rFonts w:ascii="Times New Roman" w:eastAsia="宋体" w:hAnsi="Times New Roman"/>
          <w:bCs/>
          <w:szCs w:val="21"/>
        </w:rPr>
        <w:t>，分别点于同一硅胶</w:t>
      </w:r>
      <w:r>
        <w:rPr>
          <w:rFonts w:ascii="Times New Roman" w:eastAsia="宋体" w:hAnsi="Times New Roman"/>
          <w:bCs/>
          <w:szCs w:val="21"/>
        </w:rPr>
        <w:t>G</w:t>
      </w:r>
      <w:r>
        <w:rPr>
          <w:rFonts w:ascii="Times New Roman" w:eastAsia="宋体" w:hAnsi="Times New Roman"/>
          <w:bCs/>
          <w:szCs w:val="21"/>
        </w:rPr>
        <w:t>薄层板上，以石油瞇（</w:t>
      </w:r>
      <w:r>
        <w:rPr>
          <w:rFonts w:ascii="Times New Roman" w:eastAsia="宋体" w:hAnsi="Times New Roman" w:cs="Times New Roman"/>
          <w:bCs/>
          <w:szCs w:val="21"/>
        </w:rPr>
        <w:t>60~90</w:t>
      </w:r>
      <w:r>
        <w:rPr>
          <w:rFonts w:ascii="Times New Roman" w:eastAsia="宋体" w:hAnsi="Times New Roman" w:cs="微软雅黑" w:hint="eastAsia"/>
          <w:bCs/>
          <w:szCs w:val="21"/>
        </w:rPr>
        <w:t>℃</w:t>
      </w:r>
      <w:r>
        <w:rPr>
          <w:rFonts w:ascii="Times New Roman" w:eastAsia="宋体" w:hAnsi="Times New Roman"/>
          <w:bCs/>
          <w:szCs w:val="21"/>
        </w:rPr>
        <w:t>）</w:t>
      </w:r>
      <w:r>
        <w:rPr>
          <w:rFonts w:ascii="Times New Roman" w:eastAsia="宋体" w:hAnsi="Times New Roman"/>
          <w:bCs/>
          <w:szCs w:val="21"/>
        </w:rPr>
        <w:t>-</w:t>
      </w:r>
      <w:r>
        <w:rPr>
          <w:rFonts w:ascii="Times New Roman" w:eastAsia="宋体" w:hAnsi="Times New Roman"/>
          <w:bCs/>
          <w:szCs w:val="21"/>
        </w:rPr>
        <w:t>乙酸乙酯</w:t>
      </w:r>
      <w:r>
        <w:rPr>
          <w:rFonts w:ascii="Times New Roman" w:eastAsia="宋体" w:hAnsi="Times New Roman"/>
          <w:bCs/>
          <w:szCs w:val="21"/>
        </w:rPr>
        <w:t>-</w:t>
      </w:r>
      <w:r>
        <w:rPr>
          <w:rFonts w:ascii="Times New Roman" w:eastAsia="宋体" w:hAnsi="Times New Roman"/>
          <w:bCs/>
          <w:szCs w:val="21"/>
        </w:rPr>
        <w:t>冰醋酸（</w:t>
      </w:r>
      <w:r>
        <w:rPr>
          <w:rFonts w:ascii="Times New Roman" w:eastAsia="宋体" w:hAnsi="Times New Roman"/>
          <w:bCs/>
          <w:szCs w:val="21"/>
        </w:rPr>
        <w:t>10:7:0</w:t>
      </w:r>
      <w:r>
        <w:rPr>
          <w:rFonts w:ascii="Times New Roman" w:eastAsia="宋体" w:hAnsi="Times New Roman" w:cs="MS Mincho"/>
          <w:bCs/>
          <w:szCs w:val="21"/>
        </w:rPr>
        <w:t>.</w:t>
      </w:r>
      <w:r>
        <w:rPr>
          <w:rFonts w:ascii="Times New Roman" w:eastAsia="宋体" w:hAnsi="Times New Roman"/>
          <w:bCs/>
          <w:szCs w:val="21"/>
        </w:rPr>
        <w:t>1</w:t>
      </w:r>
      <w:r>
        <w:rPr>
          <w:rFonts w:ascii="Times New Roman" w:eastAsia="宋体" w:hAnsi="Times New Roman"/>
          <w:bCs/>
          <w:szCs w:val="21"/>
        </w:rPr>
        <w:t>）为展开剂，展开，取出，晾干，</w:t>
      </w:r>
      <w:proofErr w:type="gramStart"/>
      <w:r>
        <w:rPr>
          <w:rFonts w:ascii="Times New Roman" w:eastAsia="宋体" w:hAnsi="Times New Roman"/>
          <w:bCs/>
          <w:szCs w:val="21"/>
        </w:rPr>
        <w:t>喷以</w:t>
      </w:r>
      <w:proofErr w:type="gramEnd"/>
      <w:r>
        <w:rPr>
          <w:rFonts w:ascii="Times New Roman" w:eastAsia="宋体" w:hAnsi="Times New Roman"/>
          <w:bCs/>
          <w:szCs w:val="21"/>
        </w:rPr>
        <w:t>10%</w:t>
      </w:r>
      <w:r>
        <w:rPr>
          <w:rFonts w:ascii="Times New Roman" w:eastAsia="宋体" w:hAnsi="Times New Roman"/>
          <w:bCs/>
          <w:szCs w:val="21"/>
        </w:rPr>
        <w:t>硫酸乙醇溶液，在</w:t>
      </w:r>
      <w:r>
        <w:rPr>
          <w:rFonts w:ascii="Times New Roman" w:eastAsia="宋体" w:hAnsi="Times New Roman"/>
          <w:bCs/>
          <w:szCs w:val="21"/>
        </w:rPr>
        <w:t>105</w:t>
      </w:r>
      <w:r>
        <w:rPr>
          <w:rFonts w:ascii="Times New Roman" w:eastAsia="宋体" w:hAnsi="Times New Roman" w:cs="微软雅黑" w:hint="eastAsia"/>
          <w:bCs/>
          <w:szCs w:val="21"/>
        </w:rPr>
        <w:t>℃</w:t>
      </w:r>
      <w:r>
        <w:rPr>
          <w:rFonts w:ascii="Times New Roman" w:eastAsia="宋体" w:hAnsi="Times New Roman"/>
          <w:bCs/>
          <w:szCs w:val="21"/>
        </w:rPr>
        <w:t>加热至斑点显色清晰。供试品色谱中，在与半夏对照药材色谱相应的位置上，</w:t>
      </w:r>
      <w:proofErr w:type="gramStart"/>
      <w:r>
        <w:rPr>
          <w:rFonts w:ascii="Times New Roman" w:eastAsia="宋体" w:hAnsi="Times New Roman"/>
          <w:bCs/>
          <w:szCs w:val="21"/>
        </w:rPr>
        <w:t>显相同</w:t>
      </w:r>
      <w:proofErr w:type="gramEnd"/>
      <w:r>
        <w:rPr>
          <w:rFonts w:ascii="Times New Roman" w:eastAsia="宋体" w:hAnsi="Times New Roman"/>
          <w:bCs/>
          <w:szCs w:val="21"/>
        </w:rPr>
        <w:t>颜色的主斑点；在与干姜对照药材色谱相应的位置上，显一个相同颜色的斑点。</w:t>
      </w:r>
    </w:p>
    <w:p w14:paraId="0CBBDE03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Cs/>
          <w:szCs w:val="21"/>
        </w:rPr>
        <w:t>【</w:t>
      </w:r>
      <w:r>
        <w:rPr>
          <w:rFonts w:ascii="Times New Roman" w:eastAsia="宋体" w:hAnsi="Times New Roman"/>
          <w:b/>
          <w:bCs/>
          <w:szCs w:val="21"/>
        </w:rPr>
        <w:t>检查</w:t>
      </w:r>
      <w:r>
        <w:rPr>
          <w:rFonts w:ascii="Times New Roman" w:eastAsia="宋体" w:hAnsi="Times New Roman"/>
          <w:bCs/>
          <w:szCs w:val="21"/>
        </w:rPr>
        <w:t>】</w:t>
      </w:r>
      <w:r>
        <w:rPr>
          <w:rFonts w:ascii="Times New Roman" w:eastAsia="宋体" w:hAnsi="Times New Roman" w:hint="eastAsia"/>
          <w:bCs/>
          <w:szCs w:val="21"/>
        </w:rPr>
        <w:t xml:space="preserve">  </w:t>
      </w:r>
      <w:r>
        <w:rPr>
          <w:rFonts w:ascii="Times New Roman" w:eastAsia="宋体" w:hAnsi="Times New Roman"/>
          <w:b/>
          <w:bCs/>
          <w:szCs w:val="21"/>
        </w:rPr>
        <w:t>水分</w:t>
      </w:r>
      <w:r>
        <w:rPr>
          <w:rFonts w:ascii="Times New Roman" w:eastAsia="宋体" w:hAnsi="Times New Roman"/>
          <w:bCs/>
          <w:szCs w:val="21"/>
        </w:rPr>
        <w:t xml:space="preserve"> </w:t>
      </w:r>
      <w:r>
        <w:rPr>
          <w:rFonts w:ascii="Times New Roman" w:eastAsia="宋体" w:hAnsi="Times New Roman" w:hint="eastAsia"/>
          <w:bCs/>
          <w:szCs w:val="21"/>
        </w:rPr>
        <w:t xml:space="preserve"> </w:t>
      </w:r>
      <w:r>
        <w:rPr>
          <w:rFonts w:ascii="Times New Roman" w:eastAsia="宋体" w:hAnsi="Times New Roman"/>
          <w:bCs/>
          <w:szCs w:val="21"/>
        </w:rPr>
        <w:t>不得过</w:t>
      </w:r>
      <w:r>
        <w:rPr>
          <w:rFonts w:ascii="Times New Roman" w:eastAsia="宋体" w:hAnsi="Times New Roman"/>
          <w:bCs/>
          <w:szCs w:val="21"/>
        </w:rPr>
        <w:t>13.0%</w:t>
      </w:r>
      <w:r>
        <w:rPr>
          <w:rFonts w:ascii="Times New Roman" w:eastAsia="宋体" w:hAnsi="Times New Roman"/>
          <w:bCs/>
          <w:szCs w:val="21"/>
        </w:rPr>
        <w:t>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bCs/>
          <w:szCs w:val="21"/>
        </w:rPr>
        <w:t>通则</w:t>
      </w:r>
      <w:r>
        <w:rPr>
          <w:rFonts w:ascii="Times New Roman" w:eastAsia="宋体" w:hAnsi="Times New Roman"/>
          <w:bCs/>
          <w:szCs w:val="21"/>
        </w:rPr>
        <w:t>0832</w:t>
      </w:r>
      <w:r>
        <w:rPr>
          <w:rFonts w:ascii="Times New Roman" w:eastAsia="宋体" w:hAnsi="Times New Roman"/>
          <w:bCs/>
          <w:szCs w:val="21"/>
        </w:rPr>
        <w:t>第二法）。</w:t>
      </w:r>
    </w:p>
    <w:p w14:paraId="1E40D975" w14:textId="77777777" w:rsidR="004342CA" w:rsidRDefault="00000000">
      <w:pPr>
        <w:spacing w:line="360" w:lineRule="auto"/>
        <w:ind w:firstLineChars="250" w:firstLine="527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/>
          <w:bCs/>
          <w:szCs w:val="21"/>
        </w:rPr>
        <w:t>总灰分</w:t>
      </w:r>
      <w:r>
        <w:rPr>
          <w:rFonts w:ascii="Times New Roman" w:eastAsia="宋体" w:hAnsi="Times New Roman"/>
          <w:bCs/>
          <w:szCs w:val="21"/>
        </w:rPr>
        <w:t xml:space="preserve"> </w:t>
      </w:r>
      <w:r>
        <w:rPr>
          <w:rFonts w:ascii="Times New Roman" w:eastAsia="宋体" w:hAnsi="Times New Roman" w:hint="eastAsia"/>
          <w:bCs/>
          <w:szCs w:val="21"/>
        </w:rPr>
        <w:t xml:space="preserve"> </w:t>
      </w:r>
      <w:r>
        <w:rPr>
          <w:rFonts w:ascii="Times New Roman" w:eastAsia="宋体" w:hAnsi="Times New Roman"/>
          <w:bCs/>
          <w:szCs w:val="21"/>
        </w:rPr>
        <w:t>不得过</w:t>
      </w:r>
      <w:r>
        <w:rPr>
          <w:rFonts w:ascii="Times New Roman" w:eastAsia="宋体" w:hAnsi="Times New Roman"/>
          <w:bCs/>
          <w:szCs w:val="21"/>
        </w:rPr>
        <w:t>7.5%</w:t>
      </w:r>
      <w:r>
        <w:rPr>
          <w:rFonts w:ascii="Times New Roman" w:eastAsia="宋体" w:hAnsi="Times New Roman"/>
          <w:bCs/>
          <w:szCs w:val="21"/>
        </w:rPr>
        <w:t>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bCs/>
          <w:szCs w:val="21"/>
        </w:rPr>
        <w:t>通则</w:t>
      </w:r>
      <w:r>
        <w:rPr>
          <w:rFonts w:ascii="Times New Roman" w:eastAsia="宋体" w:hAnsi="Times New Roman"/>
          <w:bCs/>
          <w:szCs w:val="21"/>
        </w:rPr>
        <w:t>2302</w:t>
      </w:r>
      <w:r>
        <w:rPr>
          <w:rFonts w:ascii="Times New Roman" w:eastAsia="宋体" w:hAnsi="Times New Roman"/>
          <w:bCs/>
          <w:szCs w:val="21"/>
        </w:rPr>
        <w:t>）。</w:t>
      </w:r>
    </w:p>
    <w:p w14:paraId="38E3121B" w14:textId="77777777" w:rsidR="004342CA" w:rsidRDefault="00000000">
      <w:pPr>
        <w:spacing w:line="360" w:lineRule="auto"/>
        <w:ind w:firstLineChars="250" w:firstLine="527"/>
        <w:rPr>
          <w:rFonts w:ascii="Times New Roman" w:eastAsia="宋体" w:hAnsi="Times New Roman"/>
          <w:bCs/>
          <w:szCs w:val="21"/>
        </w:rPr>
      </w:pPr>
      <w:r>
        <w:rPr>
          <w:rFonts w:ascii="Times New Roman" w:eastAsia="宋体" w:hAnsi="Times New Roman"/>
          <w:b/>
          <w:bCs/>
          <w:szCs w:val="21"/>
        </w:rPr>
        <w:t>白矾限量</w:t>
      </w:r>
      <w:r>
        <w:rPr>
          <w:rFonts w:ascii="Times New Roman" w:eastAsia="宋体" w:hAnsi="Times New Roman" w:cs="Times New Roman"/>
          <w:bCs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bCs/>
          <w:szCs w:val="21"/>
        </w:rPr>
        <w:t xml:space="preserve"> </w:t>
      </w:r>
      <w:r>
        <w:rPr>
          <w:rFonts w:ascii="Times New Roman" w:eastAsia="宋体" w:hAnsi="Times New Roman" w:cs="Times New Roman"/>
          <w:bCs/>
          <w:szCs w:val="21"/>
        </w:rPr>
        <w:t>取本品粉末（过四号筛）约</w:t>
      </w:r>
      <w:r>
        <w:rPr>
          <w:rFonts w:ascii="Times New Roman" w:eastAsia="宋体" w:hAnsi="Times New Roman" w:cs="Times New Roman"/>
          <w:bCs/>
          <w:szCs w:val="21"/>
        </w:rPr>
        <w:t>5g</w:t>
      </w:r>
      <w:r>
        <w:rPr>
          <w:rFonts w:ascii="Times New Roman" w:eastAsia="宋体" w:hAnsi="Times New Roman" w:cs="Times New Roman"/>
          <w:bCs/>
          <w:szCs w:val="21"/>
        </w:rPr>
        <w:t>，精密称定，取本品粉末（过四号筛）约</w:t>
      </w:r>
      <w:r>
        <w:rPr>
          <w:rFonts w:ascii="Times New Roman" w:eastAsia="宋体" w:hAnsi="Times New Roman" w:cs="Times New Roman"/>
          <w:bCs/>
          <w:szCs w:val="21"/>
        </w:rPr>
        <w:t>5g</w:t>
      </w:r>
      <w:r>
        <w:rPr>
          <w:rFonts w:ascii="Times New Roman" w:eastAsia="宋体" w:hAnsi="Times New Roman" w:cs="Times New Roman"/>
          <w:bCs/>
          <w:szCs w:val="21"/>
        </w:rPr>
        <w:t>，精密称定，置坩埚中，缓缓炽热，至完全炭化时，逐渐升高温度至</w:t>
      </w:r>
      <w:r>
        <w:rPr>
          <w:rFonts w:ascii="Times New Roman" w:eastAsia="宋体" w:hAnsi="Times New Roman" w:cs="Times New Roman"/>
          <w:bCs/>
          <w:szCs w:val="21"/>
        </w:rPr>
        <w:t>450</w:t>
      </w:r>
      <w:r>
        <w:rPr>
          <w:rFonts w:ascii="Times New Roman" w:eastAsia="宋体" w:hAnsi="Times New Roman" w:cs="宋体" w:hint="eastAsia"/>
          <w:bCs/>
          <w:szCs w:val="21"/>
        </w:rPr>
        <w:t>℃</w:t>
      </w:r>
      <w:r>
        <w:rPr>
          <w:rFonts w:ascii="Times New Roman" w:eastAsia="宋体" w:hAnsi="Times New Roman" w:cs="Times New Roman"/>
          <w:bCs/>
          <w:szCs w:val="21"/>
        </w:rPr>
        <w:t>，灰化</w:t>
      </w:r>
      <w:r>
        <w:rPr>
          <w:rFonts w:ascii="Times New Roman" w:eastAsia="宋体" w:hAnsi="Times New Roman" w:cs="Times New Roman"/>
          <w:bCs/>
          <w:szCs w:val="21"/>
        </w:rPr>
        <w:t>4</w:t>
      </w:r>
      <w:r>
        <w:rPr>
          <w:rFonts w:ascii="Times New Roman" w:eastAsia="宋体" w:hAnsi="Times New Roman" w:cs="Times New Roman"/>
          <w:bCs/>
          <w:szCs w:val="21"/>
        </w:rPr>
        <w:t>小时，取出，放冷，在坩埚中小心加入稀盐酸约</w:t>
      </w:r>
      <w:r>
        <w:rPr>
          <w:rFonts w:ascii="Times New Roman" w:eastAsia="宋体" w:hAnsi="Times New Roman" w:cs="Times New Roman"/>
          <w:bCs/>
          <w:szCs w:val="21"/>
        </w:rPr>
        <w:t>10ml</w:t>
      </w:r>
      <w:r>
        <w:rPr>
          <w:rFonts w:ascii="Times New Roman" w:eastAsia="宋体" w:hAnsi="Times New Roman" w:cs="Times New Roman"/>
          <w:bCs/>
          <w:szCs w:val="21"/>
        </w:rPr>
        <w:t>，用表面皿覆盖坩埚，置水浴上加热</w:t>
      </w:r>
      <w:r>
        <w:rPr>
          <w:rFonts w:ascii="Times New Roman" w:eastAsia="宋体" w:hAnsi="Times New Roman" w:cs="Times New Roman"/>
          <w:bCs/>
          <w:szCs w:val="21"/>
        </w:rPr>
        <w:t>10</w:t>
      </w:r>
      <w:r>
        <w:rPr>
          <w:rFonts w:ascii="Times New Roman" w:eastAsia="宋体" w:hAnsi="Times New Roman" w:cs="Times New Roman"/>
          <w:bCs/>
          <w:szCs w:val="21"/>
        </w:rPr>
        <w:t>分钟，表面皿用热水</w:t>
      </w:r>
      <w:r>
        <w:rPr>
          <w:rFonts w:ascii="Times New Roman" w:eastAsia="宋体" w:hAnsi="Times New Roman" w:cs="Times New Roman"/>
          <w:bCs/>
          <w:szCs w:val="21"/>
        </w:rPr>
        <w:t>5ml</w:t>
      </w:r>
      <w:r>
        <w:rPr>
          <w:rFonts w:ascii="Times New Roman" w:eastAsia="宋体" w:hAnsi="Times New Roman" w:cs="Times New Roman"/>
          <w:bCs/>
          <w:szCs w:val="21"/>
        </w:rPr>
        <w:t>冲洗，洗液并入坩埚</w:t>
      </w:r>
      <w:r>
        <w:rPr>
          <w:rFonts w:ascii="Times New Roman" w:eastAsia="宋体" w:hAnsi="Times New Roman"/>
          <w:bCs/>
          <w:szCs w:val="21"/>
        </w:rPr>
        <w:t>中，滤过，用水</w:t>
      </w:r>
      <w:r>
        <w:rPr>
          <w:rFonts w:ascii="Times New Roman" w:eastAsia="宋体" w:hAnsi="Times New Roman"/>
          <w:bCs/>
          <w:szCs w:val="21"/>
        </w:rPr>
        <w:t>50ml</w:t>
      </w:r>
      <w:r>
        <w:rPr>
          <w:rFonts w:ascii="Times New Roman" w:eastAsia="宋体" w:hAnsi="Times New Roman"/>
          <w:bCs/>
          <w:szCs w:val="21"/>
        </w:rPr>
        <w:t>分次洗涤坩埚及滤渣，合并滤液及洗液，加</w:t>
      </w:r>
      <w:r>
        <w:rPr>
          <w:rFonts w:ascii="Times New Roman" w:eastAsia="宋体" w:hAnsi="Times New Roman"/>
          <w:bCs/>
          <w:szCs w:val="21"/>
        </w:rPr>
        <w:t>0.025%</w:t>
      </w:r>
      <w:r>
        <w:rPr>
          <w:rFonts w:ascii="Times New Roman" w:eastAsia="宋体" w:hAnsi="Times New Roman"/>
          <w:bCs/>
          <w:szCs w:val="21"/>
        </w:rPr>
        <w:t>甲基红乙醇溶液</w:t>
      </w:r>
      <w:r>
        <w:rPr>
          <w:rFonts w:ascii="Times New Roman" w:eastAsia="宋体" w:hAnsi="Times New Roman"/>
          <w:bCs/>
          <w:szCs w:val="21"/>
        </w:rPr>
        <w:t>1</w:t>
      </w:r>
      <w:r>
        <w:rPr>
          <w:rFonts w:ascii="Times New Roman" w:eastAsia="宋体" w:hAnsi="Times New Roman"/>
          <w:bCs/>
          <w:szCs w:val="21"/>
        </w:rPr>
        <w:t>滴，滴加氨试液至溶液显微黄色。加醋酸</w:t>
      </w:r>
      <w:r>
        <w:rPr>
          <w:rFonts w:ascii="Times New Roman" w:eastAsia="宋体" w:hAnsi="Times New Roman"/>
          <w:bCs/>
          <w:szCs w:val="21"/>
        </w:rPr>
        <w:t>-</w:t>
      </w:r>
      <w:r>
        <w:rPr>
          <w:rFonts w:ascii="Times New Roman" w:eastAsia="宋体" w:hAnsi="Times New Roman"/>
          <w:bCs/>
          <w:szCs w:val="21"/>
        </w:rPr>
        <w:t>醋酸</w:t>
      </w:r>
      <w:proofErr w:type="gramStart"/>
      <w:r>
        <w:rPr>
          <w:rFonts w:ascii="Times New Roman" w:eastAsia="宋体" w:hAnsi="Times New Roman"/>
          <w:bCs/>
          <w:szCs w:val="21"/>
        </w:rPr>
        <w:t>铵</w:t>
      </w:r>
      <w:proofErr w:type="gramEnd"/>
      <w:r>
        <w:rPr>
          <w:rFonts w:ascii="Times New Roman" w:eastAsia="宋体" w:hAnsi="Times New Roman"/>
          <w:bCs/>
          <w:szCs w:val="21"/>
        </w:rPr>
        <w:t>缓冲液</w:t>
      </w:r>
      <w:r>
        <w:rPr>
          <w:rFonts w:ascii="Times New Roman" w:eastAsia="宋体" w:hAnsi="Times New Roman" w:cs="Times New Roman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pH6.0</w:t>
      </w:r>
      <w:r>
        <w:rPr>
          <w:rFonts w:ascii="Times New Roman" w:eastAsia="宋体" w:hAnsi="Times New Roman" w:cs="Times New Roman"/>
          <w:bCs/>
          <w:szCs w:val="21"/>
        </w:rPr>
        <w:t>）</w:t>
      </w:r>
      <w:r>
        <w:rPr>
          <w:rFonts w:ascii="Times New Roman" w:eastAsia="宋体" w:hAnsi="Times New Roman" w:cs="Times New Roman"/>
          <w:bCs/>
          <w:szCs w:val="21"/>
        </w:rPr>
        <w:t>20ml</w:t>
      </w:r>
      <w:r>
        <w:rPr>
          <w:rFonts w:ascii="Times New Roman" w:eastAsia="宋体" w:hAnsi="Times New Roman"/>
          <w:bCs/>
          <w:szCs w:val="21"/>
        </w:rPr>
        <w:t>，精密加乙</w:t>
      </w:r>
      <w:proofErr w:type="gramStart"/>
      <w:r>
        <w:rPr>
          <w:rFonts w:ascii="Times New Roman" w:eastAsia="宋体" w:hAnsi="Times New Roman"/>
          <w:bCs/>
          <w:szCs w:val="21"/>
        </w:rPr>
        <w:t>二胺四醋酸</w:t>
      </w:r>
      <w:proofErr w:type="gramEnd"/>
      <w:r>
        <w:rPr>
          <w:rFonts w:ascii="Times New Roman" w:eastAsia="宋体" w:hAnsi="Times New Roman"/>
          <w:bCs/>
          <w:szCs w:val="21"/>
        </w:rPr>
        <w:t>二钠滴定液（</w:t>
      </w:r>
      <w:r>
        <w:rPr>
          <w:rFonts w:ascii="Times New Roman" w:eastAsia="宋体" w:hAnsi="Times New Roman"/>
          <w:bCs/>
          <w:szCs w:val="21"/>
        </w:rPr>
        <w:t>0.05mol/L</w:t>
      </w:r>
      <w:r>
        <w:rPr>
          <w:rFonts w:ascii="Times New Roman" w:eastAsia="宋体" w:hAnsi="Times New Roman"/>
          <w:bCs/>
          <w:szCs w:val="21"/>
        </w:rPr>
        <w:t>）</w:t>
      </w:r>
      <w:r>
        <w:rPr>
          <w:rFonts w:ascii="Times New Roman" w:eastAsia="宋体" w:hAnsi="Times New Roman"/>
          <w:bCs/>
          <w:szCs w:val="21"/>
        </w:rPr>
        <w:t>25ml</w:t>
      </w:r>
      <w:r>
        <w:rPr>
          <w:rFonts w:ascii="Times New Roman" w:eastAsia="宋体" w:hAnsi="Times New Roman"/>
          <w:bCs/>
          <w:szCs w:val="21"/>
        </w:rPr>
        <w:t>，煮沸</w:t>
      </w:r>
      <w:r>
        <w:rPr>
          <w:rFonts w:ascii="Times New Roman" w:eastAsia="宋体" w:hAnsi="Times New Roman" w:cs="Times New Roman"/>
          <w:bCs/>
          <w:szCs w:val="21"/>
        </w:rPr>
        <w:t>3~5</w:t>
      </w:r>
      <w:r>
        <w:rPr>
          <w:rFonts w:ascii="Times New Roman" w:eastAsia="宋体" w:hAnsi="Times New Roman"/>
          <w:bCs/>
          <w:szCs w:val="21"/>
        </w:rPr>
        <w:t>分钟，放冷，加二甲酚橙指示液</w:t>
      </w:r>
      <w:r>
        <w:rPr>
          <w:rFonts w:ascii="Times New Roman" w:eastAsia="宋体" w:hAnsi="Times New Roman"/>
          <w:bCs/>
          <w:szCs w:val="21"/>
        </w:rPr>
        <w:t>1ml</w:t>
      </w:r>
      <w:r>
        <w:rPr>
          <w:rFonts w:ascii="Times New Roman" w:eastAsia="宋体" w:hAnsi="Times New Roman"/>
          <w:bCs/>
          <w:szCs w:val="21"/>
        </w:rPr>
        <w:t>，用锌滴定液（</w:t>
      </w:r>
      <w:r>
        <w:rPr>
          <w:rFonts w:ascii="Times New Roman" w:eastAsia="宋体" w:hAnsi="Times New Roman"/>
          <w:bCs/>
          <w:szCs w:val="21"/>
        </w:rPr>
        <w:t>0.05mol/L</w:t>
      </w:r>
      <w:r>
        <w:rPr>
          <w:rFonts w:ascii="Times New Roman" w:eastAsia="宋体" w:hAnsi="Times New Roman"/>
          <w:bCs/>
          <w:szCs w:val="21"/>
        </w:rPr>
        <w:t>）滴定至溶液自黄色转变为红色，并将滴定的结果用空白试验校正。每</w:t>
      </w:r>
      <w:r>
        <w:rPr>
          <w:rFonts w:ascii="Times New Roman" w:eastAsia="宋体" w:hAnsi="Times New Roman"/>
          <w:bCs/>
          <w:szCs w:val="21"/>
        </w:rPr>
        <w:t>1ml</w:t>
      </w:r>
      <w:r>
        <w:rPr>
          <w:rFonts w:ascii="Times New Roman" w:eastAsia="宋体" w:hAnsi="Times New Roman"/>
          <w:bCs/>
          <w:szCs w:val="21"/>
        </w:rPr>
        <w:t>的乙</w:t>
      </w:r>
      <w:proofErr w:type="gramStart"/>
      <w:r>
        <w:rPr>
          <w:rFonts w:ascii="Times New Roman" w:eastAsia="宋体" w:hAnsi="Times New Roman"/>
          <w:bCs/>
          <w:szCs w:val="21"/>
        </w:rPr>
        <w:t>二胺四醋酸</w:t>
      </w:r>
      <w:proofErr w:type="gramEnd"/>
      <w:r>
        <w:rPr>
          <w:rFonts w:ascii="Times New Roman" w:eastAsia="宋体" w:hAnsi="Times New Roman"/>
          <w:bCs/>
          <w:szCs w:val="21"/>
        </w:rPr>
        <w:t>二钠滴定液（</w:t>
      </w:r>
      <w:r>
        <w:rPr>
          <w:rFonts w:ascii="Times New Roman" w:eastAsia="宋体" w:hAnsi="Times New Roman"/>
          <w:bCs/>
          <w:szCs w:val="21"/>
        </w:rPr>
        <w:t>0.05mol/L</w:t>
      </w:r>
      <w:r>
        <w:rPr>
          <w:rFonts w:ascii="Times New Roman" w:eastAsia="宋体" w:hAnsi="Times New Roman"/>
          <w:bCs/>
          <w:szCs w:val="21"/>
        </w:rPr>
        <w:t>）相当于</w:t>
      </w:r>
      <w:r>
        <w:rPr>
          <w:rFonts w:ascii="Times New Roman" w:eastAsia="宋体" w:hAnsi="Times New Roman"/>
          <w:bCs/>
          <w:szCs w:val="21"/>
        </w:rPr>
        <w:t>23.72mg</w:t>
      </w:r>
      <w:r>
        <w:rPr>
          <w:rFonts w:ascii="Times New Roman" w:eastAsia="宋体" w:hAnsi="Times New Roman"/>
          <w:bCs/>
          <w:szCs w:val="21"/>
        </w:rPr>
        <w:lastRenderedPageBreak/>
        <w:t>的含水硫酸铝钾〔</w:t>
      </w:r>
      <w:proofErr w:type="spellStart"/>
      <w:r>
        <w:rPr>
          <w:rFonts w:ascii="Times New Roman" w:eastAsia="宋体" w:hAnsi="Times New Roman"/>
          <w:bCs/>
          <w:szCs w:val="21"/>
        </w:rPr>
        <w:t>KA</w:t>
      </w:r>
      <w:r>
        <w:rPr>
          <w:rFonts w:ascii="Times New Roman" w:eastAsia="宋体" w:hAnsi="Times New Roman" w:hint="eastAsia"/>
          <w:bCs/>
          <w:szCs w:val="21"/>
        </w:rPr>
        <w:t>l</w:t>
      </w:r>
      <w:proofErr w:type="spellEnd"/>
      <w:r>
        <w:rPr>
          <w:rFonts w:ascii="Times New Roman" w:eastAsia="宋体" w:hAnsi="Times New Roman"/>
          <w:bCs/>
          <w:szCs w:val="21"/>
        </w:rPr>
        <w:t>（</w:t>
      </w:r>
      <w:r>
        <w:rPr>
          <w:rFonts w:ascii="Times New Roman" w:eastAsia="宋体" w:hAnsi="Times New Roman"/>
          <w:bCs/>
          <w:szCs w:val="21"/>
        </w:rPr>
        <w:t>SO</w:t>
      </w:r>
      <w:r>
        <w:rPr>
          <w:rFonts w:ascii="Times New Roman" w:eastAsia="宋体" w:hAnsi="Times New Roman"/>
          <w:bCs/>
          <w:szCs w:val="21"/>
          <w:vertAlign w:val="subscript"/>
        </w:rPr>
        <w:t>4</w:t>
      </w:r>
      <w:r>
        <w:rPr>
          <w:rFonts w:ascii="Times New Roman" w:eastAsia="宋体" w:hAnsi="Times New Roman"/>
          <w:bCs/>
          <w:szCs w:val="21"/>
        </w:rPr>
        <w:t>）</w:t>
      </w:r>
      <w:r>
        <w:rPr>
          <w:rFonts w:ascii="Times New Roman" w:eastAsia="宋体" w:hAnsi="Times New Roman"/>
          <w:bCs/>
          <w:szCs w:val="21"/>
          <w:vertAlign w:val="subscript"/>
        </w:rPr>
        <w:t>2</w:t>
      </w:r>
      <w:r>
        <w:rPr>
          <w:rFonts w:ascii="Times New Roman" w:eastAsia="宋体" w:hAnsi="Times New Roman"/>
          <w:bCs/>
          <w:szCs w:val="21"/>
        </w:rPr>
        <w:t>•12H</w:t>
      </w:r>
      <w:r>
        <w:rPr>
          <w:rFonts w:ascii="Times New Roman" w:eastAsia="宋体" w:hAnsi="Times New Roman"/>
          <w:bCs/>
          <w:szCs w:val="21"/>
          <w:vertAlign w:val="subscript"/>
        </w:rPr>
        <w:t>2</w:t>
      </w:r>
      <w:r>
        <w:rPr>
          <w:rFonts w:ascii="Times New Roman" w:eastAsia="宋体" w:hAnsi="Times New Roman"/>
          <w:bCs/>
          <w:szCs w:val="21"/>
        </w:rPr>
        <w:t>O</w:t>
      </w:r>
      <w:r>
        <w:rPr>
          <w:rFonts w:ascii="Times New Roman" w:eastAsia="宋体" w:hAnsi="Times New Roman"/>
          <w:bCs/>
          <w:szCs w:val="21"/>
        </w:rPr>
        <w:t>〕</w:t>
      </w:r>
      <w:r>
        <w:rPr>
          <w:rFonts w:ascii="Times New Roman" w:eastAsia="宋体" w:hAnsi="Times New Roman"/>
          <w:szCs w:val="21"/>
        </w:rPr>
        <w:t>。</w:t>
      </w:r>
    </w:p>
    <w:p w14:paraId="7A3A5CEA" w14:textId="77777777" w:rsidR="004342CA" w:rsidRDefault="00000000">
      <w:pPr>
        <w:spacing w:line="360" w:lineRule="auto"/>
        <w:ind w:firstLine="431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本品按干燥品计算，含白矾以含水硫酸铝钾〔</w:t>
      </w:r>
      <w:proofErr w:type="spellStart"/>
      <w:r>
        <w:rPr>
          <w:rFonts w:ascii="Times New Roman" w:eastAsia="宋体" w:hAnsi="Times New Roman" w:cs="Times New Roman"/>
          <w:bCs/>
          <w:szCs w:val="21"/>
        </w:rPr>
        <w:t>KA</w:t>
      </w:r>
      <w:r>
        <w:rPr>
          <w:rFonts w:ascii="Times New Roman" w:eastAsia="宋体" w:hAnsi="Times New Roman" w:cs="Times New Roman" w:hint="eastAsia"/>
          <w:bCs/>
          <w:szCs w:val="21"/>
        </w:rPr>
        <w:t>l</w:t>
      </w:r>
      <w:proofErr w:type="spellEnd"/>
      <w:r>
        <w:rPr>
          <w:rFonts w:ascii="Times New Roman" w:eastAsia="宋体" w:hAnsi="Times New Roman"/>
          <w:bCs/>
          <w:szCs w:val="21"/>
        </w:rPr>
        <w:t>（</w:t>
      </w:r>
      <w:r>
        <w:rPr>
          <w:rFonts w:ascii="Times New Roman" w:eastAsia="宋体" w:hAnsi="Times New Roman"/>
          <w:bCs/>
          <w:szCs w:val="21"/>
        </w:rPr>
        <w:t>SO</w:t>
      </w:r>
      <w:r>
        <w:rPr>
          <w:rFonts w:ascii="Times New Roman" w:eastAsia="宋体" w:hAnsi="Times New Roman"/>
          <w:bCs/>
          <w:szCs w:val="21"/>
          <w:vertAlign w:val="subscript"/>
        </w:rPr>
        <w:t>4</w:t>
      </w:r>
      <w:r>
        <w:rPr>
          <w:rFonts w:ascii="Times New Roman" w:eastAsia="宋体" w:hAnsi="Times New Roman"/>
          <w:bCs/>
          <w:szCs w:val="21"/>
        </w:rPr>
        <w:t>）</w:t>
      </w:r>
      <w:r>
        <w:rPr>
          <w:rFonts w:ascii="Times New Roman" w:eastAsia="宋体" w:hAnsi="Times New Roman"/>
          <w:bCs/>
          <w:szCs w:val="21"/>
          <w:vertAlign w:val="subscript"/>
        </w:rPr>
        <w:t>2</w:t>
      </w:r>
      <w:r>
        <w:rPr>
          <w:rFonts w:ascii="Times New Roman" w:eastAsia="宋体" w:hAnsi="Times New Roman"/>
          <w:bCs/>
          <w:szCs w:val="21"/>
        </w:rPr>
        <w:t>•12H</w:t>
      </w:r>
      <w:r>
        <w:rPr>
          <w:rFonts w:ascii="Times New Roman" w:eastAsia="宋体" w:hAnsi="Times New Roman"/>
          <w:bCs/>
          <w:szCs w:val="21"/>
          <w:vertAlign w:val="subscript"/>
        </w:rPr>
        <w:t>2</w:t>
      </w:r>
      <w:r>
        <w:rPr>
          <w:rFonts w:ascii="Times New Roman" w:eastAsia="宋体" w:hAnsi="Times New Roman"/>
          <w:bCs/>
          <w:szCs w:val="21"/>
        </w:rPr>
        <w:t>O</w:t>
      </w:r>
      <w:r>
        <w:rPr>
          <w:rFonts w:ascii="Times New Roman" w:eastAsia="宋体" w:hAnsi="Times New Roman"/>
          <w:szCs w:val="21"/>
        </w:rPr>
        <w:t>〕〕计，不得过</w:t>
      </w:r>
      <w:r>
        <w:rPr>
          <w:rFonts w:ascii="Times New Roman" w:eastAsia="宋体" w:hAnsi="Times New Roman"/>
          <w:szCs w:val="21"/>
        </w:rPr>
        <w:t>8.5%</w:t>
      </w:r>
      <w:r>
        <w:rPr>
          <w:rFonts w:ascii="Times New Roman" w:eastAsia="宋体" w:hAnsi="Times New Roman"/>
          <w:szCs w:val="21"/>
        </w:rPr>
        <w:t>。</w:t>
      </w:r>
    </w:p>
    <w:p w14:paraId="2C0B654F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浸出物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照水溶性浸出物测定法（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szCs w:val="21"/>
        </w:rPr>
        <w:t>通则</w:t>
      </w:r>
      <w:r>
        <w:rPr>
          <w:rFonts w:ascii="Times New Roman" w:eastAsia="宋体" w:hAnsi="Times New Roman"/>
          <w:szCs w:val="21"/>
        </w:rPr>
        <w:t>2201</w:t>
      </w:r>
      <w:r>
        <w:rPr>
          <w:rFonts w:ascii="Times New Roman" w:eastAsia="宋体" w:hAnsi="Times New Roman"/>
          <w:szCs w:val="21"/>
        </w:rPr>
        <w:t>）项下的冷浸法测定，不得少于</w:t>
      </w:r>
      <w:r>
        <w:rPr>
          <w:rFonts w:ascii="Times New Roman" w:eastAsia="宋体" w:hAnsi="Times New Roman"/>
          <w:szCs w:val="21"/>
        </w:rPr>
        <w:t>10.0%</w:t>
      </w:r>
      <w:r>
        <w:rPr>
          <w:rFonts w:ascii="Times New Roman" w:eastAsia="宋体" w:hAnsi="Times New Roman"/>
          <w:szCs w:val="21"/>
        </w:rPr>
        <w:t>。</w:t>
      </w:r>
    </w:p>
    <w:p w14:paraId="4C3A5B8B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性味与归经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辛，温。归脾、胃、肺经。</w:t>
      </w:r>
    </w:p>
    <w:p w14:paraId="75D6C726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功能与主治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温中化痰，降逆止呕。用于痰饮呕吐，胃脘</w:t>
      </w:r>
      <w:proofErr w:type="gramStart"/>
      <w:r>
        <w:rPr>
          <w:rFonts w:ascii="Times New Roman" w:eastAsia="宋体" w:hAnsi="Times New Roman"/>
          <w:szCs w:val="21"/>
        </w:rPr>
        <w:t>痞</w:t>
      </w:r>
      <w:proofErr w:type="gramEnd"/>
      <w:r>
        <w:rPr>
          <w:rFonts w:ascii="Times New Roman" w:eastAsia="宋体" w:hAnsi="Times New Roman"/>
          <w:szCs w:val="21"/>
        </w:rPr>
        <w:t>满。</w:t>
      </w:r>
    </w:p>
    <w:p w14:paraId="4BA2ECF9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用法与用量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3~9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/>
          <w:szCs w:val="21"/>
        </w:rPr>
        <w:t>。</w:t>
      </w:r>
    </w:p>
    <w:p w14:paraId="4469E326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注意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不宜与川乌、制川乌、草乌、制草乌、附子同用。</w:t>
      </w:r>
    </w:p>
    <w:p w14:paraId="2D3C08B7" w14:textId="77777777" w:rsidR="004342CA" w:rsidRDefault="00000000">
      <w:pPr>
        <w:spacing w:line="360" w:lineRule="auto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贮藏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置通风干燥处，防蛀。</w:t>
      </w:r>
    </w:p>
    <w:p w14:paraId="73271B23" w14:textId="77777777" w:rsidR="004342CA" w:rsidRDefault="00000000">
      <w:pPr>
        <w:widowControl/>
        <w:spacing w:line="360" w:lineRule="auto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br w:type="page"/>
      </w:r>
    </w:p>
    <w:p w14:paraId="3E48F292" w14:textId="77777777" w:rsidR="004342CA" w:rsidRDefault="00000000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>
        <w:rPr>
          <w:rFonts w:ascii="黑体" w:eastAsia="黑体" w:hAnsi="黑体" w:cs="Times New Roman" w:hint="eastAsia"/>
          <w:color w:val="000000"/>
          <w:sz w:val="28"/>
          <w:szCs w:val="28"/>
        </w:rPr>
        <w:lastRenderedPageBreak/>
        <w:t>姜半夏质量标准起草说明</w:t>
      </w:r>
    </w:p>
    <w:p w14:paraId="0F8E9166" w14:textId="77777777" w:rsidR="004342CA" w:rsidRDefault="00000000">
      <w:pPr>
        <w:spacing w:line="440" w:lineRule="exact"/>
        <w:ind w:firstLineChars="150" w:firstLine="315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bCs/>
          <w:szCs w:val="21"/>
        </w:rPr>
        <w:t>别名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>地文、守田、羊眼半夏、蝎子草、麻芋果、三步跳、和姑</w:t>
      </w:r>
    </w:p>
    <w:p w14:paraId="6B6CBF08" w14:textId="77777777" w:rsidR="004342CA" w:rsidRDefault="00000000">
      <w:pPr>
        <w:spacing w:line="440" w:lineRule="exact"/>
        <w:ind w:firstLineChars="150" w:firstLine="316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b/>
          <w:bCs/>
          <w:szCs w:val="21"/>
        </w:rPr>
        <w:t>【收载理由】</w:t>
      </w:r>
      <w:r>
        <w:rPr>
          <w:rFonts w:ascii="Times New Roman" w:eastAsia="宋体" w:hAnsi="Times New Roman" w:hint="eastAsia"/>
          <w:bCs/>
          <w:szCs w:val="21"/>
        </w:rPr>
        <w:t>半夏使用</w:t>
      </w:r>
      <w:r>
        <w:rPr>
          <w:rFonts w:ascii="Times New Roman" w:eastAsia="宋体" w:hAnsi="Times New Roman"/>
          <w:bCs/>
          <w:szCs w:val="21"/>
        </w:rPr>
        <w:t>生</w:t>
      </w:r>
      <w:r>
        <w:rPr>
          <w:rFonts w:ascii="Times New Roman" w:eastAsia="宋体" w:hAnsi="Times New Roman" w:hint="eastAsia"/>
          <w:bCs/>
          <w:szCs w:val="21"/>
        </w:rPr>
        <w:t>姜炮制</w:t>
      </w:r>
      <w:r>
        <w:rPr>
          <w:rFonts w:ascii="Times New Roman" w:eastAsia="宋体" w:hAnsi="Times New Roman"/>
          <w:bCs/>
          <w:szCs w:val="21"/>
        </w:rPr>
        <w:t>，</w:t>
      </w:r>
      <w:r>
        <w:rPr>
          <w:rFonts w:ascii="Times New Roman" w:eastAsia="宋体" w:hAnsi="Times New Roman" w:hint="eastAsia"/>
          <w:bCs/>
          <w:szCs w:val="21"/>
        </w:rPr>
        <w:t>在历代中药名著中均有收载：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 w:cstheme="minorEastAsia" w:hint="eastAsia"/>
          <w:szCs w:val="21"/>
        </w:rPr>
        <w:t>《本草经集注》：“有毒，用之必须生姜，此是取其所畏，以相制耳。”</w:t>
      </w:r>
      <w:r>
        <w:rPr>
          <w:rFonts w:ascii="Times New Roman" w:eastAsia="宋体" w:hAnsi="Times New Roman" w:cstheme="minorEastAsia" w:hint="eastAsia"/>
          <w:szCs w:val="21"/>
        </w:rPr>
        <w:t>2</w:t>
      </w:r>
      <w:r>
        <w:rPr>
          <w:rFonts w:ascii="Times New Roman" w:eastAsia="宋体" w:hAnsi="Times New Roman" w:cstheme="minorEastAsia" w:hint="eastAsia"/>
          <w:szCs w:val="21"/>
        </w:rPr>
        <w:t>、《本草纲目》：“治湿痰以姜汁、白矾汤合之。”</w:t>
      </w:r>
      <w:r>
        <w:rPr>
          <w:rFonts w:ascii="Times New Roman" w:eastAsia="宋体" w:hAnsi="Times New Roman" w:hint="eastAsia"/>
          <w:szCs w:val="21"/>
        </w:rPr>
        <w:t>姜半夏来源于</w:t>
      </w:r>
      <w:r>
        <w:rPr>
          <w:rFonts w:ascii="Times New Roman" w:eastAsia="宋体" w:hAnsi="Times New Roman"/>
          <w:bCs/>
          <w:szCs w:val="21"/>
        </w:rPr>
        <w:t>半夏的炮制加工品。</w:t>
      </w:r>
      <w:r>
        <w:rPr>
          <w:rFonts w:ascii="Times New Roman" w:eastAsia="宋体" w:hAnsi="Times New Roman"/>
          <w:szCs w:val="21"/>
        </w:rPr>
        <w:t>我国南北各地均有，主产于四川、湖北、江苏、安徽等地。夏、秋二季茎叶茂盛时采挖，除去外皮及须根。晒干，为生半夏；一般用姜汁、明矾制过入煎剂。</w:t>
      </w:r>
      <w:r>
        <w:rPr>
          <w:rFonts w:ascii="Times New Roman" w:eastAsia="宋体" w:hAnsi="Times New Roman" w:hint="eastAsia"/>
          <w:szCs w:val="21"/>
        </w:rPr>
        <w:t>检索各省中药饮片炮制规范（表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），姜半夏主要炮制方法</w:t>
      </w:r>
      <w:r>
        <w:rPr>
          <w:rFonts w:ascii="Times New Roman" w:eastAsia="宋体" w:hAnsi="Times New Roman"/>
          <w:szCs w:val="21"/>
        </w:rPr>
        <w:t>包括</w:t>
      </w:r>
      <w:r>
        <w:rPr>
          <w:rFonts w:ascii="Times New Roman" w:eastAsia="宋体" w:hAnsi="Times New Roman" w:hint="eastAsia"/>
          <w:szCs w:val="21"/>
        </w:rPr>
        <w:t>个</w:t>
      </w:r>
      <w:r>
        <w:rPr>
          <w:rFonts w:ascii="Times New Roman" w:eastAsia="宋体" w:hAnsi="Times New Roman"/>
          <w:szCs w:val="21"/>
        </w:rPr>
        <w:t>、切</w:t>
      </w:r>
      <w:r>
        <w:rPr>
          <w:rFonts w:ascii="Times New Roman" w:eastAsia="宋体" w:hAnsi="Times New Roman" w:hint="eastAsia"/>
          <w:szCs w:val="21"/>
        </w:rPr>
        <w:t>薄片</w:t>
      </w:r>
      <w:r>
        <w:rPr>
          <w:rFonts w:ascii="Times New Roman" w:eastAsia="宋体" w:hAnsi="Times New Roman"/>
          <w:szCs w:val="21"/>
        </w:rPr>
        <w:t>或</w:t>
      </w:r>
      <w:r>
        <w:rPr>
          <w:rFonts w:ascii="Times New Roman" w:eastAsia="宋体" w:hAnsi="Times New Roman" w:hint="eastAsia"/>
          <w:szCs w:val="21"/>
        </w:rPr>
        <w:t>厚片</w:t>
      </w:r>
      <w:r>
        <w:rPr>
          <w:rFonts w:ascii="Times New Roman" w:eastAsia="宋体" w:hAnsi="Times New Roman"/>
          <w:szCs w:val="21"/>
        </w:rPr>
        <w:t>。</w:t>
      </w:r>
      <w:r>
        <w:rPr>
          <w:rFonts w:ascii="Times New Roman" w:eastAsia="宋体" w:hAnsi="Times New Roman" w:hint="eastAsia"/>
          <w:szCs w:val="21"/>
        </w:rPr>
        <w:t>《中国药典》</w:t>
      </w:r>
      <w:r>
        <w:rPr>
          <w:rFonts w:ascii="Times New Roman" w:eastAsia="宋体" w:hAnsi="Times New Roman" w:hint="eastAsia"/>
          <w:szCs w:val="21"/>
        </w:rPr>
        <w:t>2015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版一部姜半夏饮片【炮制】项下收载炮制方法为个</w:t>
      </w:r>
      <w:r>
        <w:rPr>
          <w:rFonts w:ascii="Times New Roman" w:eastAsia="宋体" w:hAnsi="Times New Roman"/>
          <w:szCs w:val="21"/>
        </w:rPr>
        <w:t>和切</w:t>
      </w:r>
      <w:r>
        <w:rPr>
          <w:rFonts w:ascii="Times New Roman" w:eastAsia="宋体" w:hAnsi="Times New Roman" w:hint="eastAsia"/>
          <w:szCs w:val="21"/>
        </w:rPr>
        <w:t>薄片</w:t>
      </w:r>
      <w:r>
        <w:rPr>
          <w:rFonts w:ascii="Times New Roman" w:eastAsia="宋体" w:hAnsi="Times New Roman"/>
          <w:szCs w:val="21"/>
        </w:rPr>
        <w:t>。根据药材质地，一般质地致密、坚实者，</w:t>
      </w:r>
      <w:proofErr w:type="gramStart"/>
      <w:r>
        <w:rPr>
          <w:rFonts w:ascii="Times New Roman" w:eastAsia="宋体" w:hAnsi="Times New Roman"/>
          <w:szCs w:val="21"/>
        </w:rPr>
        <w:t>宜切薄片</w:t>
      </w:r>
      <w:proofErr w:type="gramEnd"/>
      <w:r>
        <w:rPr>
          <w:rFonts w:ascii="Times New Roman" w:eastAsia="宋体" w:hAnsi="Times New Roman"/>
          <w:szCs w:val="21"/>
        </w:rPr>
        <w:t>；质地松泡、粉性</w:t>
      </w:r>
      <w:proofErr w:type="gramStart"/>
      <w:r>
        <w:rPr>
          <w:rFonts w:ascii="Times New Roman" w:eastAsia="宋体" w:hAnsi="Times New Roman"/>
          <w:szCs w:val="21"/>
        </w:rPr>
        <w:t>大者宜切厚片</w:t>
      </w:r>
      <w:proofErr w:type="gramEnd"/>
      <w:r>
        <w:rPr>
          <w:rFonts w:ascii="Times New Roman" w:eastAsia="宋体" w:hAnsi="Times New Roman"/>
          <w:szCs w:val="21"/>
        </w:rPr>
        <w:t>。半夏虽然质地坚实，但在与姜汁、白矾共煮制后，其变松软，且粉性较大，切制薄片后，在干燥过程易碎裂。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/>
          <w:szCs w:val="21"/>
        </w:rPr>
        <w:t>年</w:t>
      </w:r>
      <w:proofErr w:type="gramStart"/>
      <w:r>
        <w:rPr>
          <w:rFonts w:ascii="Times New Roman" w:eastAsia="宋体" w:hAnsi="Times New Roman"/>
          <w:szCs w:val="21"/>
        </w:rPr>
        <w:t>版中国药典中姜</w:t>
      </w:r>
      <w:proofErr w:type="gramEnd"/>
      <w:r>
        <w:rPr>
          <w:rFonts w:ascii="Times New Roman" w:eastAsia="宋体" w:hAnsi="Times New Roman"/>
          <w:szCs w:val="21"/>
        </w:rPr>
        <w:t>半夏性状描述中可看出，姜</w:t>
      </w:r>
      <w:r>
        <w:rPr>
          <w:rFonts w:ascii="Times New Roman" w:eastAsia="宋体" w:hAnsi="Times New Roman" w:hint="eastAsia"/>
          <w:szCs w:val="21"/>
        </w:rPr>
        <w:t>半夏“</w:t>
      </w:r>
      <w:r>
        <w:rPr>
          <w:rFonts w:ascii="Times New Roman" w:eastAsia="宋体" w:hAnsi="Times New Roman" w:hint="eastAsia"/>
          <w:bCs/>
          <w:szCs w:val="21"/>
        </w:rPr>
        <w:t>呈片状、不规则颗粒状</w:t>
      </w:r>
      <w:r>
        <w:rPr>
          <w:rFonts w:ascii="Times New Roman" w:eastAsia="宋体" w:hAnsi="Times New Roman" w:hint="eastAsia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“</w:t>
      </w:r>
      <w:r>
        <w:rPr>
          <w:rFonts w:ascii="Times New Roman" w:eastAsia="宋体" w:hAnsi="Times New Roman" w:hint="eastAsia"/>
          <w:bCs/>
          <w:szCs w:val="21"/>
        </w:rPr>
        <w:t>质硬脆</w:t>
      </w:r>
      <w:r>
        <w:rPr>
          <w:rFonts w:ascii="Times New Roman" w:eastAsia="宋体" w:hAnsi="Times New Roman" w:hint="eastAsia"/>
          <w:szCs w:val="21"/>
        </w:rPr>
        <w:t>”均可</w:t>
      </w:r>
      <w:r>
        <w:rPr>
          <w:rFonts w:ascii="Times New Roman" w:eastAsia="宋体" w:hAnsi="Times New Roman"/>
          <w:szCs w:val="21"/>
        </w:rPr>
        <w:t>看出其易碎，而切制厚片则可更好保持饮片片型。</w:t>
      </w:r>
      <w:r>
        <w:rPr>
          <w:rFonts w:ascii="Times New Roman" w:eastAsia="宋体" w:hAnsi="Times New Roman" w:hint="eastAsia"/>
          <w:szCs w:val="21"/>
        </w:rPr>
        <w:t>经对山西省中药饮片生产企业、经营企业调研（表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），均有厚片饮片规格生产及市场需求。故将姜半夏厚片作为姜半夏的饮片规格收入《山西中药炮制规范》中。</w:t>
      </w:r>
    </w:p>
    <w:p w14:paraId="45E992F6" w14:textId="77777777" w:rsidR="004342CA" w:rsidRDefault="004342CA">
      <w:pPr>
        <w:spacing w:line="440" w:lineRule="exact"/>
        <w:ind w:firstLineChars="150" w:firstLine="315"/>
        <w:rPr>
          <w:rFonts w:ascii="Times New Roman" w:eastAsia="宋体" w:hAnsi="Times New Roman"/>
          <w:szCs w:val="21"/>
        </w:rPr>
      </w:pPr>
    </w:p>
    <w:tbl>
      <w:tblPr>
        <w:tblStyle w:val="a7"/>
        <w:tblW w:w="937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6340"/>
        <w:gridCol w:w="2081"/>
      </w:tblGrid>
      <w:tr w:rsidR="004342CA" w14:paraId="21679553" w14:textId="77777777">
        <w:trPr>
          <w:trHeight w:val="232"/>
          <w:jc w:val="center"/>
        </w:trPr>
        <w:tc>
          <w:tcPr>
            <w:tcW w:w="93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B7C75A" w14:textId="77777777" w:rsidR="004342CA" w:rsidRDefault="00000000">
            <w:pPr>
              <w:spacing w:line="360" w:lineRule="auto"/>
              <w:ind w:firstLineChars="150" w:firstLine="315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表</w:t>
            </w:r>
            <w:r>
              <w:rPr>
                <w:rFonts w:ascii="Times New Roman" w:eastAsia="宋体" w:hAnsi="Times New Roman" w:hint="eastAsia"/>
                <w:szCs w:val="21"/>
              </w:rPr>
              <w:t xml:space="preserve">1   </w:t>
            </w:r>
            <w:r>
              <w:rPr>
                <w:rFonts w:ascii="Times New Roman" w:eastAsia="宋体" w:hAnsi="Times New Roman" w:hint="eastAsia"/>
                <w:szCs w:val="21"/>
              </w:rPr>
              <w:t>各省中药饮片炮制方法</w:t>
            </w:r>
          </w:p>
        </w:tc>
      </w:tr>
      <w:tr w:rsidR="004342CA" w14:paraId="2D242D67" w14:textId="77777777">
        <w:trPr>
          <w:trHeight w:val="232"/>
          <w:jc w:val="center"/>
        </w:trPr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84B86" w14:textId="77777777" w:rsidR="004342CA" w:rsidRDefault="00000000">
            <w:pPr>
              <w:spacing w:line="360" w:lineRule="auto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序号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61A44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执行标准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A5A39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炮制方法</w:t>
            </w:r>
          </w:p>
        </w:tc>
      </w:tr>
      <w:tr w:rsidR="004342CA" w14:paraId="1CFDA28A" w14:textId="77777777">
        <w:trPr>
          <w:trHeight w:val="232"/>
          <w:jc w:val="center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E8316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7C572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湖南中药饮片炮制规范</w:t>
            </w:r>
            <w:r>
              <w:rPr>
                <w:rFonts w:ascii="Times New Roman" w:eastAsia="宋体" w:hAnsi="Times New Roman" w:hint="eastAsia"/>
                <w:szCs w:val="21"/>
              </w:rPr>
              <w:t>2010</w:t>
            </w:r>
            <w:r>
              <w:rPr>
                <w:rFonts w:ascii="Times New Roman" w:eastAsia="宋体" w:hAnsi="Times New Roman" w:hint="eastAsia"/>
                <w:szCs w:val="21"/>
              </w:rPr>
              <w:t>年版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7CCE9A2D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bCs/>
                <w:szCs w:val="21"/>
              </w:rPr>
              <w:t>厚片</w:t>
            </w:r>
          </w:p>
        </w:tc>
      </w:tr>
      <w:tr w:rsidR="004342CA" w14:paraId="161CDAD0" w14:textId="77777777">
        <w:trPr>
          <w:trHeight w:val="474"/>
          <w:jc w:val="center"/>
        </w:trPr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15B14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FEB07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浙江省中药炮制规范</w:t>
            </w:r>
            <w:r>
              <w:rPr>
                <w:rFonts w:ascii="Times New Roman" w:eastAsia="宋体" w:hAnsi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/>
                <w:szCs w:val="21"/>
              </w:rPr>
              <w:t>015</w:t>
            </w:r>
            <w:r>
              <w:rPr>
                <w:rFonts w:ascii="Times New Roman" w:eastAsia="宋体" w:hAnsi="Times New Roman" w:hint="eastAsia"/>
                <w:szCs w:val="21"/>
              </w:rPr>
              <w:t>年版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84070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bCs/>
                <w:szCs w:val="21"/>
              </w:rPr>
              <w:t>厚片</w:t>
            </w:r>
          </w:p>
        </w:tc>
      </w:tr>
    </w:tbl>
    <w:p w14:paraId="6C031408" w14:textId="77777777" w:rsidR="004342CA" w:rsidRDefault="004342CA">
      <w:pPr>
        <w:spacing w:line="360" w:lineRule="auto"/>
        <w:ind w:firstLineChars="150" w:firstLine="315"/>
        <w:rPr>
          <w:rFonts w:ascii="Times New Roman" w:eastAsia="宋体" w:hAnsi="Times New Roman"/>
          <w:szCs w:val="21"/>
        </w:rPr>
      </w:pPr>
    </w:p>
    <w:tbl>
      <w:tblPr>
        <w:tblW w:w="5900" w:type="dxa"/>
        <w:jc w:val="center"/>
        <w:tblBorders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0"/>
        <w:gridCol w:w="1570"/>
      </w:tblGrid>
      <w:tr w:rsidR="004342CA" w14:paraId="0B47DB81" w14:textId="77777777">
        <w:trPr>
          <w:trHeight w:val="321"/>
          <w:jc w:val="center"/>
        </w:trPr>
        <w:tc>
          <w:tcPr>
            <w:tcW w:w="590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47922" w14:textId="77777777" w:rsidR="004342CA" w:rsidRDefault="00000000">
            <w:pPr>
              <w:spacing w:line="360" w:lineRule="auto"/>
              <w:ind w:firstLineChars="150" w:firstLine="315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表</w:t>
            </w:r>
            <w:r>
              <w:rPr>
                <w:rFonts w:ascii="Times New Roman" w:eastAsia="宋体" w:hAnsi="Times New Roman" w:hint="eastAsia"/>
                <w:szCs w:val="21"/>
              </w:rPr>
              <w:t xml:space="preserve">2   </w:t>
            </w:r>
            <w:r>
              <w:rPr>
                <w:rFonts w:ascii="Times New Roman" w:eastAsia="宋体" w:hAnsi="Times New Roman" w:hint="eastAsia"/>
                <w:szCs w:val="21"/>
              </w:rPr>
              <w:t>企业调研情况表</w:t>
            </w:r>
          </w:p>
        </w:tc>
      </w:tr>
      <w:tr w:rsidR="004342CA" w14:paraId="121527EE" w14:textId="77777777">
        <w:trPr>
          <w:trHeight w:val="332"/>
          <w:jc w:val="center"/>
        </w:trPr>
        <w:tc>
          <w:tcPr>
            <w:tcW w:w="43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BCA8A5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企业名称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EB868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饮片规格</w:t>
            </w:r>
          </w:p>
        </w:tc>
      </w:tr>
      <w:tr w:rsidR="004342CA" w14:paraId="598053EF" w14:textId="77777777">
        <w:trPr>
          <w:trHeight w:val="332"/>
          <w:jc w:val="center"/>
        </w:trPr>
        <w:tc>
          <w:tcPr>
            <w:tcW w:w="4330" w:type="dxa"/>
            <w:tcBorders>
              <w:bottom w:val="nil"/>
            </w:tcBorders>
            <w:shd w:val="clear" w:color="auto" w:fill="auto"/>
            <w:vAlign w:val="center"/>
          </w:tcPr>
          <w:p w14:paraId="50A98723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山西维康堂中药饮片有限公司</w:t>
            </w:r>
          </w:p>
        </w:tc>
        <w:tc>
          <w:tcPr>
            <w:tcW w:w="15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2B233F7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薄片</w:t>
            </w:r>
          </w:p>
        </w:tc>
      </w:tr>
      <w:tr w:rsidR="004342CA" w14:paraId="4469B570" w14:textId="77777777">
        <w:trPr>
          <w:trHeight w:val="321"/>
          <w:jc w:val="center"/>
        </w:trPr>
        <w:tc>
          <w:tcPr>
            <w:tcW w:w="43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0E36C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山西国泰中药股份有限公司</w:t>
            </w: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7C179C8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薄片</w:t>
            </w:r>
          </w:p>
        </w:tc>
      </w:tr>
      <w:tr w:rsidR="004342CA" w14:paraId="16EED837" w14:textId="77777777">
        <w:trPr>
          <w:trHeight w:val="321"/>
          <w:jc w:val="center"/>
        </w:trPr>
        <w:tc>
          <w:tcPr>
            <w:tcW w:w="43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263FA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山西和</w:t>
            </w:r>
            <w:proofErr w:type="gramStart"/>
            <w:r>
              <w:rPr>
                <w:rFonts w:ascii="Times New Roman" w:eastAsia="宋体" w:hAnsi="Times New Roman" w:hint="eastAsia"/>
                <w:szCs w:val="21"/>
              </w:rPr>
              <w:t>仁堂</w:t>
            </w:r>
            <w:proofErr w:type="gramEnd"/>
            <w:r>
              <w:rPr>
                <w:rFonts w:ascii="Times New Roman" w:eastAsia="宋体" w:hAnsi="Times New Roman" w:hint="eastAsia"/>
                <w:szCs w:val="21"/>
              </w:rPr>
              <w:t>中药饮片有限责任公司</w:t>
            </w: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7A242F1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hint="eastAsia"/>
                <w:szCs w:val="21"/>
              </w:rPr>
              <w:t>个</w:t>
            </w:r>
            <w:proofErr w:type="gramEnd"/>
          </w:p>
        </w:tc>
      </w:tr>
      <w:tr w:rsidR="004342CA" w14:paraId="46B0CE6C" w14:textId="77777777">
        <w:trPr>
          <w:trHeight w:val="321"/>
          <w:jc w:val="center"/>
        </w:trPr>
        <w:tc>
          <w:tcPr>
            <w:tcW w:w="43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98674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hint="eastAsia"/>
                <w:szCs w:val="21"/>
              </w:rPr>
              <w:t>山西晋药堂</w:t>
            </w:r>
            <w:proofErr w:type="gramEnd"/>
            <w:r>
              <w:rPr>
                <w:rFonts w:ascii="Times New Roman" w:eastAsia="宋体" w:hAnsi="Times New Roman" w:hint="eastAsia"/>
                <w:szCs w:val="21"/>
              </w:rPr>
              <w:t>中药材有限公司</w:t>
            </w: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0D7ED21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hint="eastAsia"/>
                <w:szCs w:val="21"/>
              </w:rPr>
              <w:t>个</w:t>
            </w:r>
            <w:proofErr w:type="gramEnd"/>
          </w:p>
        </w:tc>
      </w:tr>
      <w:tr w:rsidR="004342CA" w14:paraId="1B01A71E" w14:textId="77777777">
        <w:trPr>
          <w:trHeight w:val="321"/>
          <w:jc w:val="center"/>
        </w:trPr>
        <w:tc>
          <w:tcPr>
            <w:tcW w:w="43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BF15C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山西</w:t>
            </w:r>
            <w:proofErr w:type="gramStart"/>
            <w:r>
              <w:rPr>
                <w:rFonts w:ascii="Times New Roman" w:eastAsia="宋体" w:hAnsi="Times New Roman" w:hint="eastAsia"/>
                <w:szCs w:val="21"/>
              </w:rPr>
              <w:t>鼎坤源</w:t>
            </w:r>
            <w:proofErr w:type="gramEnd"/>
            <w:r>
              <w:rPr>
                <w:rFonts w:ascii="Times New Roman" w:eastAsia="宋体" w:hAnsi="Times New Roman" w:hint="eastAsia"/>
                <w:szCs w:val="21"/>
              </w:rPr>
              <w:t>药业有限公司</w:t>
            </w:r>
          </w:p>
        </w:tc>
        <w:tc>
          <w:tcPr>
            <w:tcW w:w="157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1970E06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厚片</w:t>
            </w:r>
          </w:p>
        </w:tc>
      </w:tr>
      <w:tr w:rsidR="004342CA" w14:paraId="5FA66EEA" w14:textId="77777777">
        <w:trPr>
          <w:trHeight w:val="332"/>
          <w:jc w:val="center"/>
        </w:trPr>
        <w:tc>
          <w:tcPr>
            <w:tcW w:w="4330" w:type="dxa"/>
            <w:tcBorders>
              <w:top w:val="nil"/>
            </w:tcBorders>
            <w:shd w:val="clear" w:color="auto" w:fill="auto"/>
            <w:vAlign w:val="center"/>
          </w:tcPr>
          <w:p w14:paraId="2974E073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山西元和堂中药有限公司</w:t>
            </w:r>
          </w:p>
        </w:tc>
        <w:tc>
          <w:tcPr>
            <w:tcW w:w="15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3D363C0" w14:textId="77777777" w:rsidR="004342CA" w:rsidRDefault="00000000">
            <w:pPr>
              <w:spacing w:line="360" w:lineRule="auto"/>
              <w:ind w:firstLineChars="150" w:firstLine="315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厚片</w:t>
            </w:r>
          </w:p>
        </w:tc>
      </w:tr>
    </w:tbl>
    <w:p w14:paraId="0EF9E502" w14:textId="77777777" w:rsidR="004342CA" w:rsidRDefault="00000000">
      <w:pPr>
        <w:spacing w:line="440" w:lineRule="exact"/>
        <w:ind w:firstLineChars="200" w:firstLine="422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b/>
          <w:bCs/>
          <w:szCs w:val="21"/>
        </w:rPr>
        <w:t>【实验材料】</w:t>
      </w:r>
      <w:r>
        <w:rPr>
          <w:rFonts w:ascii="Times New Roman" w:eastAsia="宋体" w:hAnsi="Times New Roman" w:cs="Times New Roman" w:hint="eastAsia"/>
          <w:b/>
          <w:bCs/>
          <w:szCs w:val="21"/>
        </w:rPr>
        <w:t xml:space="preserve">  </w:t>
      </w:r>
      <w:r>
        <w:rPr>
          <w:rFonts w:ascii="宋体" w:eastAsia="宋体" w:hAnsi="宋体" w:cs="Times New Roman" w:hint="eastAsia"/>
          <w:szCs w:val="21"/>
        </w:rPr>
        <w:t>本次研究样品姜半夏产地山西，经山西元和堂中药有限公司鉴定，为半夏的炮制加工品，按《中国药典》</w:t>
      </w:r>
      <w:r>
        <w:rPr>
          <w:rFonts w:ascii="Times New Roman" w:eastAsia="宋体" w:hAnsi="Times New Roman" w:cs="Times New Roman" w:hint="eastAsia"/>
          <w:szCs w:val="21"/>
        </w:rPr>
        <w:t>2020</w:t>
      </w:r>
      <w:r>
        <w:rPr>
          <w:rFonts w:ascii="宋体" w:eastAsia="宋体" w:hAnsi="宋体" w:cs="Times New Roman" w:hint="eastAsia"/>
          <w:szCs w:val="21"/>
        </w:rPr>
        <w:t>年版检验，检验结果均符合规定。</w:t>
      </w:r>
    </w:p>
    <w:p w14:paraId="23D33F5E" w14:textId="77777777" w:rsidR="004342CA" w:rsidRDefault="00000000">
      <w:pPr>
        <w:spacing w:line="440" w:lineRule="exact"/>
        <w:ind w:firstLineChars="250" w:firstLine="525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t>【</w:t>
      </w:r>
      <w:r>
        <w:rPr>
          <w:rFonts w:ascii="Times New Roman" w:eastAsia="宋体" w:hAnsi="Times New Roman"/>
          <w:b/>
          <w:szCs w:val="21"/>
        </w:rPr>
        <w:t>炮制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bCs/>
          <w:szCs w:val="21"/>
        </w:rPr>
        <w:t>取净半夏，大小分开，用水浸泡至内</w:t>
      </w:r>
      <w:proofErr w:type="gramStart"/>
      <w:r>
        <w:rPr>
          <w:rFonts w:ascii="Times New Roman" w:eastAsia="宋体" w:hAnsi="Times New Roman"/>
          <w:bCs/>
          <w:szCs w:val="21"/>
        </w:rPr>
        <w:t>无干心</w:t>
      </w:r>
      <w:proofErr w:type="gramEnd"/>
      <w:r>
        <w:rPr>
          <w:rFonts w:ascii="Times New Roman" w:eastAsia="宋体" w:hAnsi="Times New Roman"/>
          <w:bCs/>
          <w:szCs w:val="21"/>
        </w:rPr>
        <w:t>时，取出；另取生姜切片煎汤，加白矾与半夏共煮透，取出，切厚片，干燥</w:t>
      </w:r>
      <w:r>
        <w:rPr>
          <w:rFonts w:ascii="Times New Roman" w:eastAsia="宋体" w:hAnsi="Times New Roman"/>
          <w:szCs w:val="21"/>
        </w:rPr>
        <w:t>。</w:t>
      </w:r>
    </w:p>
    <w:p w14:paraId="7A32B11E" w14:textId="77777777" w:rsidR="004342CA" w:rsidRDefault="00000000">
      <w:pPr>
        <w:spacing w:line="440" w:lineRule="exact"/>
        <w:ind w:firstLineChars="250" w:firstLine="525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性状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 w:hint="eastAsia"/>
          <w:szCs w:val="21"/>
        </w:rPr>
        <w:t>根据《中国药典》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年版一部姜半夏性状描述，并结合厚片特征。附</w:t>
      </w:r>
      <w:r>
        <w:rPr>
          <w:rFonts w:ascii="Times New Roman" w:eastAsia="宋体" w:hAnsi="Times New Roman"/>
          <w:szCs w:val="21"/>
        </w:rPr>
        <w:t>饮片图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/>
          <w:szCs w:val="21"/>
        </w:rPr>
        <w:t>、图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/>
          <w:szCs w:val="21"/>
        </w:rPr>
        <w:t>。</w:t>
      </w:r>
    </w:p>
    <w:p w14:paraId="05C1C00B" w14:textId="77777777" w:rsidR="004342CA" w:rsidRDefault="00000000">
      <w:pPr>
        <w:spacing w:line="360" w:lineRule="auto"/>
        <w:jc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noProof/>
          <w:szCs w:val="21"/>
        </w:rPr>
        <w:drawing>
          <wp:inline distT="0" distB="0" distL="0" distR="0" wp14:anchorId="2605EA49" wp14:editId="4BF9BAD3">
            <wp:extent cx="4590415" cy="3040380"/>
            <wp:effectExtent l="0" t="0" r="63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304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10816" w14:textId="77777777" w:rsidR="004342CA" w:rsidRDefault="00000000">
      <w:pPr>
        <w:spacing w:line="360" w:lineRule="auto"/>
        <w:ind w:firstLineChars="200" w:firstLine="422"/>
        <w:jc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b/>
          <w:bCs/>
          <w:szCs w:val="21"/>
        </w:rPr>
        <w:t>图</w:t>
      </w:r>
      <w:r>
        <w:rPr>
          <w:rFonts w:ascii="Times New Roman" w:eastAsia="宋体" w:hAnsi="Times New Roman" w:hint="eastAsia"/>
          <w:b/>
          <w:bCs/>
          <w:szCs w:val="21"/>
        </w:rPr>
        <w:t>1</w:t>
      </w:r>
      <w:r>
        <w:rPr>
          <w:rFonts w:ascii="Times New Roman" w:eastAsia="宋体" w:hAnsi="Times New Roman"/>
          <w:b/>
          <w:bCs/>
          <w:szCs w:val="21"/>
        </w:rPr>
        <w:t xml:space="preserve"> </w:t>
      </w:r>
      <w:r>
        <w:rPr>
          <w:rFonts w:ascii="Times New Roman" w:eastAsia="宋体" w:hAnsi="Times New Roman" w:hint="eastAsia"/>
          <w:b/>
          <w:bCs/>
          <w:szCs w:val="21"/>
        </w:rPr>
        <w:t>姜半夏饮片大样图</w:t>
      </w:r>
    </w:p>
    <w:p w14:paraId="5DD026A2" w14:textId="77777777" w:rsidR="004342CA" w:rsidRDefault="00000000">
      <w:pPr>
        <w:spacing w:line="360" w:lineRule="auto"/>
        <w:jc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noProof/>
          <w:szCs w:val="21"/>
        </w:rPr>
        <w:drawing>
          <wp:inline distT="0" distB="0" distL="0" distR="0" wp14:anchorId="4681155B" wp14:editId="611D22B1">
            <wp:extent cx="4660265" cy="3086735"/>
            <wp:effectExtent l="0" t="0" r="698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265" cy="308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6EB66" w14:textId="77777777" w:rsidR="004342CA" w:rsidRDefault="00000000">
      <w:pPr>
        <w:spacing w:line="360" w:lineRule="auto"/>
        <w:ind w:firstLineChars="200" w:firstLine="422"/>
        <w:jc w:val="center"/>
        <w:rPr>
          <w:rFonts w:ascii="Times New Roman" w:eastAsia="宋体" w:hAnsi="Times New Roman"/>
          <w:b/>
          <w:bCs/>
          <w:szCs w:val="21"/>
        </w:rPr>
      </w:pPr>
      <w:r>
        <w:rPr>
          <w:rFonts w:ascii="Times New Roman" w:eastAsia="宋体" w:hAnsi="Times New Roman" w:hint="eastAsia"/>
          <w:b/>
          <w:bCs/>
          <w:szCs w:val="21"/>
        </w:rPr>
        <w:t>图</w:t>
      </w:r>
      <w:r>
        <w:rPr>
          <w:rFonts w:ascii="Times New Roman" w:eastAsia="宋体" w:hAnsi="Times New Roman" w:hint="eastAsia"/>
          <w:b/>
          <w:bCs/>
          <w:szCs w:val="21"/>
        </w:rPr>
        <w:t>2</w:t>
      </w:r>
      <w:r>
        <w:rPr>
          <w:rFonts w:ascii="Times New Roman" w:eastAsia="宋体" w:hAnsi="Times New Roman"/>
          <w:b/>
          <w:bCs/>
          <w:szCs w:val="21"/>
        </w:rPr>
        <w:t xml:space="preserve"> </w:t>
      </w:r>
      <w:r>
        <w:rPr>
          <w:rFonts w:ascii="Times New Roman" w:eastAsia="宋体" w:hAnsi="Times New Roman" w:hint="eastAsia"/>
          <w:b/>
          <w:bCs/>
          <w:szCs w:val="21"/>
        </w:rPr>
        <w:t>姜半夏饮片特征图</w:t>
      </w:r>
    </w:p>
    <w:p w14:paraId="286153AA" w14:textId="77777777" w:rsidR="004342CA" w:rsidRDefault="00000000">
      <w:pPr>
        <w:spacing w:line="440" w:lineRule="exact"/>
        <w:ind w:firstLineChars="150" w:firstLine="315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鉴别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 w:hint="eastAsia"/>
          <w:szCs w:val="21"/>
        </w:rPr>
        <w:t>鉴别</w:t>
      </w:r>
      <w:r>
        <w:rPr>
          <w:rFonts w:ascii="Times New Roman" w:eastAsia="宋体" w:hAnsi="Times New Roman" w:cs="Calibri" w:hint="eastAsia"/>
          <w:szCs w:val="21"/>
        </w:rPr>
        <w:t>方法同《中国药典》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年版一部姜半夏饮片鉴别方法</w:t>
      </w:r>
      <w:r>
        <w:rPr>
          <w:rFonts w:ascii="Times New Roman" w:eastAsia="宋体" w:hAnsi="Times New Roman"/>
          <w:szCs w:val="21"/>
        </w:rPr>
        <w:t>。</w:t>
      </w:r>
    </w:p>
    <w:p w14:paraId="38D36FA8" w14:textId="77777777" w:rsidR="004342CA" w:rsidRDefault="00000000">
      <w:pPr>
        <w:spacing w:line="440" w:lineRule="exact"/>
        <w:ind w:firstLineChars="150" w:firstLine="315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检查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b/>
          <w:bCs/>
          <w:szCs w:val="21"/>
        </w:rPr>
        <w:t>杂质</w:t>
      </w:r>
      <w:r>
        <w:rPr>
          <w:rFonts w:ascii="Times New Roman" w:eastAsia="宋体" w:hAnsi="Times New Roman"/>
          <w:b/>
          <w:bCs/>
          <w:szCs w:val="21"/>
        </w:rPr>
        <w:t xml:space="preserve"> </w:t>
      </w:r>
      <w:r>
        <w:rPr>
          <w:rFonts w:ascii="Times New Roman" w:eastAsia="宋体" w:hAnsi="Times New Roman" w:hint="eastAsia"/>
          <w:b/>
          <w:bCs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方法与限度同《中国药典》</w:t>
      </w:r>
      <w:r>
        <w:rPr>
          <w:rFonts w:ascii="Times New Roman" w:eastAsia="宋体" w:hAnsi="Times New Roman" w:hint="eastAsia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年版一部姜半夏饮片。杂质采用《中国</w:t>
      </w:r>
      <w:r>
        <w:rPr>
          <w:rFonts w:ascii="Times New Roman" w:eastAsia="宋体" w:hAnsi="Times New Roman" w:hint="eastAsia"/>
          <w:szCs w:val="21"/>
        </w:rPr>
        <w:lastRenderedPageBreak/>
        <w:t>药典》</w:t>
      </w:r>
      <w:r>
        <w:rPr>
          <w:rFonts w:ascii="Times New Roman" w:eastAsia="宋体" w:hAnsi="Times New Roman" w:hint="eastAsia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年版四部通则</w:t>
      </w:r>
      <w:r>
        <w:rPr>
          <w:rFonts w:ascii="Times New Roman" w:eastAsia="宋体" w:hAnsi="Times New Roman" w:hint="eastAsia"/>
          <w:szCs w:val="21"/>
        </w:rPr>
        <w:t>2301</w:t>
      </w:r>
      <w:r>
        <w:rPr>
          <w:rFonts w:ascii="Times New Roman" w:eastAsia="宋体" w:hAnsi="Times New Roman" w:hint="eastAsia"/>
          <w:szCs w:val="21"/>
        </w:rPr>
        <w:t>杂质检查法检测</w:t>
      </w:r>
      <w:r>
        <w:rPr>
          <w:rFonts w:ascii="Times New Roman" w:eastAsia="宋体" w:hAnsi="Times New Roman" w:hint="eastAsia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批样品，结果均符合限度要求</w:t>
      </w:r>
      <w:r>
        <w:rPr>
          <w:rFonts w:ascii="Times New Roman" w:eastAsia="宋体" w:hAnsi="Times New Roman"/>
          <w:szCs w:val="21"/>
        </w:rPr>
        <w:t>。</w:t>
      </w:r>
    </w:p>
    <w:p w14:paraId="226F6423" w14:textId="77777777" w:rsidR="004342CA" w:rsidRDefault="00000000">
      <w:pPr>
        <w:spacing w:line="440" w:lineRule="exact"/>
        <w:ind w:firstLineChars="200" w:firstLine="422"/>
        <w:rPr>
          <w:rFonts w:ascii="Times New Roman" w:eastAsia="宋体" w:hAnsi="Times New Roman" w:cs="Calibri"/>
          <w:szCs w:val="21"/>
        </w:rPr>
      </w:pPr>
      <w:r>
        <w:rPr>
          <w:rFonts w:ascii="Times New Roman" w:eastAsia="宋体" w:hAnsi="Times New Roman"/>
          <w:b/>
          <w:szCs w:val="21"/>
        </w:rPr>
        <w:t>水分</w:t>
      </w:r>
      <w:r>
        <w:rPr>
          <w:rFonts w:ascii="Times New Roman" w:eastAsia="宋体" w:hAnsi="Times New Roman" w:hint="eastAsia"/>
          <w:b/>
          <w:szCs w:val="21"/>
        </w:rPr>
        <w:t xml:space="preserve">  </w:t>
      </w:r>
      <w:r>
        <w:rPr>
          <w:rFonts w:ascii="Times New Roman" w:eastAsia="宋体" w:hAnsi="Times New Roman" w:cs="Calibri" w:hint="eastAsia"/>
          <w:szCs w:val="21"/>
        </w:rPr>
        <w:t>方法与限度同《中国药典》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年版一部姜半夏饮片。</w:t>
      </w:r>
      <w:r>
        <w:rPr>
          <w:rFonts w:ascii="Times New Roman" w:eastAsia="宋体" w:hAnsi="Times New Roman"/>
          <w:szCs w:val="21"/>
        </w:rPr>
        <w:t>采用《中国药典》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/>
          <w:szCs w:val="21"/>
        </w:rPr>
        <w:t>年版四部通则</w:t>
      </w:r>
      <w:r>
        <w:rPr>
          <w:rFonts w:ascii="Times New Roman" w:eastAsia="宋体" w:hAnsi="Times New Roman"/>
          <w:szCs w:val="21"/>
        </w:rPr>
        <w:t>0832</w:t>
      </w:r>
      <w:r>
        <w:rPr>
          <w:rFonts w:ascii="Times New Roman" w:eastAsia="宋体" w:hAnsi="Times New Roman"/>
          <w:szCs w:val="21"/>
        </w:rPr>
        <w:t>第二法水分检查法检测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批样品，结果</w:t>
      </w:r>
      <w:r>
        <w:rPr>
          <w:rFonts w:ascii="Times New Roman" w:eastAsia="宋体" w:hAnsi="Times New Roman" w:cs="Calibri" w:hint="eastAsia"/>
          <w:szCs w:val="21"/>
        </w:rPr>
        <w:t>均符合限度要求。</w:t>
      </w:r>
    </w:p>
    <w:p w14:paraId="26615FF8" w14:textId="77777777" w:rsidR="004342CA" w:rsidRDefault="00000000">
      <w:pPr>
        <w:spacing w:line="440" w:lineRule="exact"/>
        <w:ind w:firstLineChars="200" w:firstLine="422"/>
        <w:rPr>
          <w:rFonts w:ascii="Times New Roman" w:eastAsia="宋体" w:hAnsi="Times New Roman" w:cs="Calibri"/>
          <w:szCs w:val="21"/>
        </w:rPr>
      </w:pPr>
      <w:r>
        <w:rPr>
          <w:rFonts w:ascii="Times New Roman" w:eastAsia="宋体" w:hAnsi="Times New Roman"/>
          <w:b/>
          <w:szCs w:val="21"/>
        </w:rPr>
        <w:t>总灰分</w:t>
      </w:r>
      <w:r>
        <w:rPr>
          <w:rFonts w:ascii="Times New Roman" w:eastAsia="宋体" w:hAnsi="Times New Roman" w:hint="eastAsia"/>
          <w:b/>
          <w:szCs w:val="21"/>
        </w:rPr>
        <w:t xml:space="preserve">  </w:t>
      </w:r>
      <w:r>
        <w:rPr>
          <w:rFonts w:ascii="Times New Roman" w:eastAsia="宋体" w:hAnsi="Times New Roman" w:cs="Calibri" w:hint="eastAsia"/>
          <w:szCs w:val="21"/>
        </w:rPr>
        <w:t>方法与限度同《中国药典》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年版一部姜半夏饮片。</w:t>
      </w:r>
      <w:r>
        <w:rPr>
          <w:rFonts w:ascii="Times New Roman" w:eastAsia="宋体" w:hAnsi="Times New Roman"/>
          <w:szCs w:val="21"/>
        </w:rPr>
        <w:t>采用《中国药典》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/>
          <w:szCs w:val="21"/>
        </w:rPr>
        <w:t>年版四部通则</w:t>
      </w:r>
      <w:r>
        <w:rPr>
          <w:rFonts w:ascii="Times New Roman" w:eastAsia="宋体" w:hAnsi="Times New Roman"/>
          <w:szCs w:val="21"/>
        </w:rPr>
        <w:t>2302</w:t>
      </w:r>
      <w:r>
        <w:rPr>
          <w:rFonts w:ascii="Times New Roman" w:eastAsia="宋体" w:hAnsi="Times New Roman"/>
          <w:szCs w:val="21"/>
        </w:rPr>
        <w:t>中总灰分测定法检测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批样品，结果</w:t>
      </w:r>
      <w:r>
        <w:rPr>
          <w:rFonts w:ascii="Times New Roman" w:eastAsia="宋体" w:hAnsi="Times New Roman" w:cs="Calibri" w:hint="eastAsia"/>
          <w:szCs w:val="21"/>
        </w:rPr>
        <w:t>均符合限度要求。</w:t>
      </w:r>
      <w:r>
        <w:rPr>
          <w:rFonts w:ascii="宋体" w:eastAsia="宋体" w:hAnsi="宋体" w:cs="宋体" w:hint="eastAsia"/>
          <w:bCs/>
          <w:color w:val="000000" w:themeColor="text1"/>
          <w:kern w:val="0"/>
          <w:szCs w:val="21"/>
        </w:rPr>
        <w:t>（见表3）</w:t>
      </w:r>
    </w:p>
    <w:p w14:paraId="00AB6AFD" w14:textId="77777777" w:rsidR="004342CA" w:rsidRDefault="00000000">
      <w:pPr>
        <w:spacing w:line="440" w:lineRule="exact"/>
        <w:ind w:firstLineChars="200" w:firstLine="422"/>
        <w:jc w:val="left"/>
        <w:rPr>
          <w:rFonts w:ascii="Times New Roman" w:eastAsia="宋体" w:hAnsi="Times New Roman" w:cs="Calibri"/>
          <w:szCs w:val="21"/>
        </w:rPr>
      </w:pPr>
      <w:r>
        <w:rPr>
          <w:rFonts w:ascii="Times New Roman" w:eastAsia="宋体" w:hAnsi="Times New Roman"/>
          <w:b/>
          <w:szCs w:val="21"/>
        </w:rPr>
        <w:t>白矾限量</w:t>
      </w:r>
      <w:r>
        <w:rPr>
          <w:rFonts w:ascii="Times New Roman" w:eastAsia="宋体" w:hAnsi="Times New Roman" w:hint="eastAsia"/>
          <w:b/>
          <w:szCs w:val="21"/>
        </w:rPr>
        <w:t xml:space="preserve"> </w:t>
      </w:r>
      <w:r>
        <w:rPr>
          <w:rFonts w:ascii="Times New Roman" w:eastAsia="宋体" w:hAnsi="Times New Roman" w:cs="Calibri" w:hint="eastAsia"/>
          <w:szCs w:val="21"/>
        </w:rPr>
        <w:t>方法与限度同《中国药典》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年版一部姜半夏饮片。</w:t>
      </w:r>
      <w:r>
        <w:rPr>
          <w:rFonts w:ascii="Times New Roman" w:eastAsia="宋体" w:hAnsi="Times New Roman"/>
          <w:szCs w:val="21"/>
        </w:rPr>
        <w:t>采用《中国药典》</w:t>
      </w:r>
      <w:proofErr w:type="gramStart"/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/>
          <w:szCs w:val="21"/>
        </w:rPr>
        <w:t>年版姜半夏</w:t>
      </w:r>
      <w:proofErr w:type="gramEnd"/>
      <w:r>
        <w:rPr>
          <w:rFonts w:ascii="Times New Roman" w:eastAsia="宋体" w:hAnsi="Times New Roman"/>
          <w:szCs w:val="21"/>
        </w:rPr>
        <w:t>白矾限量测定法检测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批样品。结果为含白矾以含水硫酸铝钾〔</w:t>
      </w:r>
      <w:proofErr w:type="spellStart"/>
      <w:r>
        <w:rPr>
          <w:rFonts w:ascii="Times New Roman" w:eastAsia="宋体" w:hAnsi="Times New Roman"/>
          <w:bCs/>
          <w:szCs w:val="21"/>
        </w:rPr>
        <w:t>KA</w:t>
      </w:r>
      <w:r>
        <w:rPr>
          <w:rFonts w:ascii="Times New Roman" w:eastAsia="宋体" w:hAnsi="Times New Roman" w:hint="eastAsia"/>
          <w:bCs/>
          <w:szCs w:val="21"/>
        </w:rPr>
        <w:t>l</w:t>
      </w:r>
      <w:proofErr w:type="spellEnd"/>
      <w:r>
        <w:rPr>
          <w:rFonts w:ascii="Times New Roman" w:eastAsia="宋体" w:hAnsi="Times New Roman"/>
          <w:bCs/>
          <w:szCs w:val="21"/>
        </w:rPr>
        <w:t>（</w:t>
      </w:r>
      <w:r>
        <w:rPr>
          <w:rFonts w:ascii="Times New Roman" w:eastAsia="宋体" w:hAnsi="Times New Roman"/>
          <w:bCs/>
          <w:szCs w:val="21"/>
        </w:rPr>
        <w:t>SO</w:t>
      </w:r>
      <w:r>
        <w:rPr>
          <w:rFonts w:ascii="Times New Roman" w:eastAsia="宋体" w:hAnsi="Times New Roman"/>
          <w:bCs/>
          <w:szCs w:val="21"/>
          <w:vertAlign w:val="subscript"/>
        </w:rPr>
        <w:t>4</w:t>
      </w:r>
      <w:r>
        <w:rPr>
          <w:rFonts w:ascii="Times New Roman" w:eastAsia="宋体" w:hAnsi="Times New Roman"/>
          <w:bCs/>
          <w:szCs w:val="21"/>
        </w:rPr>
        <w:t>）</w:t>
      </w:r>
      <w:r>
        <w:rPr>
          <w:rFonts w:ascii="Times New Roman" w:eastAsia="宋体" w:hAnsi="Times New Roman"/>
          <w:bCs/>
          <w:szCs w:val="21"/>
          <w:vertAlign w:val="subscript"/>
        </w:rPr>
        <w:t>2</w:t>
      </w:r>
      <w:r>
        <w:rPr>
          <w:rFonts w:ascii="Times New Roman" w:eastAsia="宋体" w:hAnsi="Times New Roman"/>
          <w:bCs/>
          <w:szCs w:val="21"/>
        </w:rPr>
        <w:t>·12H</w:t>
      </w:r>
      <w:r>
        <w:rPr>
          <w:rFonts w:ascii="Times New Roman" w:eastAsia="宋体" w:hAnsi="Times New Roman"/>
          <w:bCs/>
          <w:szCs w:val="21"/>
          <w:vertAlign w:val="subscript"/>
        </w:rPr>
        <w:t>2</w:t>
      </w:r>
      <w:r>
        <w:rPr>
          <w:rFonts w:ascii="Times New Roman" w:eastAsia="宋体" w:hAnsi="Times New Roman"/>
          <w:bCs/>
          <w:szCs w:val="21"/>
        </w:rPr>
        <w:t>O</w:t>
      </w:r>
      <w:r>
        <w:rPr>
          <w:rFonts w:ascii="Times New Roman" w:eastAsia="宋体" w:hAnsi="Times New Roman"/>
          <w:szCs w:val="21"/>
        </w:rPr>
        <w:t>〕〕</w:t>
      </w:r>
      <w:proofErr w:type="gramStart"/>
      <w:r>
        <w:rPr>
          <w:rFonts w:ascii="Times New Roman" w:eastAsia="宋体" w:hAnsi="Times New Roman"/>
          <w:szCs w:val="21"/>
        </w:rPr>
        <w:t>计</w:t>
      </w:r>
      <w:r>
        <w:rPr>
          <w:rFonts w:ascii="Times New Roman" w:eastAsia="宋体" w:hAnsi="Times New Roman" w:cs="Calibri" w:hint="eastAsia"/>
          <w:szCs w:val="21"/>
        </w:rPr>
        <w:t>均符合</w:t>
      </w:r>
      <w:proofErr w:type="gramEnd"/>
      <w:r>
        <w:rPr>
          <w:rFonts w:ascii="Times New Roman" w:eastAsia="宋体" w:hAnsi="Times New Roman" w:cs="Calibri" w:hint="eastAsia"/>
          <w:szCs w:val="21"/>
        </w:rPr>
        <w:t>限度要求。</w:t>
      </w:r>
    </w:p>
    <w:p w14:paraId="4B3420BC" w14:textId="77777777" w:rsidR="004342CA" w:rsidRDefault="00000000">
      <w:pPr>
        <w:spacing w:line="440" w:lineRule="exact"/>
        <w:ind w:firstLineChars="150" w:firstLine="315"/>
        <w:rPr>
          <w:rFonts w:ascii="Times New Roman" w:eastAsia="宋体" w:hAnsi="Times New Roman" w:cs="Calibri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浸出物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cs="Calibri"/>
          <w:szCs w:val="21"/>
        </w:rPr>
        <w:t>方法与限度同《中国药典》</w:t>
      </w:r>
      <w:r>
        <w:rPr>
          <w:rFonts w:ascii="Times New Roman" w:eastAsia="宋体" w:hAnsi="Times New Roman" w:cs="Calibri"/>
          <w:szCs w:val="21"/>
        </w:rPr>
        <w:t>2020</w:t>
      </w:r>
      <w:r>
        <w:rPr>
          <w:rFonts w:ascii="Times New Roman" w:eastAsia="宋体" w:hAnsi="Times New Roman" w:cs="Calibri"/>
          <w:szCs w:val="21"/>
        </w:rPr>
        <w:t>年版一部姜半夏饮片。</w:t>
      </w:r>
      <w:r>
        <w:rPr>
          <w:rFonts w:ascii="Times New Roman" w:eastAsia="宋体" w:hAnsi="Times New Roman"/>
          <w:szCs w:val="21"/>
        </w:rPr>
        <w:t>采用《中国药典》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/>
          <w:szCs w:val="21"/>
        </w:rPr>
        <w:t>年版四部通则</w:t>
      </w:r>
      <w:r>
        <w:rPr>
          <w:rFonts w:ascii="Times New Roman" w:eastAsia="宋体" w:hAnsi="Times New Roman"/>
          <w:szCs w:val="21"/>
        </w:rPr>
        <w:t>2201</w:t>
      </w:r>
      <w:r>
        <w:rPr>
          <w:rFonts w:ascii="Times New Roman" w:eastAsia="宋体" w:hAnsi="Times New Roman"/>
          <w:szCs w:val="21"/>
        </w:rPr>
        <w:t>水溶性浸出物</w:t>
      </w:r>
      <w:proofErr w:type="gramStart"/>
      <w:r>
        <w:rPr>
          <w:rFonts w:ascii="Times New Roman" w:eastAsia="宋体" w:hAnsi="Times New Roman"/>
          <w:szCs w:val="21"/>
        </w:rPr>
        <w:t>测定法项下</w:t>
      </w:r>
      <w:proofErr w:type="gramEnd"/>
      <w:r>
        <w:rPr>
          <w:rFonts w:ascii="Times New Roman" w:eastAsia="宋体" w:hAnsi="Times New Roman"/>
          <w:szCs w:val="21"/>
        </w:rPr>
        <w:t>的冷浸法测定，检测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批样品，结果</w:t>
      </w:r>
      <w:r>
        <w:rPr>
          <w:rFonts w:ascii="Times New Roman" w:eastAsia="宋体" w:hAnsi="Times New Roman" w:cs="Calibri"/>
          <w:szCs w:val="21"/>
        </w:rPr>
        <w:t>均符合限度要求。</w:t>
      </w:r>
    </w:p>
    <w:p w14:paraId="29D8A850" w14:textId="77777777" w:rsidR="004342CA" w:rsidRDefault="00000000">
      <w:pPr>
        <w:spacing w:line="440" w:lineRule="exact"/>
        <w:ind w:firstLineChars="150" w:firstLine="315"/>
        <w:jc w:val="left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性味与归经】</w:t>
      </w:r>
      <w:r>
        <w:rPr>
          <w:rFonts w:ascii="Times New Roman" w:eastAsia="宋体" w:hAnsi="Times New Roman" w:hint="eastAsia"/>
          <w:b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辛，温。归脾、胃、肺经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kern w:val="0"/>
          <w:szCs w:val="21"/>
        </w:rPr>
        <w:t>同</w:t>
      </w:r>
      <w:r>
        <w:rPr>
          <w:rFonts w:asciiTheme="minorEastAsia" w:hAnsiTheme="minorEastAsia" w:cstheme="minorEastAsia" w:hint="eastAsia"/>
          <w:szCs w:val="21"/>
        </w:rPr>
        <w:t>《中国药典》2020年版一部）</w:t>
      </w:r>
      <w:r>
        <w:rPr>
          <w:rFonts w:ascii="Times New Roman" w:eastAsia="宋体" w:hAnsi="Times New Roman"/>
          <w:szCs w:val="21"/>
        </w:rPr>
        <w:t>。</w:t>
      </w:r>
    </w:p>
    <w:p w14:paraId="77BDC619" w14:textId="77777777" w:rsidR="004342CA" w:rsidRDefault="00000000">
      <w:pPr>
        <w:spacing w:line="440" w:lineRule="exact"/>
        <w:ind w:firstLineChars="150" w:firstLine="316"/>
        <w:jc w:val="left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/>
          <w:b/>
          <w:szCs w:val="21"/>
        </w:rPr>
        <w:t>【功能与主治】</w:t>
      </w:r>
      <w:r>
        <w:rPr>
          <w:rFonts w:ascii="Times New Roman" w:eastAsia="宋体" w:hAnsi="Times New Roman" w:hint="eastAsia"/>
          <w:b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温中化痰，降逆止呕。用于痰饮呕吐，胃脘</w:t>
      </w:r>
      <w:proofErr w:type="gramStart"/>
      <w:r>
        <w:rPr>
          <w:rFonts w:ascii="Times New Roman" w:eastAsia="宋体" w:hAnsi="Times New Roman"/>
          <w:szCs w:val="21"/>
        </w:rPr>
        <w:t>痞</w:t>
      </w:r>
      <w:proofErr w:type="gramEnd"/>
      <w:r>
        <w:rPr>
          <w:rFonts w:ascii="Times New Roman" w:eastAsia="宋体" w:hAnsi="Times New Roman"/>
          <w:szCs w:val="21"/>
        </w:rPr>
        <w:t>满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kern w:val="0"/>
          <w:szCs w:val="21"/>
        </w:rPr>
        <w:t>同</w:t>
      </w:r>
      <w:r>
        <w:rPr>
          <w:rFonts w:asciiTheme="minorEastAsia" w:hAnsiTheme="minorEastAsia" w:cstheme="minorEastAsia" w:hint="eastAsia"/>
          <w:szCs w:val="21"/>
        </w:rPr>
        <w:t>《中国药典》2020年版一部）</w:t>
      </w:r>
      <w:r>
        <w:rPr>
          <w:rFonts w:ascii="Times New Roman" w:eastAsia="宋体" w:hAnsi="Times New Roman"/>
          <w:szCs w:val="21"/>
        </w:rPr>
        <w:t>。</w:t>
      </w:r>
    </w:p>
    <w:p w14:paraId="4665A066" w14:textId="77777777" w:rsidR="004342CA" w:rsidRDefault="00000000">
      <w:pPr>
        <w:spacing w:line="440" w:lineRule="exact"/>
        <w:ind w:firstLineChars="150" w:firstLine="315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用法与用量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3~9</w:t>
      </w:r>
      <w:r>
        <w:rPr>
          <w:rFonts w:ascii="Times New Roman" w:eastAsia="宋体" w:hAnsi="Times New Roman"/>
          <w:szCs w:val="21"/>
        </w:rPr>
        <w:t>g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kern w:val="0"/>
          <w:szCs w:val="21"/>
        </w:rPr>
        <w:t>同</w:t>
      </w:r>
      <w:r>
        <w:rPr>
          <w:rFonts w:asciiTheme="minorEastAsia" w:hAnsiTheme="minorEastAsia" w:cstheme="minorEastAsia" w:hint="eastAsia"/>
          <w:szCs w:val="21"/>
        </w:rPr>
        <w:t>《中国药典》2020年版一部）</w:t>
      </w:r>
      <w:r>
        <w:rPr>
          <w:rFonts w:ascii="Times New Roman" w:eastAsia="宋体" w:hAnsi="Times New Roman"/>
          <w:szCs w:val="21"/>
        </w:rPr>
        <w:t>。</w:t>
      </w:r>
    </w:p>
    <w:p w14:paraId="43C73183" w14:textId="77777777" w:rsidR="004342CA" w:rsidRDefault="00000000">
      <w:pPr>
        <w:spacing w:line="440" w:lineRule="exact"/>
        <w:ind w:firstLineChars="150" w:firstLine="315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注意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不宜与川乌、制川乌、草乌、制草乌、附子同用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kern w:val="0"/>
          <w:szCs w:val="21"/>
        </w:rPr>
        <w:t>同</w:t>
      </w:r>
      <w:r>
        <w:rPr>
          <w:rFonts w:asciiTheme="minorEastAsia" w:hAnsiTheme="minorEastAsia" w:cstheme="minorEastAsia" w:hint="eastAsia"/>
          <w:szCs w:val="21"/>
        </w:rPr>
        <w:t>《中国药典》2020年版一部）</w:t>
      </w:r>
      <w:r>
        <w:rPr>
          <w:rFonts w:ascii="Times New Roman" w:eastAsia="宋体" w:hAnsi="Times New Roman"/>
          <w:szCs w:val="21"/>
        </w:rPr>
        <w:t>。</w:t>
      </w:r>
    </w:p>
    <w:p w14:paraId="4BC33ADE" w14:textId="77777777" w:rsidR="004342CA" w:rsidRDefault="00000000">
      <w:pPr>
        <w:spacing w:line="440" w:lineRule="exact"/>
        <w:ind w:firstLineChars="150" w:firstLine="315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贮藏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置通风干燥处，防蛀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kern w:val="0"/>
          <w:szCs w:val="21"/>
        </w:rPr>
        <w:t>同</w:t>
      </w:r>
      <w:r>
        <w:rPr>
          <w:rFonts w:asciiTheme="minorEastAsia" w:hAnsiTheme="minorEastAsia" w:cstheme="minorEastAsia" w:hint="eastAsia"/>
          <w:szCs w:val="21"/>
        </w:rPr>
        <w:t>《中国药典》2020年版一部）</w:t>
      </w:r>
      <w:r>
        <w:rPr>
          <w:rFonts w:ascii="Times New Roman" w:eastAsia="宋体" w:hAnsi="Times New Roman"/>
          <w:szCs w:val="21"/>
        </w:rPr>
        <w:t>。</w:t>
      </w:r>
    </w:p>
    <w:p w14:paraId="1BB62D0B" w14:textId="77777777" w:rsidR="004342CA" w:rsidRDefault="004342CA">
      <w:pPr>
        <w:spacing w:line="440" w:lineRule="exact"/>
        <w:ind w:firstLineChars="150" w:firstLine="315"/>
        <w:rPr>
          <w:rFonts w:ascii="Times New Roman" w:eastAsia="宋体" w:hAnsi="Times New Roman" w:cs="Calibri"/>
          <w:szCs w:val="21"/>
        </w:rPr>
      </w:pPr>
    </w:p>
    <w:p w14:paraId="36EAC308" w14:textId="77777777" w:rsidR="004342CA" w:rsidRDefault="00000000">
      <w:pPr>
        <w:spacing w:line="440" w:lineRule="exact"/>
        <w:jc w:val="center"/>
        <w:rPr>
          <w:rFonts w:ascii="Times New Roman" w:eastAsia="宋体" w:hAnsi="Times New Roman" w:cs="Calibri"/>
          <w:szCs w:val="21"/>
        </w:rPr>
      </w:pPr>
      <w:r>
        <w:rPr>
          <w:rFonts w:ascii="Times New Roman" w:eastAsia="宋体" w:hAnsi="Times New Roman" w:cs="Calibri" w:hint="eastAsia"/>
          <w:b/>
          <w:bCs/>
          <w:szCs w:val="21"/>
        </w:rPr>
        <w:t>参</w:t>
      </w:r>
      <w:r>
        <w:rPr>
          <w:rFonts w:ascii="Times New Roman" w:eastAsia="宋体" w:hAnsi="Times New Roman" w:cs="Calibri" w:hint="eastAsia"/>
          <w:b/>
          <w:bCs/>
          <w:szCs w:val="21"/>
        </w:rPr>
        <w:t xml:space="preserve"> </w:t>
      </w:r>
      <w:r>
        <w:rPr>
          <w:rFonts w:ascii="Times New Roman" w:eastAsia="宋体" w:hAnsi="Times New Roman" w:cs="Calibri" w:hint="eastAsia"/>
          <w:b/>
          <w:bCs/>
          <w:szCs w:val="21"/>
        </w:rPr>
        <w:t>考</w:t>
      </w:r>
      <w:r>
        <w:rPr>
          <w:rFonts w:ascii="Times New Roman" w:eastAsia="宋体" w:hAnsi="Times New Roman" w:cs="Calibri" w:hint="eastAsia"/>
          <w:b/>
          <w:bCs/>
          <w:szCs w:val="21"/>
        </w:rPr>
        <w:t xml:space="preserve"> </w:t>
      </w:r>
      <w:r>
        <w:rPr>
          <w:rFonts w:ascii="Times New Roman" w:eastAsia="宋体" w:hAnsi="Times New Roman" w:cs="Calibri" w:hint="eastAsia"/>
          <w:b/>
          <w:bCs/>
          <w:szCs w:val="21"/>
        </w:rPr>
        <w:t>文</w:t>
      </w:r>
      <w:r>
        <w:rPr>
          <w:rFonts w:ascii="Times New Roman" w:eastAsia="宋体" w:hAnsi="Times New Roman" w:cs="Calibri" w:hint="eastAsia"/>
          <w:b/>
          <w:bCs/>
          <w:szCs w:val="21"/>
        </w:rPr>
        <w:t xml:space="preserve"> </w:t>
      </w:r>
      <w:r>
        <w:rPr>
          <w:rFonts w:ascii="Times New Roman" w:eastAsia="宋体" w:hAnsi="Times New Roman" w:cs="Calibri" w:hint="eastAsia"/>
          <w:b/>
          <w:bCs/>
          <w:szCs w:val="21"/>
        </w:rPr>
        <w:t>献</w:t>
      </w:r>
    </w:p>
    <w:p w14:paraId="6748E10C" w14:textId="77777777" w:rsidR="004342CA" w:rsidRDefault="00000000">
      <w:pPr>
        <w:numPr>
          <w:ilvl w:val="0"/>
          <w:numId w:val="1"/>
        </w:numPr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Calibri"/>
          <w:szCs w:val="21"/>
        </w:rPr>
        <w:t>国家药典委员会</w:t>
      </w:r>
      <w:r>
        <w:rPr>
          <w:rFonts w:ascii="Times New Roman" w:eastAsia="宋体" w:hAnsi="Times New Roman" w:cs="Calibri" w:hint="eastAsia"/>
          <w:szCs w:val="21"/>
        </w:rPr>
        <w:t>.</w:t>
      </w:r>
      <w:r>
        <w:rPr>
          <w:rFonts w:ascii="Times New Roman" w:eastAsia="宋体" w:hAnsi="Times New Roman" w:cs="Calibri" w:hint="eastAsia"/>
          <w:szCs w:val="21"/>
        </w:rPr>
        <w:t>中华人民共和国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/>
          <w:szCs w:val="21"/>
        </w:rPr>
        <w:t>2020</w:t>
      </w:r>
      <w:r>
        <w:rPr>
          <w:rFonts w:ascii="Times New Roman" w:eastAsia="宋体" w:hAnsi="Times New Roman" w:cs="Calibri"/>
          <w:szCs w:val="21"/>
        </w:rPr>
        <w:t>年版</w:t>
      </w:r>
      <w:r>
        <w:rPr>
          <w:rFonts w:ascii="Times New Roman" w:eastAsia="宋体" w:hAnsi="Times New Roman" w:cs="Calibri" w:hint="eastAsia"/>
          <w:szCs w:val="21"/>
        </w:rPr>
        <w:t>一部</w:t>
      </w:r>
      <w:r>
        <w:rPr>
          <w:rFonts w:ascii="Times New Roman" w:eastAsia="宋体" w:hAnsi="Times New Roman" w:cs="Calibri"/>
          <w:szCs w:val="21"/>
        </w:rPr>
        <w:t>.</w:t>
      </w:r>
      <w:r>
        <w:rPr>
          <w:rFonts w:ascii="Times New Roman" w:eastAsia="宋体" w:hAnsi="Times New Roman" w:cs="Calibri" w:hint="eastAsia"/>
          <w:szCs w:val="21"/>
        </w:rPr>
        <w:t>北京：</w:t>
      </w:r>
      <w:r>
        <w:rPr>
          <w:rFonts w:ascii="Times New Roman" w:eastAsia="宋体" w:hAnsi="Times New Roman" w:cs="Calibri"/>
          <w:szCs w:val="21"/>
        </w:rPr>
        <w:t>中国医药科技出版社</w:t>
      </w:r>
      <w:r>
        <w:rPr>
          <w:rFonts w:ascii="Times New Roman" w:eastAsia="宋体" w:hAnsi="Times New Roman" w:cs="Calibri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2020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124~125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p w14:paraId="71EE6CB6" w14:textId="77777777" w:rsidR="004342CA" w:rsidRDefault="004342CA">
      <w:pPr>
        <w:spacing w:line="360" w:lineRule="auto"/>
        <w:ind w:right="480" w:firstLineChars="1200" w:firstLine="2880"/>
        <w:rPr>
          <w:rFonts w:ascii="Times New Roman" w:eastAsia="宋体" w:hAnsi="Times New Roman" w:cs="Times New Roman"/>
          <w:kern w:val="0"/>
          <w:sz w:val="24"/>
          <w:szCs w:val="24"/>
          <w:shd w:val="clear" w:color="auto" w:fill="FFFFFF"/>
        </w:rPr>
      </w:pPr>
    </w:p>
    <w:p w14:paraId="62CD7CC6" w14:textId="77777777" w:rsidR="004342CA" w:rsidRDefault="00000000">
      <w:pPr>
        <w:spacing w:line="360" w:lineRule="auto"/>
        <w:ind w:right="480" w:firstLineChars="1200" w:firstLine="2880"/>
        <w:rPr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  <w:shd w:val="clear" w:color="auto" w:fill="FFFFFF"/>
        </w:rPr>
        <w:t>研究起草：</w:t>
      </w:r>
      <w:proofErr w:type="gramStart"/>
      <w:r>
        <w:rPr>
          <w:rFonts w:ascii="Times New Roman" w:eastAsia="宋体" w:hAnsi="Times New Roman" w:cs="Calibri" w:hint="eastAsia"/>
          <w:sz w:val="24"/>
          <w:szCs w:val="24"/>
        </w:rPr>
        <w:t>安素芳</w:t>
      </w:r>
      <w:proofErr w:type="gramEnd"/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  <w:shd w:val="clear" w:color="auto" w:fill="FFFFFF"/>
          <w:vertAlign w:val="superscript"/>
        </w:rPr>
        <w:t>1</w:t>
      </w:r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  <w:shd w:val="clear" w:color="auto" w:fill="FFFFFF"/>
        </w:rPr>
        <w:t xml:space="preserve"> </w:t>
      </w:r>
      <w:r>
        <w:rPr>
          <w:rFonts w:eastAsia="宋体" w:hint="eastAsia"/>
          <w:sz w:val="24"/>
          <w:szCs w:val="24"/>
        </w:rPr>
        <w:t>连云岚</w:t>
      </w:r>
      <w:r>
        <w:rPr>
          <w:rFonts w:hint="eastAsia"/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 xml:space="preserve"> </w:t>
      </w:r>
      <w:proofErr w:type="gramStart"/>
      <w:r>
        <w:rPr>
          <w:rFonts w:ascii="Times New Roman" w:eastAsia="宋体" w:hAnsi="Times New Roman" w:cs="Calibri" w:hint="eastAsia"/>
          <w:sz w:val="24"/>
          <w:szCs w:val="24"/>
        </w:rPr>
        <w:t>胡增富</w:t>
      </w:r>
      <w:proofErr w:type="gramEnd"/>
      <w:r>
        <w:rPr>
          <w:rFonts w:hint="eastAsia"/>
          <w:sz w:val="24"/>
          <w:szCs w:val="24"/>
          <w:vertAlign w:val="superscript"/>
        </w:rPr>
        <w:t>1</w:t>
      </w:r>
      <w:r>
        <w:rPr>
          <w:rFonts w:hint="eastAsia"/>
          <w:sz w:val="24"/>
          <w:szCs w:val="24"/>
        </w:rPr>
        <w:t xml:space="preserve"> </w:t>
      </w:r>
    </w:p>
    <w:p w14:paraId="00389F1C" w14:textId="77777777" w:rsidR="004342CA" w:rsidRDefault="00000000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研究单位：</w:t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山西元和堂中药有限公司</w:t>
      </w:r>
    </w:p>
    <w:p w14:paraId="173CAD39" w14:textId="77777777" w:rsidR="004342CA" w:rsidRDefault="00000000">
      <w:pPr>
        <w:spacing w:line="360" w:lineRule="auto"/>
        <w:ind w:firstLineChars="1700" w:firstLine="4080"/>
        <w:rPr>
          <w:rFonts w:ascii="Times New Roman" w:eastAsia="宋体" w:hAnsi="Times New Roman" w:cs="Times New Roman"/>
          <w:bCs/>
          <w:kern w:val="0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原</w:t>
      </w:r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  <w:shd w:val="clear" w:color="auto" w:fill="FFFFFF"/>
        </w:rPr>
        <w:t>山西省食品药品检验所</w:t>
      </w:r>
    </w:p>
    <w:p w14:paraId="0DCE1218" w14:textId="77777777" w:rsidR="004342CA" w:rsidRDefault="00000000">
      <w:pPr>
        <w:spacing w:line="360" w:lineRule="auto"/>
        <w:ind w:firstLineChars="1200" w:firstLine="2880"/>
        <w:rPr>
          <w:rFonts w:ascii="Times New Roman" w:eastAsia="宋体" w:hAnsi="Times New Roman" w:cs="Times New Roman"/>
          <w:bCs/>
          <w:kern w:val="0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</w:rPr>
        <w:t>复核单位：原</w:t>
      </w:r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  <w:shd w:val="clear" w:color="auto" w:fill="FFFFFF"/>
        </w:rPr>
        <w:t>山西省食品药品检验所</w:t>
      </w:r>
    </w:p>
    <w:p w14:paraId="3598CEE9" w14:textId="77777777" w:rsidR="004342CA" w:rsidRDefault="00000000">
      <w:pPr>
        <w:spacing w:line="360" w:lineRule="auto"/>
        <w:ind w:firstLineChars="1200" w:firstLine="2880"/>
        <w:contextualSpacing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  <w:shd w:val="clear" w:color="auto" w:fill="FFFFFF"/>
        </w:rPr>
        <w:t>审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  <w:shd w:val="clear" w:color="auto" w:fill="FFFFFF"/>
        </w:rPr>
        <w:t xml:space="preserve">   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  <w:shd w:val="clear" w:color="auto" w:fill="FFFFFF"/>
        </w:rPr>
        <w:t>校：</w:t>
      </w:r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  <w:shd w:val="clear" w:color="auto" w:fill="FFFFFF"/>
        </w:rPr>
        <w:t>连云岚</w:t>
      </w:r>
    </w:p>
    <w:p w14:paraId="4246826A" w14:textId="77777777" w:rsidR="004342CA" w:rsidRDefault="004342CA">
      <w:pPr>
        <w:spacing w:line="440" w:lineRule="exact"/>
        <w:rPr>
          <w:rFonts w:ascii="Times New Roman" w:eastAsia="宋体" w:hAnsi="Times New Roman" w:cs="Times New Roman"/>
          <w:szCs w:val="21"/>
        </w:rPr>
      </w:pPr>
    </w:p>
    <w:sectPr w:rsidR="004342CA">
      <w:pgSz w:w="11906" w:h="16838"/>
      <w:pgMar w:top="1440" w:right="170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DejaVu Sans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CCDAED"/>
    <w:multiLevelType w:val="singleLevel"/>
    <w:tmpl w:val="7FCCDAED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num w:numId="1" w16cid:durableId="123766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62F"/>
    <w:rsid w:val="95F319BF"/>
    <w:rsid w:val="E7664900"/>
    <w:rsid w:val="FBF6090D"/>
    <w:rsid w:val="000130D8"/>
    <w:rsid w:val="000307B2"/>
    <w:rsid w:val="000347DF"/>
    <w:rsid w:val="00050A76"/>
    <w:rsid w:val="00064632"/>
    <w:rsid w:val="000D0C9D"/>
    <w:rsid w:val="000D4922"/>
    <w:rsid w:val="000E52A0"/>
    <w:rsid w:val="000E7C4D"/>
    <w:rsid w:val="0010200E"/>
    <w:rsid w:val="00111FA5"/>
    <w:rsid w:val="001146B8"/>
    <w:rsid w:val="00183C1D"/>
    <w:rsid w:val="001A123B"/>
    <w:rsid w:val="001B74E3"/>
    <w:rsid w:val="001C4BDA"/>
    <w:rsid w:val="001F3C10"/>
    <w:rsid w:val="0020591D"/>
    <w:rsid w:val="00214A31"/>
    <w:rsid w:val="00234705"/>
    <w:rsid w:val="00243F00"/>
    <w:rsid w:val="00247CD4"/>
    <w:rsid w:val="00247FBE"/>
    <w:rsid w:val="002668B9"/>
    <w:rsid w:val="00266B62"/>
    <w:rsid w:val="00293353"/>
    <w:rsid w:val="002956F4"/>
    <w:rsid w:val="002958F7"/>
    <w:rsid w:val="002E2A2E"/>
    <w:rsid w:val="0031351A"/>
    <w:rsid w:val="003351F2"/>
    <w:rsid w:val="00340FD6"/>
    <w:rsid w:val="00361B72"/>
    <w:rsid w:val="003661E0"/>
    <w:rsid w:val="00375AA0"/>
    <w:rsid w:val="00380441"/>
    <w:rsid w:val="00386FE8"/>
    <w:rsid w:val="003A3A16"/>
    <w:rsid w:val="003A46AF"/>
    <w:rsid w:val="003A7587"/>
    <w:rsid w:val="0040088E"/>
    <w:rsid w:val="00406718"/>
    <w:rsid w:val="0041362F"/>
    <w:rsid w:val="0042533A"/>
    <w:rsid w:val="004342CA"/>
    <w:rsid w:val="00447983"/>
    <w:rsid w:val="00450D9F"/>
    <w:rsid w:val="00461482"/>
    <w:rsid w:val="00467C09"/>
    <w:rsid w:val="004A2147"/>
    <w:rsid w:val="004B0FAB"/>
    <w:rsid w:val="004F5F97"/>
    <w:rsid w:val="004F6FED"/>
    <w:rsid w:val="00531B9C"/>
    <w:rsid w:val="00532FE1"/>
    <w:rsid w:val="00535205"/>
    <w:rsid w:val="00535FCE"/>
    <w:rsid w:val="00540209"/>
    <w:rsid w:val="00552BDD"/>
    <w:rsid w:val="00553CC0"/>
    <w:rsid w:val="00565F66"/>
    <w:rsid w:val="005665D7"/>
    <w:rsid w:val="005667F9"/>
    <w:rsid w:val="005A0F38"/>
    <w:rsid w:val="005B3B8A"/>
    <w:rsid w:val="005E1968"/>
    <w:rsid w:val="005F1254"/>
    <w:rsid w:val="0062281F"/>
    <w:rsid w:val="00632E32"/>
    <w:rsid w:val="00650764"/>
    <w:rsid w:val="00661018"/>
    <w:rsid w:val="006619DB"/>
    <w:rsid w:val="0068097A"/>
    <w:rsid w:val="006A1980"/>
    <w:rsid w:val="006E194A"/>
    <w:rsid w:val="00701DF3"/>
    <w:rsid w:val="00706206"/>
    <w:rsid w:val="007119EE"/>
    <w:rsid w:val="00713255"/>
    <w:rsid w:val="00716B75"/>
    <w:rsid w:val="00716EFA"/>
    <w:rsid w:val="00736CDC"/>
    <w:rsid w:val="0075168F"/>
    <w:rsid w:val="00764A94"/>
    <w:rsid w:val="007663FF"/>
    <w:rsid w:val="00782E52"/>
    <w:rsid w:val="007A10D2"/>
    <w:rsid w:val="007A7323"/>
    <w:rsid w:val="007B40F6"/>
    <w:rsid w:val="007C6C73"/>
    <w:rsid w:val="007D0FBA"/>
    <w:rsid w:val="007D269F"/>
    <w:rsid w:val="007D3268"/>
    <w:rsid w:val="007D4F6D"/>
    <w:rsid w:val="007E732F"/>
    <w:rsid w:val="0085244A"/>
    <w:rsid w:val="008B3638"/>
    <w:rsid w:val="008D5FFB"/>
    <w:rsid w:val="008E0A51"/>
    <w:rsid w:val="008F4419"/>
    <w:rsid w:val="00906109"/>
    <w:rsid w:val="00907C95"/>
    <w:rsid w:val="009178AA"/>
    <w:rsid w:val="00936269"/>
    <w:rsid w:val="0096789F"/>
    <w:rsid w:val="009741FE"/>
    <w:rsid w:val="00991FCE"/>
    <w:rsid w:val="009E5153"/>
    <w:rsid w:val="009E5E2B"/>
    <w:rsid w:val="00A30E9A"/>
    <w:rsid w:val="00A40BA7"/>
    <w:rsid w:val="00A525B2"/>
    <w:rsid w:val="00AA299B"/>
    <w:rsid w:val="00AA56C6"/>
    <w:rsid w:val="00AC7EB9"/>
    <w:rsid w:val="00B00534"/>
    <w:rsid w:val="00B46481"/>
    <w:rsid w:val="00B51142"/>
    <w:rsid w:val="00B84B2E"/>
    <w:rsid w:val="00BB0C62"/>
    <w:rsid w:val="00BB5284"/>
    <w:rsid w:val="00BC2649"/>
    <w:rsid w:val="00C03E6C"/>
    <w:rsid w:val="00C100B8"/>
    <w:rsid w:val="00C46894"/>
    <w:rsid w:val="00C836AC"/>
    <w:rsid w:val="00CD1EC8"/>
    <w:rsid w:val="00CE1B69"/>
    <w:rsid w:val="00CE2A8B"/>
    <w:rsid w:val="00D2051C"/>
    <w:rsid w:val="00D43689"/>
    <w:rsid w:val="00D45080"/>
    <w:rsid w:val="00D46BD4"/>
    <w:rsid w:val="00D6057F"/>
    <w:rsid w:val="00D77A46"/>
    <w:rsid w:val="00D97495"/>
    <w:rsid w:val="00DA2487"/>
    <w:rsid w:val="00DA3012"/>
    <w:rsid w:val="00DD45E6"/>
    <w:rsid w:val="00DD622D"/>
    <w:rsid w:val="00E020A7"/>
    <w:rsid w:val="00E0319B"/>
    <w:rsid w:val="00E51A2E"/>
    <w:rsid w:val="00E6091A"/>
    <w:rsid w:val="00E64654"/>
    <w:rsid w:val="00E721CB"/>
    <w:rsid w:val="00E7772C"/>
    <w:rsid w:val="00E83AFE"/>
    <w:rsid w:val="00E872C0"/>
    <w:rsid w:val="00E975A8"/>
    <w:rsid w:val="00ED32EE"/>
    <w:rsid w:val="00EE54FA"/>
    <w:rsid w:val="00EF152A"/>
    <w:rsid w:val="00F01356"/>
    <w:rsid w:val="00F017C3"/>
    <w:rsid w:val="00F0267E"/>
    <w:rsid w:val="00F13052"/>
    <w:rsid w:val="00F13E20"/>
    <w:rsid w:val="00F23DBD"/>
    <w:rsid w:val="00F409F4"/>
    <w:rsid w:val="00F60914"/>
    <w:rsid w:val="00F677B0"/>
    <w:rsid w:val="00F87DFD"/>
    <w:rsid w:val="00FA7943"/>
    <w:rsid w:val="00FF1946"/>
    <w:rsid w:val="00FF6801"/>
    <w:rsid w:val="011E0F53"/>
    <w:rsid w:val="01517CE5"/>
    <w:rsid w:val="09630E5D"/>
    <w:rsid w:val="0C1A5E48"/>
    <w:rsid w:val="0CA20E3D"/>
    <w:rsid w:val="0DFF6E23"/>
    <w:rsid w:val="0FDC60ED"/>
    <w:rsid w:val="11877572"/>
    <w:rsid w:val="156828E6"/>
    <w:rsid w:val="1DDA519A"/>
    <w:rsid w:val="1FED609E"/>
    <w:rsid w:val="20BA6EEC"/>
    <w:rsid w:val="21897E85"/>
    <w:rsid w:val="2F423341"/>
    <w:rsid w:val="326B2DD3"/>
    <w:rsid w:val="33191648"/>
    <w:rsid w:val="41B50EA3"/>
    <w:rsid w:val="44546CD9"/>
    <w:rsid w:val="45930DF0"/>
    <w:rsid w:val="498C4DDA"/>
    <w:rsid w:val="4C327E04"/>
    <w:rsid w:val="4CD643FA"/>
    <w:rsid w:val="4E3D6820"/>
    <w:rsid w:val="510004A7"/>
    <w:rsid w:val="590F0E54"/>
    <w:rsid w:val="5DC1366D"/>
    <w:rsid w:val="5E79552A"/>
    <w:rsid w:val="5F3C0240"/>
    <w:rsid w:val="67BE106E"/>
    <w:rsid w:val="6FA81B51"/>
    <w:rsid w:val="759F7141"/>
    <w:rsid w:val="762B1D0A"/>
    <w:rsid w:val="76597FCF"/>
    <w:rsid w:val="7A4A1573"/>
    <w:rsid w:val="7C0C4EA5"/>
    <w:rsid w:val="7F8A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F84D76"/>
  <w15:docId w15:val="{889B42F9-8781-4DCE-BE45-FC9E1E29D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pPr>
      <w:keepNext/>
      <w:widowControl/>
      <w:spacing w:before="260" w:after="260" w:line="412" w:lineRule="auto"/>
      <w:outlineLvl w:val="1"/>
    </w:pPr>
    <w:rPr>
      <w:rFonts w:ascii="Arial Black" w:eastAsia="宋体" w:hAnsi="Arial Black" w:cs="Times New Roman"/>
      <w:b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460</Words>
  <Characters>2624</Characters>
  <Application>Microsoft Office Word</Application>
  <DocSecurity>0</DocSecurity>
  <Lines>21</Lines>
  <Paragraphs>6</Paragraphs>
  <ScaleCrop>false</ScaleCrop>
  <Company>微软中国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97</cp:revision>
  <cp:lastPrinted>2021-01-08T08:45:00Z</cp:lastPrinted>
  <dcterms:created xsi:type="dcterms:W3CDTF">2020-11-11T05:34:00Z</dcterms:created>
  <dcterms:modified xsi:type="dcterms:W3CDTF">2022-07-28T02:08:00Z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DEA53B4FBDA04CDFA26AFB3272C8A674</vt:lpwstr>
  </property>
</Properties>
</file>