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jc w:val="center"/>
        <w:rPr>
          <w:rFonts w:hint="eastAsia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t>玄  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sz w:val="24"/>
          <w:szCs w:val="20"/>
        </w:rPr>
      </w:pPr>
      <w:r>
        <w:rPr>
          <w:rFonts w:ascii="Times New Roman" w:hAnsi="Times New Roman" w:eastAsia="宋体" w:cs="Times New Roman"/>
          <w:b/>
          <w:sz w:val="24"/>
          <w:szCs w:val="20"/>
        </w:rPr>
        <w:t>Xuanshen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SCROPHULARIAE RADIX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本品为玄参科植物玄参S</w:t>
      </w:r>
      <w:r>
        <w:rPr>
          <w:rFonts w:ascii="Times New Roman" w:hAnsi="Times New Roman" w:eastAsia="宋体" w:cs="Calibri"/>
          <w:i/>
          <w:iCs/>
          <w:sz w:val="21"/>
          <w:szCs w:val="21"/>
        </w:rPr>
        <w:t>crophularia ningpoensis</w:t>
      </w:r>
      <w:r>
        <w:rPr>
          <w:rFonts w:ascii="Times New Roman" w:hAnsi="Times New Roman" w:eastAsia="宋体" w:cs="Calibri"/>
          <w:sz w:val="21"/>
          <w:szCs w:val="21"/>
        </w:rPr>
        <w:t xml:space="preserve"> Hemsl.的干燥根</w:t>
      </w:r>
      <w:r>
        <w:rPr>
          <w:rFonts w:ascii="Times New Roman" w:hAnsi="Times New Roman" w:eastAsia="宋体"/>
          <w:sz w:val="21"/>
          <w:szCs w:val="21"/>
        </w:rPr>
        <w:t>的炮制加工品。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炮制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Calibri"/>
          <w:sz w:val="21"/>
          <w:szCs w:val="21"/>
          <w:lang w:eastAsia="zh-CN"/>
        </w:rPr>
        <w:t>取原药材，</w:t>
      </w:r>
      <w:r>
        <w:rPr>
          <w:rFonts w:ascii="Times New Roman" w:hAnsi="Times New Roman" w:eastAsia="宋体" w:cs="Calibri"/>
          <w:sz w:val="21"/>
          <w:szCs w:val="21"/>
        </w:rPr>
        <w:t>除去残留根茎和杂质，洗净，润透，切厚片，干燥；或微泡，蒸透，稍晾，切厚片，干燥。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性状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本品呈类圆形或椭圆形的厚片。外表皮灰黄色或灰褐色。切面黑色，微有光泽，有的具裂隙。气特异似焦糖，味甘、微苦。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鉴别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取本品粉末2g，加甲醇25ml，浸泡1小时，超声处理30分钟，滤过，滤液蒸干，残渣加水25ml使溶解，用水饱和的正丁醇振摇提取2次，每次30ml，合并正丁醇液，蒸干，残渣加甲醇5ml使溶解，作为供试品溶液。另取玄参对照药材2g，同法制成对照药材溶液。再取哈巴俄苷对照品，加甲醇制成每1ml含1mg的溶液，作为对照品溶液。照薄层色谱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通则0502）试验，吸取上述三种溶液各4μl，分别点于同一硅胶G薄层板上，以三氯甲烷-甲醇-水（12:4:1）的下层溶液为展开剂，置用展开剂预饱和15分钟的展开缸内，展开，取出，晾干，喷以5%香草醛硫酸溶液，热风吹至斑点显色清晰。供试品色谱中，在与对照药材色谱和对照品色谱相应的位置上，显相同颜色的斑点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检查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b/>
          <w:sz w:val="21"/>
          <w:szCs w:val="21"/>
        </w:rPr>
        <w:t>水分</w:t>
      </w:r>
      <w:r>
        <w:rPr>
          <w:rFonts w:ascii="Times New Roman" w:hAnsi="Times New Roman" w:eastAsia="宋体" w:cs="Calibri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不得过16.0%（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四部通则0832第二法）。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27" w:firstLineChars="250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b/>
          <w:sz w:val="21"/>
          <w:szCs w:val="21"/>
        </w:rPr>
        <w:t>总灰分</w:t>
      </w:r>
      <w:r>
        <w:rPr>
          <w:rFonts w:ascii="Times New Roman" w:hAnsi="Times New Roman" w:eastAsia="宋体" w:cs="Calibri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不得过5.0%（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四部通则2302）。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27" w:firstLineChars="250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b/>
          <w:sz w:val="21"/>
          <w:szCs w:val="21"/>
        </w:rPr>
        <w:t>酸不溶性灰分</w:t>
      </w:r>
      <w:r>
        <w:rPr>
          <w:rFonts w:ascii="Times New Roman" w:hAnsi="Times New Roman" w:eastAsia="宋体" w:cs="Calibri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不得过2.0%（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 xml:space="preserve">四部通则2302）。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浸出物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照水溶性浸出物测定法（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四部通则2201）项下的热浸法测定，不得少于60.0%。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含量测定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</w:t>
      </w:r>
      <w:r>
        <w:rPr>
          <w:rFonts w:ascii="Times New Roman" w:hAnsi="Times New Roman" w:eastAsia="宋体" w:cs="Calibri"/>
          <w:sz w:val="21"/>
          <w:szCs w:val="21"/>
        </w:rPr>
        <w:t>照高效液相色谱法（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四部通则0512）测定。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b/>
          <w:sz w:val="21"/>
          <w:szCs w:val="21"/>
        </w:rPr>
        <w:t>色谱条件与系统适用性试验</w:t>
      </w: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Calibri"/>
          <w:sz w:val="21"/>
          <w:szCs w:val="21"/>
        </w:rPr>
        <w:t xml:space="preserve"> 以十八烷基硅烷键合硅胶为填充剂；以乙腈为流动相A，以0.03%磷酸溶液为流动相B，按下表中的规定进行梯度洗脱；检测波长为210nm。理论板数按哈巴俄苷与哈巴苷峰计算均应不低于5000。</w:t>
      </w:r>
    </w:p>
    <w:tbl>
      <w:tblPr>
        <w:tblStyle w:val="7"/>
        <w:tblW w:w="829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Calibri"/>
                <w:sz w:val="21"/>
                <w:szCs w:val="21"/>
              </w:rPr>
            </w:pPr>
            <w:r>
              <w:rPr>
                <w:rFonts w:ascii="Times New Roman" w:hAnsi="Times New Roman" w:eastAsia="宋体" w:cs="Calibri"/>
                <w:sz w:val="21"/>
                <w:szCs w:val="21"/>
              </w:rPr>
              <w:t>时间（分钟）</w:t>
            </w:r>
          </w:p>
        </w:tc>
        <w:tc>
          <w:tcPr>
            <w:tcW w:w="2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Calibri"/>
                <w:sz w:val="21"/>
                <w:szCs w:val="21"/>
              </w:rPr>
            </w:pPr>
            <w:r>
              <w:rPr>
                <w:rFonts w:ascii="Times New Roman" w:hAnsi="Times New Roman" w:eastAsia="宋体" w:cs="Calibri"/>
                <w:sz w:val="21"/>
                <w:szCs w:val="21"/>
              </w:rPr>
              <w:t>流动相A（%）</w:t>
            </w:r>
          </w:p>
        </w:tc>
        <w:tc>
          <w:tcPr>
            <w:tcW w:w="27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Calibri"/>
                <w:sz w:val="21"/>
                <w:szCs w:val="21"/>
              </w:rPr>
            </w:pPr>
            <w:r>
              <w:rPr>
                <w:rFonts w:ascii="Times New Roman" w:hAnsi="Times New Roman" w:eastAsia="宋体" w:cs="Calibri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single" w:color="auto" w:sz="4" w:space="0"/>
            </w:tcBorders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0~10</w:t>
            </w:r>
          </w:p>
        </w:tc>
        <w:tc>
          <w:tcPr>
            <w:tcW w:w="2765" w:type="dxa"/>
            <w:tcBorders>
              <w:top w:val="single" w:color="auto" w:sz="4" w:space="0"/>
            </w:tcBorders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3→10</w:t>
            </w:r>
          </w:p>
        </w:tc>
        <w:tc>
          <w:tcPr>
            <w:tcW w:w="2766" w:type="dxa"/>
            <w:tcBorders>
              <w:top w:val="single" w:color="auto" w:sz="4" w:space="0"/>
            </w:tcBorders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97→90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10~20</w:t>
            </w:r>
          </w:p>
        </w:tc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10→33</w:t>
            </w:r>
          </w:p>
        </w:tc>
        <w:tc>
          <w:tcPr>
            <w:tcW w:w="2766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90→67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20~25</w:t>
            </w:r>
          </w:p>
        </w:tc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33→50</w:t>
            </w:r>
          </w:p>
        </w:tc>
        <w:tc>
          <w:tcPr>
            <w:tcW w:w="2766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67→50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25~30</w:t>
            </w:r>
          </w:p>
        </w:tc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50→80</w:t>
            </w:r>
          </w:p>
        </w:tc>
        <w:tc>
          <w:tcPr>
            <w:tcW w:w="2766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50→20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30~35</w:t>
            </w:r>
          </w:p>
        </w:tc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</w:t>
            </w:r>
          </w:p>
        </w:tc>
        <w:tc>
          <w:tcPr>
            <w:tcW w:w="2766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35~37</w:t>
            </w:r>
          </w:p>
        </w:tc>
        <w:tc>
          <w:tcPr>
            <w:tcW w:w="2765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80→3</w:t>
            </w:r>
          </w:p>
        </w:tc>
        <w:tc>
          <w:tcPr>
            <w:tcW w:w="2766" w:type="dxa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37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20→97</w:t>
            </w:r>
          </w:p>
        </w:tc>
      </w:tr>
    </w:tbl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b/>
          <w:sz w:val="21"/>
          <w:szCs w:val="21"/>
        </w:rPr>
        <w:t>对照品溶液的制备</w:t>
      </w:r>
      <w:r>
        <w:rPr>
          <w:rFonts w:ascii="Times New Roman" w:hAnsi="Times New Roman" w:eastAsia="宋体" w:cs="Calibri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Calibri"/>
          <w:sz w:val="21"/>
          <w:szCs w:val="21"/>
        </w:rPr>
        <w:t>取哈巴苷对照品、哈巴俄苷对照品适量，精密称定，加30%甲醇制成每1ml含哈巴苷60μg、哈巴俄苷20μg的混合溶液，即得。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b/>
          <w:sz w:val="21"/>
          <w:szCs w:val="21"/>
        </w:rPr>
        <w:t xml:space="preserve">供试品溶液的制备 </w:t>
      </w: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Calibri"/>
          <w:sz w:val="21"/>
          <w:szCs w:val="21"/>
        </w:rPr>
        <w:t>取本品粉末（过三号筛）约0.5g，精密称定，置具塞锥形瓶中，精密加入50%甲醇50ml，密塞，称定重量，浸泡1小时，超声处理（功率500W，频率40kHz）45分钟，放冷，再称定重量，用50%甲醇补足减失的重量，摇匀，滤过，取续滤液，即得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b/>
          <w:sz w:val="21"/>
          <w:szCs w:val="21"/>
        </w:rPr>
        <w:t xml:space="preserve">测定法 </w:t>
      </w: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Calibri"/>
          <w:sz w:val="21"/>
          <w:szCs w:val="21"/>
        </w:rPr>
        <w:t>分别精密吸取对照品溶液与供试品溶液各10μl，注入液相色谱仪，测定，即得。</w:t>
      </w:r>
      <w:bookmarkStart w:id="0" w:name="_GoBack"/>
      <w:bookmarkEnd w:id="0"/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1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本品按干燥品计算，含哈巴苷（C</w:t>
      </w:r>
      <w:r>
        <w:rPr>
          <w:rFonts w:ascii="Times New Roman" w:hAnsi="Times New Roman" w:eastAsia="宋体" w:cs="Calibri"/>
          <w:sz w:val="21"/>
          <w:szCs w:val="21"/>
          <w:vertAlign w:val="subscript"/>
        </w:rPr>
        <w:t>15</w:t>
      </w:r>
      <w:r>
        <w:rPr>
          <w:rFonts w:ascii="Times New Roman" w:hAnsi="Times New Roman" w:eastAsia="宋体" w:cs="Calibri"/>
          <w:sz w:val="21"/>
          <w:szCs w:val="21"/>
        </w:rPr>
        <w:t>H</w:t>
      </w:r>
      <w:r>
        <w:rPr>
          <w:rFonts w:ascii="Times New Roman" w:hAnsi="Times New Roman" w:eastAsia="宋体" w:cs="Calibri"/>
          <w:sz w:val="21"/>
          <w:szCs w:val="21"/>
          <w:vertAlign w:val="subscript"/>
        </w:rPr>
        <w:t>24</w:t>
      </w:r>
      <w:r>
        <w:rPr>
          <w:rFonts w:ascii="Times New Roman" w:hAnsi="Times New Roman" w:eastAsia="宋体" w:cs="Calibri"/>
          <w:sz w:val="21"/>
          <w:szCs w:val="21"/>
        </w:rPr>
        <w:t>O</w:t>
      </w:r>
      <w:r>
        <w:rPr>
          <w:rFonts w:ascii="Times New Roman" w:hAnsi="Times New Roman" w:eastAsia="宋体" w:cs="Calibri"/>
          <w:sz w:val="21"/>
          <w:szCs w:val="21"/>
          <w:vertAlign w:val="subscript"/>
        </w:rPr>
        <w:t>10</w:t>
      </w:r>
      <w:r>
        <w:rPr>
          <w:rFonts w:ascii="Times New Roman" w:hAnsi="Times New Roman" w:eastAsia="宋体" w:cs="Calibri"/>
          <w:sz w:val="21"/>
          <w:szCs w:val="21"/>
        </w:rPr>
        <w:t>）和哈巴俄苷（C</w:t>
      </w:r>
      <w:r>
        <w:rPr>
          <w:rFonts w:ascii="Times New Roman" w:hAnsi="Times New Roman" w:eastAsia="宋体" w:cs="Calibri"/>
          <w:sz w:val="21"/>
          <w:szCs w:val="21"/>
          <w:vertAlign w:val="subscript"/>
        </w:rPr>
        <w:t>24</w:t>
      </w:r>
      <w:r>
        <w:rPr>
          <w:rFonts w:ascii="Times New Roman" w:hAnsi="Times New Roman" w:eastAsia="宋体" w:cs="Calibri"/>
          <w:sz w:val="21"/>
          <w:szCs w:val="21"/>
        </w:rPr>
        <w:t>H</w:t>
      </w:r>
      <w:r>
        <w:rPr>
          <w:rFonts w:ascii="Times New Roman" w:hAnsi="Times New Roman" w:eastAsia="宋体" w:cs="Calibri"/>
          <w:sz w:val="21"/>
          <w:szCs w:val="21"/>
          <w:vertAlign w:val="subscript"/>
        </w:rPr>
        <w:t>3O</w:t>
      </w:r>
      <w:r>
        <w:rPr>
          <w:rFonts w:ascii="Times New Roman" w:hAnsi="Times New Roman" w:eastAsia="宋体" w:cs="Calibri"/>
          <w:sz w:val="21"/>
          <w:szCs w:val="21"/>
        </w:rPr>
        <w:t>O</w:t>
      </w:r>
      <w:r>
        <w:rPr>
          <w:rFonts w:ascii="Times New Roman" w:hAnsi="Times New Roman" w:eastAsia="宋体" w:cs="Calibri"/>
          <w:sz w:val="21"/>
          <w:szCs w:val="21"/>
          <w:vertAlign w:val="subscript"/>
        </w:rPr>
        <w:t>11</w:t>
      </w:r>
      <w:r>
        <w:rPr>
          <w:rFonts w:ascii="Times New Roman" w:hAnsi="Times New Roman" w:eastAsia="宋体" w:cs="Calibri"/>
          <w:sz w:val="21"/>
          <w:szCs w:val="21"/>
        </w:rPr>
        <w:t>）的总量不得少于0.45%。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性味与归经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 </w:t>
      </w:r>
      <w:r>
        <w:rPr>
          <w:rFonts w:ascii="Times New Roman" w:hAnsi="Times New Roman" w:eastAsia="宋体" w:cs="Calibri"/>
          <w:sz w:val="21"/>
          <w:szCs w:val="21"/>
        </w:rPr>
        <w:t>甘、苦、咸，微寒。归肺、胃、肾经。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功能与主治】</w:t>
      </w:r>
      <w:r>
        <w:rPr>
          <w:rFonts w:hint="eastAsia" w:ascii="Times New Roman" w:hAnsi="Times New Roman" w:eastAsia="宋体" w:cs="Calibri"/>
          <w:b/>
          <w:sz w:val="21"/>
          <w:szCs w:val="21"/>
        </w:rPr>
        <w:t xml:space="preserve">  </w:t>
      </w:r>
      <w:r>
        <w:rPr>
          <w:rFonts w:ascii="Times New Roman" w:hAnsi="Times New Roman" w:eastAsia="宋体" w:cs="Calibri"/>
          <w:sz w:val="21"/>
          <w:szCs w:val="21"/>
        </w:rPr>
        <w:t>清热凉血，滋阴降火，解毒散结。用于热入营血，温毒发斑，热病伤阴，舌绛烦渴，津伤便秘，骨蒸劳嗽，目赤，咽痛，白喉，瘰病，痈肿疮毒。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用法与用量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 </w:t>
      </w:r>
      <w:r>
        <w:rPr>
          <w:rFonts w:ascii="Times New Roman" w:hAnsi="Times New Roman" w:eastAsia="宋体" w:cs="Calibri"/>
          <w:sz w:val="21"/>
          <w:szCs w:val="21"/>
        </w:rPr>
        <w:t>9</w:t>
      </w:r>
      <w:r>
        <w:rPr>
          <w:rFonts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Calibri"/>
          <w:sz w:val="21"/>
          <w:szCs w:val="21"/>
        </w:rPr>
        <w:t xml:space="preserve">15g。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注意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 </w:t>
      </w:r>
      <w:r>
        <w:rPr>
          <w:rFonts w:ascii="Times New Roman" w:hAnsi="Times New Roman" w:eastAsia="宋体" w:cs="Calibri"/>
          <w:sz w:val="21"/>
          <w:szCs w:val="21"/>
        </w:rPr>
        <w:t>不宜与藜芦同用。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Calibri"/>
          <w:sz w:val="21"/>
          <w:szCs w:val="21"/>
        </w:rPr>
      </w:pPr>
      <w:r>
        <w:rPr>
          <w:rFonts w:ascii="Times New Roman" w:hAnsi="Times New Roman" w:eastAsia="宋体" w:cs="Calibri"/>
          <w:sz w:val="21"/>
          <w:szCs w:val="21"/>
        </w:rPr>
        <w:t>【</w:t>
      </w:r>
      <w:r>
        <w:rPr>
          <w:rFonts w:ascii="Times New Roman" w:hAnsi="Times New Roman" w:eastAsia="宋体" w:cs="Calibri"/>
          <w:b/>
          <w:sz w:val="21"/>
          <w:szCs w:val="21"/>
        </w:rPr>
        <w:t>贮藏</w:t>
      </w:r>
      <w:r>
        <w:rPr>
          <w:rFonts w:ascii="Times New Roman" w:hAnsi="Times New Roman" w:eastAsia="宋体" w:cs="Calibri"/>
          <w:sz w:val="21"/>
          <w:szCs w:val="21"/>
        </w:rPr>
        <w:t>】</w:t>
      </w:r>
      <w:r>
        <w:rPr>
          <w:rFonts w:hint="eastAsia" w:ascii="Times New Roman" w:hAnsi="Times New Roman" w:eastAsia="宋体" w:cs="Calibri"/>
          <w:sz w:val="21"/>
          <w:szCs w:val="21"/>
        </w:rPr>
        <w:t xml:space="preserve">  </w:t>
      </w:r>
      <w:r>
        <w:rPr>
          <w:rFonts w:ascii="Times New Roman" w:hAnsi="Times New Roman" w:eastAsia="宋体" w:cs="Calibri"/>
          <w:sz w:val="21"/>
          <w:szCs w:val="21"/>
        </w:rPr>
        <w:t>置干燥处，防霉，防蛀。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Times New Roman" w:hAnsi="Times New Roman" w:eastAsia="宋体" w:cs="Calibri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Black">
    <w:altName w:val="DejaVu Sans"/>
    <w:panose1 w:val="020B0A04020102020204"/>
    <w:charset w:val="00"/>
    <w:family w:val="swiss"/>
    <w:pitch w:val="default"/>
    <w:sig w:usb0="00000000" w:usb1="00000000" w:usb2="00000000" w:usb3="00000000" w:csb0="2000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362F"/>
    <w:rsid w:val="00000E08"/>
    <w:rsid w:val="000130D8"/>
    <w:rsid w:val="000307B2"/>
    <w:rsid w:val="00093400"/>
    <w:rsid w:val="000A5E66"/>
    <w:rsid w:val="000E52A0"/>
    <w:rsid w:val="0010200E"/>
    <w:rsid w:val="001343BD"/>
    <w:rsid w:val="00145ECE"/>
    <w:rsid w:val="00180FDE"/>
    <w:rsid w:val="00183C1D"/>
    <w:rsid w:val="001A123B"/>
    <w:rsid w:val="001B0B85"/>
    <w:rsid w:val="001B7C56"/>
    <w:rsid w:val="001D42CD"/>
    <w:rsid w:val="001D7DDD"/>
    <w:rsid w:val="0022098F"/>
    <w:rsid w:val="00234115"/>
    <w:rsid w:val="00242CCF"/>
    <w:rsid w:val="00243F00"/>
    <w:rsid w:val="00247FBE"/>
    <w:rsid w:val="00262D13"/>
    <w:rsid w:val="002668B9"/>
    <w:rsid w:val="00283C79"/>
    <w:rsid w:val="002903A2"/>
    <w:rsid w:val="002956F4"/>
    <w:rsid w:val="002B1A81"/>
    <w:rsid w:val="002B5CD6"/>
    <w:rsid w:val="002D76FA"/>
    <w:rsid w:val="00322D7E"/>
    <w:rsid w:val="00340FD6"/>
    <w:rsid w:val="00353929"/>
    <w:rsid w:val="00376B05"/>
    <w:rsid w:val="003D5793"/>
    <w:rsid w:val="00412F6E"/>
    <w:rsid w:val="0041362F"/>
    <w:rsid w:val="004C64C6"/>
    <w:rsid w:val="004E5F6E"/>
    <w:rsid w:val="004F4171"/>
    <w:rsid w:val="005134E7"/>
    <w:rsid w:val="00513BCA"/>
    <w:rsid w:val="00535B4F"/>
    <w:rsid w:val="00565F66"/>
    <w:rsid w:val="005665D7"/>
    <w:rsid w:val="005B34D6"/>
    <w:rsid w:val="005B4C6E"/>
    <w:rsid w:val="005D0196"/>
    <w:rsid w:val="005E1192"/>
    <w:rsid w:val="005E5A63"/>
    <w:rsid w:val="005F1254"/>
    <w:rsid w:val="005F60A5"/>
    <w:rsid w:val="00605C8E"/>
    <w:rsid w:val="00610FAE"/>
    <w:rsid w:val="00612902"/>
    <w:rsid w:val="006147BE"/>
    <w:rsid w:val="0062281F"/>
    <w:rsid w:val="00632E32"/>
    <w:rsid w:val="00637ADC"/>
    <w:rsid w:val="0065676E"/>
    <w:rsid w:val="00661018"/>
    <w:rsid w:val="006619DB"/>
    <w:rsid w:val="0067171E"/>
    <w:rsid w:val="006A1980"/>
    <w:rsid w:val="006B6B3F"/>
    <w:rsid w:val="006E194A"/>
    <w:rsid w:val="006F43E4"/>
    <w:rsid w:val="00703CAD"/>
    <w:rsid w:val="00706206"/>
    <w:rsid w:val="00716155"/>
    <w:rsid w:val="007505B6"/>
    <w:rsid w:val="00782E52"/>
    <w:rsid w:val="00792087"/>
    <w:rsid w:val="007A118D"/>
    <w:rsid w:val="007D0B0C"/>
    <w:rsid w:val="007D1A72"/>
    <w:rsid w:val="007F208A"/>
    <w:rsid w:val="007F347B"/>
    <w:rsid w:val="00801E7B"/>
    <w:rsid w:val="008509A1"/>
    <w:rsid w:val="00896CE1"/>
    <w:rsid w:val="008B3638"/>
    <w:rsid w:val="008B7B12"/>
    <w:rsid w:val="008F4419"/>
    <w:rsid w:val="008F5E6E"/>
    <w:rsid w:val="0090098D"/>
    <w:rsid w:val="00906109"/>
    <w:rsid w:val="009532A1"/>
    <w:rsid w:val="009741FE"/>
    <w:rsid w:val="00991FCE"/>
    <w:rsid w:val="009E5153"/>
    <w:rsid w:val="009E5E2B"/>
    <w:rsid w:val="00A40BA7"/>
    <w:rsid w:val="00A42010"/>
    <w:rsid w:val="00A525B2"/>
    <w:rsid w:val="00A6411A"/>
    <w:rsid w:val="00AA299B"/>
    <w:rsid w:val="00AB15D7"/>
    <w:rsid w:val="00AB69A8"/>
    <w:rsid w:val="00AB6EDF"/>
    <w:rsid w:val="00AF068D"/>
    <w:rsid w:val="00B07247"/>
    <w:rsid w:val="00B46481"/>
    <w:rsid w:val="00B54CAE"/>
    <w:rsid w:val="00B960D0"/>
    <w:rsid w:val="00BC2649"/>
    <w:rsid w:val="00BC4D15"/>
    <w:rsid w:val="00BF1DA0"/>
    <w:rsid w:val="00BF345E"/>
    <w:rsid w:val="00C03E6C"/>
    <w:rsid w:val="00C20A1A"/>
    <w:rsid w:val="00C36E04"/>
    <w:rsid w:val="00C839A9"/>
    <w:rsid w:val="00C94578"/>
    <w:rsid w:val="00CD7E91"/>
    <w:rsid w:val="00CF2C1F"/>
    <w:rsid w:val="00D35595"/>
    <w:rsid w:val="00D6057F"/>
    <w:rsid w:val="00D818FB"/>
    <w:rsid w:val="00DA6D75"/>
    <w:rsid w:val="00DB4303"/>
    <w:rsid w:val="00DB4436"/>
    <w:rsid w:val="00DB60ED"/>
    <w:rsid w:val="00DC5FDF"/>
    <w:rsid w:val="00DD496D"/>
    <w:rsid w:val="00E00559"/>
    <w:rsid w:val="00E0319B"/>
    <w:rsid w:val="00E110BA"/>
    <w:rsid w:val="00E4396C"/>
    <w:rsid w:val="00E51A2E"/>
    <w:rsid w:val="00E64654"/>
    <w:rsid w:val="00E7772C"/>
    <w:rsid w:val="00EB0356"/>
    <w:rsid w:val="00EB3023"/>
    <w:rsid w:val="00EC22C9"/>
    <w:rsid w:val="00EC46DE"/>
    <w:rsid w:val="00ED32EE"/>
    <w:rsid w:val="00ED538D"/>
    <w:rsid w:val="00EE54FA"/>
    <w:rsid w:val="00EF09DC"/>
    <w:rsid w:val="00EF7645"/>
    <w:rsid w:val="00F005AE"/>
    <w:rsid w:val="00F277D8"/>
    <w:rsid w:val="00F409F4"/>
    <w:rsid w:val="00F57DBA"/>
    <w:rsid w:val="00F677B0"/>
    <w:rsid w:val="00F93E32"/>
    <w:rsid w:val="00FC414F"/>
    <w:rsid w:val="00FF1946"/>
    <w:rsid w:val="00FF6801"/>
    <w:rsid w:val="02391DA4"/>
    <w:rsid w:val="04154EF6"/>
    <w:rsid w:val="0BDD385B"/>
    <w:rsid w:val="10670C46"/>
    <w:rsid w:val="123D23F4"/>
    <w:rsid w:val="12E1395B"/>
    <w:rsid w:val="17A26501"/>
    <w:rsid w:val="24080FF8"/>
    <w:rsid w:val="263A5C1A"/>
    <w:rsid w:val="270F39CE"/>
    <w:rsid w:val="28371B74"/>
    <w:rsid w:val="29420682"/>
    <w:rsid w:val="2A0135F7"/>
    <w:rsid w:val="2B517D0C"/>
    <w:rsid w:val="2C8E6EE6"/>
    <w:rsid w:val="391667E6"/>
    <w:rsid w:val="44046F6C"/>
    <w:rsid w:val="44D00C0B"/>
    <w:rsid w:val="48E3141D"/>
    <w:rsid w:val="49219211"/>
    <w:rsid w:val="4ACF7AB0"/>
    <w:rsid w:val="4BF24D6F"/>
    <w:rsid w:val="501D5098"/>
    <w:rsid w:val="51937904"/>
    <w:rsid w:val="51B514EA"/>
    <w:rsid w:val="53B851EE"/>
    <w:rsid w:val="53B9414A"/>
    <w:rsid w:val="5FD71EC5"/>
    <w:rsid w:val="61F83F49"/>
    <w:rsid w:val="62B26C80"/>
    <w:rsid w:val="6A4A1222"/>
    <w:rsid w:val="6C6B0F6C"/>
    <w:rsid w:val="6D151E52"/>
    <w:rsid w:val="7B516A1F"/>
    <w:rsid w:val="7C9F431F"/>
    <w:rsid w:val="7D7D0F76"/>
    <w:rsid w:val="7FF70240"/>
    <w:rsid w:val="BFE96E1D"/>
    <w:rsid w:val="CFB7159F"/>
    <w:rsid w:val="DAFF7A1D"/>
    <w:rsid w:val="E7DEEE0A"/>
    <w:rsid w:val="E96FD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widowControl/>
      <w:spacing w:before="260" w:after="260" w:line="412" w:lineRule="auto"/>
      <w:outlineLvl w:val="1"/>
    </w:pPr>
    <w:rPr>
      <w:rFonts w:ascii="Arial Black" w:hAnsi="Arial Black" w:eastAsia="宋体" w:cs="Times New Roman"/>
      <w:b/>
      <w:kern w:val="0"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5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591</Words>
  <Characters>3372</Characters>
  <Lines>28</Lines>
  <Paragraphs>7</Paragraphs>
  <TotalTime>1</TotalTime>
  <ScaleCrop>false</ScaleCrop>
  <LinksUpToDate>false</LinksUpToDate>
  <CharactersWithSpaces>3956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2020-11-11T21:34:00Z</dcterms:created>
  <dc:creator>Administrator</dc:creator>
  <cp:lastModifiedBy>kylin</cp:lastModifiedBy>
  <dcterms:modified xsi:type="dcterms:W3CDTF">2022-04-21T10:04:07Z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9CB07235FCAF43A4B9A2353AA09689C7</vt:lpwstr>
  </property>
</Properties>
</file>