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</w:rPr>
        <w:t>秦  艽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sz w:val="24"/>
          <w:szCs w:val="20"/>
        </w:rPr>
      </w:pPr>
      <w:r>
        <w:rPr>
          <w:rFonts w:ascii="Times New Roman" w:hAnsi="Times New Roman" w:eastAsia="宋体" w:cs="Times New Roman"/>
          <w:b/>
          <w:sz w:val="24"/>
          <w:szCs w:val="20"/>
        </w:rPr>
        <w:t>Qinjiao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宋体" w:cs="Times New Roman"/>
          <w:color w:val="000000"/>
          <w:sz w:val="28"/>
          <w:szCs w:val="28"/>
          <w:shd w:val="clear" w:color="auto" w:fill="FFFFFF"/>
        </w:rPr>
        <w:t>GENTIANAE MACROPHYLLAE RADIX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 w:val="21"/>
          <w:szCs w:val="21"/>
        </w:rPr>
      </w:pPr>
      <w:bookmarkStart w:id="0" w:name="_GoBack"/>
      <w:r>
        <w:rPr>
          <w:rFonts w:ascii="Times New Roman" w:hAnsi="Times New Roman" w:eastAsia="宋体" w:cs="Times New Roman"/>
          <w:sz w:val="21"/>
          <w:szCs w:val="21"/>
        </w:rPr>
        <w:t>本品为龙胆科植物麻花秦艽G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entiana straminea</w:t>
      </w:r>
      <w:r>
        <w:rPr>
          <w:rFonts w:ascii="Times New Roman" w:hAnsi="Times New Roman" w:eastAsia="宋体" w:cs="Times New Roman"/>
          <w:sz w:val="21"/>
          <w:szCs w:val="21"/>
        </w:rPr>
        <w:t xml:space="preserve"> Maxim.或小秦艽G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entiana dahurica</w:t>
      </w:r>
      <w:r>
        <w:rPr>
          <w:rFonts w:ascii="Times New Roman" w:hAnsi="Times New Roman" w:eastAsia="宋体" w:cs="Times New Roman"/>
          <w:sz w:val="21"/>
          <w:szCs w:val="21"/>
        </w:rPr>
        <w:t xml:space="preserve"> Fisch.的干燥根的炮制加工品。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【</w:t>
      </w:r>
      <w:r>
        <w:rPr>
          <w:rFonts w:ascii="Times New Roman" w:hAnsi="Times New Roman" w:eastAsia="宋体" w:cs="Times New Roman"/>
          <w:b/>
          <w:sz w:val="21"/>
          <w:szCs w:val="21"/>
        </w:rPr>
        <w:t>炮制</w:t>
      </w:r>
      <w:r>
        <w:rPr>
          <w:rFonts w:ascii="Times New Roman" w:hAnsi="Times New Roman" w:eastAsia="宋体" w:cs="Times New Roman"/>
          <w:sz w:val="21"/>
          <w:szCs w:val="21"/>
        </w:rPr>
        <w:t>】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除去杂质、大小分开，洗净，润透，切段，干燥。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【</w:t>
      </w:r>
      <w:r>
        <w:rPr>
          <w:rFonts w:ascii="Times New Roman" w:hAnsi="Times New Roman" w:eastAsia="宋体" w:cs="Times New Roman"/>
          <w:b/>
          <w:sz w:val="21"/>
          <w:szCs w:val="21"/>
        </w:rPr>
        <w:t>性状</w:t>
      </w:r>
      <w:r>
        <w:rPr>
          <w:rFonts w:ascii="Times New Roman" w:hAnsi="Times New Roman" w:eastAsia="宋体" w:cs="Times New Roman"/>
          <w:sz w:val="21"/>
          <w:szCs w:val="21"/>
        </w:rPr>
        <w:t>】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本品呈类圆形的厚片或类圆柱形的段。外表皮黄棕色、灰黄色或棕褐色，粗糙，有扭曲纵纹或网状孔纹。切面皮部黄色或棕黄色，木部黄色，有的中心呈枯朽状。气特异，味苦、微涩。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【</w:t>
      </w:r>
      <w:r>
        <w:rPr>
          <w:rFonts w:ascii="Times New Roman" w:hAnsi="Times New Roman" w:eastAsia="宋体" w:cs="Times New Roman"/>
          <w:b/>
          <w:sz w:val="21"/>
          <w:szCs w:val="21"/>
        </w:rPr>
        <w:t>鉴别</w:t>
      </w:r>
      <w:r>
        <w:rPr>
          <w:rFonts w:ascii="Times New Roman" w:hAnsi="Times New Roman" w:eastAsia="宋体" w:cs="Times New Roman"/>
          <w:sz w:val="21"/>
          <w:szCs w:val="21"/>
        </w:rPr>
        <w:t>】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（1）取本品粉末0.5g，加甲醇10ml，超声处理15分钟，滤过，取滤液作为供试品溶液。另取龙胆苦苷对照品，加甲醇制成每1ml含1mg的溶液，作为对照品溶液。照薄层色谱法（《中国药典》2020年版四部通则0502）试验，吸取供试品溶液5μl、对照品溶液1μl，分别点于同一硅胶GF</w:t>
      </w:r>
      <w:r>
        <w:rPr>
          <w:rFonts w:ascii="Times New Roman" w:hAnsi="Times New Roman" w:eastAsia="宋体" w:cs="Times New Roman"/>
          <w:sz w:val="21"/>
          <w:szCs w:val="21"/>
          <w:vertAlign w:val="subscript"/>
        </w:rPr>
        <w:t>254</w:t>
      </w:r>
      <w:r>
        <w:rPr>
          <w:rFonts w:ascii="Times New Roman" w:hAnsi="Times New Roman" w:eastAsia="宋体" w:cs="Times New Roman"/>
          <w:sz w:val="21"/>
          <w:szCs w:val="21"/>
        </w:rPr>
        <w:t>薄层板上，以乙酸乙酯-甲醇-水（10:2:1）为展开剂，展开，取出，晾干，置紫外光灯（254nm）下检视。供试品色谱中，在与对照品色谱相应的位置上，显相同颜色的斑点。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1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（2）取栎瘿酸对照品，加三氯甲烷制成每1ml含0.5mg的溶液，作为对照品溶液。照薄层色谱法（《中国药典》2020年版四部通则0502）试验，吸取〔鉴别〕（1）项下的供试品溶液5μl和上述对照品溶液1μl，分别点于同一硅胶G薄层板上，以三氯甲烷-甲醇-甲酸（50</w:t>
      </w:r>
      <w:r>
        <w:rPr>
          <w:rFonts w:hint="eastAsia" w:ascii="Times New Roman" w:hAnsi="Times New Roman" w:eastAsia="宋体" w:cs="Times New Roman"/>
          <w:sz w:val="21"/>
          <w:szCs w:val="21"/>
        </w:rPr>
        <w:t>:</w:t>
      </w:r>
      <w:r>
        <w:rPr>
          <w:rFonts w:ascii="Times New Roman" w:hAnsi="Times New Roman" w:eastAsia="宋体" w:cs="Times New Roman"/>
          <w:sz w:val="21"/>
          <w:szCs w:val="21"/>
        </w:rPr>
        <w:t>1</w:t>
      </w:r>
      <w:r>
        <w:rPr>
          <w:rFonts w:hint="eastAsia" w:ascii="Times New Roman" w:hAnsi="Times New Roman" w:eastAsia="宋体" w:cs="Times New Roman"/>
          <w:sz w:val="21"/>
          <w:szCs w:val="21"/>
        </w:rPr>
        <w:t>:</w:t>
      </w:r>
      <w:r>
        <w:rPr>
          <w:rFonts w:ascii="Times New Roman" w:hAnsi="Times New Roman" w:eastAsia="宋体" w:cs="Times New Roman"/>
          <w:sz w:val="21"/>
          <w:szCs w:val="21"/>
        </w:rPr>
        <w:t>0.5）为展开剂，展开，取出，晾干，喷以10%硫酸乙醇溶液，在105</w:t>
      </w:r>
      <w:r>
        <w:rPr>
          <w:rFonts w:hint="eastAsia" w:ascii="Times New Roman" w:hAnsi="Times New Roman" w:eastAsia="宋体" w:cs="宋体"/>
          <w:sz w:val="21"/>
          <w:szCs w:val="21"/>
        </w:rPr>
        <w:t>℃</w:t>
      </w:r>
      <w:r>
        <w:rPr>
          <w:rFonts w:ascii="Times New Roman" w:hAnsi="Times New Roman" w:eastAsia="宋体" w:cs="Times New Roman"/>
          <w:sz w:val="21"/>
          <w:szCs w:val="21"/>
        </w:rPr>
        <w:t>加热至斑点显色清晰。供试品色谱中，在与对照品色谱相应的位置上，显相同颜色的斑点。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【</w:t>
      </w:r>
      <w:r>
        <w:rPr>
          <w:rFonts w:ascii="Times New Roman" w:hAnsi="Times New Roman" w:eastAsia="宋体" w:cs="Times New Roman"/>
          <w:b/>
          <w:sz w:val="21"/>
          <w:szCs w:val="21"/>
        </w:rPr>
        <w:t>检查</w:t>
      </w:r>
      <w:r>
        <w:rPr>
          <w:rFonts w:ascii="Times New Roman" w:hAnsi="Times New Roman" w:eastAsia="宋体" w:cs="Times New Roman"/>
          <w:sz w:val="21"/>
          <w:szCs w:val="21"/>
        </w:rPr>
        <w:t xml:space="preserve">】 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b/>
          <w:sz w:val="21"/>
          <w:szCs w:val="21"/>
        </w:rPr>
        <w:t>水分</w:t>
      </w:r>
      <w:r>
        <w:rPr>
          <w:rFonts w:hint="eastAsia" w:ascii="Times New Roman" w:hAnsi="Times New Roman" w:eastAsia="宋体" w:cs="Times New Roman"/>
          <w:b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 xml:space="preserve"> 不得过9.0%（《中国药典》2020年版四部通则0832第二法）。 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27" w:firstLineChars="250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总灰分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不得过8.0%（《中国药典》2020年版四部通则2302）。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27" w:firstLineChars="250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酸不溶性灰分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不得过3.0%（《中国药典》2020年版四部通则2302）。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【</w:t>
      </w:r>
      <w:r>
        <w:rPr>
          <w:rFonts w:ascii="Times New Roman" w:hAnsi="Times New Roman" w:eastAsia="宋体" w:cs="Times New Roman"/>
          <w:b/>
          <w:sz w:val="21"/>
          <w:szCs w:val="21"/>
        </w:rPr>
        <w:t>浸出物</w:t>
      </w:r>
      <w:r>
        <w:rPr>
          <w:rFonts w:ascii="Times New Roman" w:hAnsi="Times New Roman" w:eastAsia="宋体" w:cs="Times New Roman"/>
          <w:sz w:val="21"/>
          <w:szCs w:val="21"/>
        </w:rPr>
        <w:t>】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照醇溶性浸出物测定法（《中国药典》2020年版四部通则2201）项下的热浸法测定，用乙醇作溶剂，不得少于20.0%。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【</w:t>
      </w:r>
      <w:r>
        <w:rPr>
          <w:rFonts w:ascii="Times New Roman" w:hAnsi="Times New Roman" w:eastAsia="宋体" w:cs="Times New Roman"/>
          <w:b/>
          <w:sz w:val="21"/>
          <w:szCs w:val="21"/>
        </w:rPr>
        <w:t>含量测定</w:t>
      </w:r>
      <w:r>
        <w:rPr>
          <w:rFonts w:ascii="Times New Roman" w:hAnsi="Times New Roman" w:eastAsia="宋体" w:cs="Times New Roman"/>
          <w:sz w:val="21"/>
          <w:szCs w:val="21"/>
        </w:rPr>
        <w:t>】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照高效液相色谱法（《中国药典》2020年版四部通则0512）测定。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色谱条件与系统适用性试验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1"/>
          <w:szCs w:val="21"/>
        </w:rPr>
        <w:t> </w:t>
      </w:r>
      <w:r>
        <w:rPr>
          <w:rFonts w:ascii="Times New Roman" w:hAnsi="Times New Roman" w:eastAsia="宋体" w:cs="Times New Roman"/>
          <w:sz w:val="21"/>
          <w:szCs w:val="21"/>
        </w:rPr>
        <w:t xml:space="preserve"> 以十八烷基硅烷键合硅胶为填充剂；以乙腈-0.1%醋酸溶液（9:91）为流动相；检测波长为254nm。理论板数按龙胆苦苷峰计算应不低于3000。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对照品溶液的制备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1"/>
          <w:szCs w:val="21"/>
        </w:rPr>
        <w:t> </w:t>
      </w:r>
      <w:r>
        <w:rPr>
          <w:rFonts w:ascii="Times New Roman" w:hAnsi="Times New Roman" w:eastAsia="宋体" w:cs="Times New Roman"/>
          <w:sz w:val="21"/>
          <w:szCs w:val="21"/>
        </w:rPr>
        <w:t>取龙胆苦苷对照品、马钱苷酸对照品适量，精密称定，加甲醇分别制成每1ml含龙胆苦苷0.5mg、马钱苷酸0.3mg的溶液，即得。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 xml:space="preserve">供试品溶液的制备 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1"/>
          <w:szCs w:val="21"/>
        </w:rPr>
        <w:t> </w:t>
      </w:r>
      <w:r>
        <w:rPr>
          <w:rFonts w:ascii="Times New Roman" w:hAnsi="Times New Roman" w:eastAsia="宋体" w:cs="Times New Roman"/>
          <w:sz w:val="21"/>
          <w:szCs w:val="21"/>
        </w:rPr>
        <w:t>取本品粉末（过三号筛）约0.5g，精密称定，置具塞锥形瓶中，精密加入甲醇20ml，超声处理（功率500W，频率40kHz）30分钟，放冷，再称定重量，用甲醇补足减失的重量，摇匀，滤过，取续滤液，即得。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 xml:space="preserve">测定法 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1"/>
          <w:szCs w:val="21"/>
        </w:rPr>
        <w:t> </w:t>
      </w:r>
      <w:r>
        <w:rPr>
          <w:rFonts w:ascii="Times New Roman" w:hAnsi="Times New Roman" w:eastAsia="宋体" w:cs="Times New Roman"/>
          <w:sz w:val="21"/>
          <w:szCs w:val="21"/>
        </w:rPr>
        <w:t>分别精密吸取两种对照品溶液与供试品溶液各5~10μl，注入液相色谱仪，测定，即得。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1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本品按干燥品计算，含龙胆苦苷（C</w:t>
      </w:r>
      <w:r>
        <w:rPr>
          <w:rFonts w:ascii="Times New Roman" w:hAnsi="Times New Roman" w:eastAsia="宋体" w:cs="Times New Roman"/>
          <w:sz w:val="21"/>
          <w:szCs w:val="21"/>
          <w:vertAlign w:val="subscript"/>
        </w:rPr>
        <w:t>16</w:t>
      </w:r>
      <w:r>
        <w:rPr>
          <w:rFonts w:ascii="Times New Roman" w:hAnsi="Times New Roman" w:eastAsia="宋体" w:cs="Times New Roman"/>
          <w:sz w:val="21"/>
          <w:szCs w:val="21"/>
        </w:rPr>
        <w:t>H</w:t>
      </w:r>
      <w:r>
        <w:rPr>
          <w:rFonts w:ascii="Times New Roman" w:hAnsi="Times New Roman" w:eastAsia="宋体" w:cs="Times New Roman"/>
          <w:sz w:val="21"/>
          <w:szCs w:val="21"/>
          <w:vertAlign w:val="subscript"/>
        </w:rPr>
        <w:t>20</w:t>
      </w:r>
      <w:r>
        <w:rPr>
          <w:rFonts w:ascii="Times New Roman" w:hAnsi="Times New Roman" w:eastAsia="宋体" w:cs="Times New Roman"/>
          <w:sz w:val="21"/>
          <w:szCs w:val="21"/>
        </w:rPr>
        <w:t>O</w:t>
      </w:r>
      <w:r>
        <w:rPr>
          <w:rFonts w:ascii="Times New Roman" w:hAnsi="Times New Roman" w:eastAsia="宋体" w:cs="Times New Roman"/>
          <w:sz w:val="21"/>
          <w:szCs w:val="21"/>
          <w:vertAlign w:val="subscript"/>
        </w:rPr>
        <w:t>9</w:t>
      </w:r>
      <w:r>
        <w:rPr>
          <w:rFonts w:ascii="Times New Roman" w:hAnsi="Times New Roman" w:eastAsia="宋体" w:cs="Times New Roman"/>
          <w:sz w:val="21"/>
          <w:szCs w:val="21"/>
        </w:rPr>
        <w:t>）和马钱苷酸（C</w:t>
      </w:r>
      <w:r>
        <w:rPr>
          <w:rFonts w:ascii="Times New Roman" w:hAnsi="Times New Roman" w:eastAsia="宋体" w:cs="Times New Roman"/>
          <w:sz w:val="21"/>
          <w:szCs w:val="21"/>
          <w:vertAlign w:val="subscript"/>
        </w:rPr>
        <w:t>16</w:t>
      </w:r>
      <w:r>
        <w:rPr>
          <w:rFonts w:ascii="Times New Roman" w:hAnsi="Times New Roman" w:eastAsia="宋体" w:cs="Times New Roman"/>
          <w:sz w:val="21"/>
          <w:szCs w:val="21"/>
        </w:rPr>
        <w:t>H</w:t>
      </w:r>
      <w:r>
        <w:rPr>
          <w:rFonts w:ascii="Times New Roman" w:hAnsi="Times New Roman" w:eastAsia="宋体" w:cs="Times New Roman"/>
          <w:sz w:val="21"/>
          <w:szCs w:val="21"/>
          <w:vertAlign w:val="subscript"/>
        </w:rPr>
        <w:t>24</w:t>
      </w:r>
      <w:r>
        <w:rPr>
          <w:rFonts w:ascii="Times New Roman" w:hAnsi="Times New Roman" w:eastAsia="宋体" w:cs="Times New Roman"/>
          <w:sz w:val="21"/>
          <w:szCs w:val="21"/>
        </w:rPr>
        <w:t>O</w:t>
      </w:r>
      <w:r>
        <w:rPr>
          <w:rFonts w:ascii="Times New Roman" w:hAnsi="Times New Roman" w:eastAsia="宋体" w:cs="Times New Roman"/>
          <w:sz w:val="21"/>
          <w:szCs w:val="21"/>
          <w:vertAlign w:val="subscript"/>
        </w:rPr>
        <w:t>10</w:t>
      </w:r>
      <w:r>
        <w:rPr>
          <w:rFonts w:ascii="Times New Roman" w:hAnsi="Times New Roman" w:eastAsia="宋体" w:cs="Times New Roman"/>
          <w:sz w:val="21"/>
          <w:szCs w:val="21"/>
        </w:rPr>
        <w:t>）的总量不得少于2.5%。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【</w:t>
      </w:r>
      <w:r>
        <w:rPr>
          <w:rFonts w:ascii="Times New Roman" w:hAnsi="Times New Roman" w:eastAsia="宋体" w:cs="Times New Roman"/>
          <w:b/>
          <w:sz w:val="21"/>
          <w:szCs w:val="21"/>
        </w:rPr>
        <w:t>性味与归经</w:t>
      </w:r>
      <w:r>
        <w:rPr>
          <w:rFonts w:ascii="Times New Roman" w:hAnsi="Times New Roman" w:eastAsia="宋体" w:cs="Times New Roman"/>
          <w:sz w:val="21"/>
          <w:szCs w:val="21"/>
        </w:rPr>
        <w:t>】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 </w:t>
      </w:r>
      <w:r>
        <w:rPr>
          <w:rFonts w:ascii="Times New Roman" w:hAnsi="Times New Roman" w:eastAsia="宋体" w:cs="Times New Roman"/>
          <w:sz w:val="21"/>
          <w:szCs w:val="21"/>
        </w:rPr>
        <w:t>辛、苦，平。归胃、肝、胆经。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【</w:t>
      </w:r>
      <w:r>
        <w:rPr>
          <w:rFonts w:ascii="Times New Roman" w:hAnsi="Times New Roman" w:eastAsia="宋体" w:cs="Times New Roman"/>
          <w:b/>
          <w:sz w:val="21"/>
          <w:szCs w:val="21"/>
        </w:rPr>
        <w:t>功能与主治</w:t>
      </w:r>
      <w:r>
        <w:rPr>
          <w:rFonts w:ascii="Times New Roman" w:hAnsi="Times New Roman" w:eastAsia="宋体" w:cs="Times New Roman"/>
          <w:sz w:val="21"/>
          <w:szCs w:val="21"/>
        </w:rPr>
        <w:t>】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 </w:t>
      </w:r>
      <w:r>
        <w:rPr>
          <w:rFonts w:ascii="Times New Roman" w:hAnsi="Times New Roman" w:eastAsia="宋体" w:cs="Times New Roman"/>
          <w:sz w:val="21"/>
          <w:szCs w:val="21"/>
        </w:rPr>
        <w:t>祛风湿，清湿热，止痹痛，退虚热。用于风湿痹痛，中风半身不遂，筋脉拘挛，骨节酸痛，湿热黄疸，骨蒸潮热，小儿疳积发热。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【</w:t>
      </w:r>
      <w:r>
        <w:rPr>
          <w:rFonts w:ascii="Times New Roman" w:hAnsi="Times New Roman" w:eastAsia="宋体" w:cs="Times New Roman"/>
          <w:b/>
          <w:sz w:val="21"/>
          <w:szCs w:val="21"/>
        </w:rPr>
        <w:t>用法与用量</w:t>
      </w:r>
      <w:r>
        <w:rPr>
          <w:rFonts w:ascii="Times New Roman" w:hAnsi="Times New Roman" w:eastAsia="宋体" w:cs="Times New Roman"/>
          <w:sz w:val="21"/>
          <w:szCs w:val="21"/>
        </w:rPr>
        <w:t>】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 </w:t>
      </w:r>
      <w:r>
        <w:rPr>
          <w:rFonts w:ascii="Times New Roman" w:hAnsi="Times New Roman" w:eastAsia="宋体" w:cs="Times New Roman"/>
          <w:sz w:val="21"/>
          <w:szCs w:val="21"/>
        </w:rPr>
        <w:t>3</w:t>
      </w:r>
      <w:r>
        <w:rPr>
          <w:rFonts w:hint="eastAsia" w:ascii="Times New Roman" w:hAnsi="Times New Roman" w:eastAsia="宋体" w:cs="Times New Roman"/>
          <w:sz w:val="21"/>
          <w:szCs w:val="21"/>
        </w:rPr>
        <w:t>~</w:t>
      </w:r>
      <w:r>
        <w:rPr>
          <w:rFonts w:ascii="Times New Roman" w:hAnsi="Times New Roman" w:eastAsia="宋体" w:cs="Times New Roman"/>
          <w:sz w:val="21"/>
          <w:szCs w:val="21"/>
        </w:rPr>
        <w:t xml:space="preserve">10g。 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【</w:t>
      </w:r>
      <w:r>
        <w:rPr>
          <w:rFonts w:ascii="Times New Roman" w:hAnsi="Times New Roman" w:eastAsia="宋体" w:cs="Times New Roman"/>
          <w:b/>
          <w:sz w:val="21"/>
          <w:szCs w:val="21"/>
        </w:rPr>
        <w:t>贮藏</w:t>
      </w:r>
      <w:r>
        <w:rPr>
          <w:rFonts w:ascii="Times New Roman" w:hAnsi="Times New Roman" w:eastAsia="宋体" w:cs="Times New Roman"/>
          <w:sz w:val="21"/>
          <w:szCs w:val="21"/>
        </w:rPr>
        <w:t>】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 </w:t>
      </w:r>
      <w:r>
        <w:rPr>
          <w:rFonts w:ascii="Times New Roman" w:hAnsi="Times New Roman" w:eastAsia="宋体" w:cs="Times New Roman"/>
          <w:sz w:val="21"/>
          <w:szCs w:val="21"/>
        </w:rPr>
        <w:t>置通风干燥处。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Black">
    <w:altName w:val="DejaVu Sans"/>
    <w:panose1 w:val="020B0A04020102020204"/>
    <w:charset w:val="00"/>
    <w:family w:val="swiss"/>
    <w:pitch w:val="default"/>
    <w:sig w:usb0="00000000" w:usb1="00000000" w:usb2="00000000" w:usb3="00000000" w:csb0="2000009F" w:csb1="DFD7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1362F"/>
    <w:rsid w:val="000130D8"/>
    <w:rsid w:val="000307B2"/>
    <w:rsid w:val="00033E09"/>
    <w:rsid w:val="00086850"/>
    <w:rsid w:val="0009688F"/>
    <w:rsid w:val="000A1488"/>
    <w:rsid w:val="000B701E"/>
    <w:rsid w:val="000D6B66"/>
    <w:rsid w:val="000E52A0"/>
    <w:rsid w:val="000E5B10"/>
    <w:rsid w:val="000E7C4D"/>
    <w:rsid w:val="0010200E"/>
    <w:rsid w:val="00120246"/>
    <w:rsid w:val="00123FBD"/>
    <w:rsid w:val="001264A5"/>
    <w:rsid w:val="001407E7"/>
    <w:rsid w:val="00142C1B"/>
    <w:rsid w:val="00183C1D"/>
    <w:rsid w:val="001A123B"/>
    <w:rsid w:val="001B0596"/>
    <w:rsid w:val="001B31E3"/>
    <w:rsid w:val="001D2338"/>
    <w:rsid w:val="00223A0F"/>
    <w:rsid w:val="002419D8"/>
    <w:rsid w:val="00243F00"/>
    <w:rsid w:val="00247FBE"/>
    <w:rsid w:val="00255F9B"/>
    <w:rsid w:val="002668B9"/>
    <w:rsid w:val="00266B62"/>
    <w:rsid w:val="002956F4"/>
    <w:rsid w:val="002958F7"/>
    <w:rsid w:val="002A6EF6"/>
    <w:rsid w:val="002D3E6E"/>
    <w:rsid w:val="002E388B"/>
    <w:rsid w:val="0031351A"/>
    <w:rsid w:val="00340FD6"/>
    <w:rsid w:val="0034553C"/>
    <w:rsid w:val="00345DFD"/>
    <w:rsid w:val="00364742"/>
    <w:rsid w:val="003675CD"/>
    <w:rsid w:val="00375AA0"/>
    <w:rsid w:val="003867CB"/>
    <w:rsid w:val="00397ECA"/>
    <w:rsid w:val="003B5199"/>
    <w:rsid w:val="003D00B0"/>
    <w:rsid w:val="003D6F7F"/>
    <w:rsid w:val="0041362F"/>
    <w:rsid w:val="00413A01"/>
    <w:rsid w:val="00435299"/>
    <w:rsid w:val="004524A0"/>
    <w:rsid w:val="004B7452"/>
    <w:rsid w:val="004D03F3"/>
    <w:rsid w:val="00502341"/>
    <w:rsid w:val="00505B8C"/>
    <w:rsid w:val="00534965"/>
    <w:rsid w:val="00535205"/>
    <w:rsid w:val="00565F66"/>
    <w:rsid w:val="005665D7"/>
    <w:rsid w:val="005E1968"/>
    <w:rsid w:val="005E44BB"/>
    <w:rsid w:val="005F1254"/>
    <w:rsid w:val="0062281F"/>
    <w:rsid w:val="0062552A"/>
    <w:rsid w:val="00627EE6"/>
    <w:rsid w:val="00632E32"/>
    <w:rsid w:val="00646E2E"/>
    <w:rsid w:val="00650764"/>
    <w:rsid w:val="00653509"/>
    <w:rsid w:val="00661018"/>
    <w:rsid w:val="006619DB"/>
    <w:rsid w:val="006718E7"/>
    <w:rsid w:val="006A1980"/>
    <w:rsid w:val="006B1813"/>
    <w:rsid w:val="006D402A"/>
    <w:rsid w:val="006D4AD6"/>
    <w:rsid w:val="006E194A"/>
    <w:rsid w:val="006F4552"/>
    <w:rsid w:val="00706206"/>
    <w:rsid w:val="00731C44"/>
    <w:rsid w:val="00770332"/>
    <w:rsid w:val="00782E52"/>
    <w:rsid w:val="00786B0F"/>
    <w:rsid w:val="007B7F15"/>
    <w:rsid w:val="007D3461"/>
    <w:rsid w:val="007F1214"/>
    <w:rsid w:val="007F58C4"/>
    <w:rsid w:val="00873858"/>
    <w:rsid w:val="00875071"/>
    <w:rsid w:val="0088589E"/>
    <w:rsid w:val="0089678C"/>
    <w:rsid w:val="008B3638"/>
    <w:rsid w:val="008B7F9A"/>
    <w:rsid w:val="008D5FFB"/>
    <w:rsid w:val="008E0029"/>
    <w:rsid w:val="008E664D"/>
    <w:rsid w:val="008F4419"/>
    <w:rsid w:val="00906109"/>
    <w:rsid w:val="00936269"/>
    <w:rsid w:val="0096789F"/>
    <w:rsid w:val="0097142F"/>
    <w:rsid w:val="009741FE"/>
    <w:rsid w:val="00991FCE"/>
    <w:rsid w:val="00995042"/>
    <w:rsid w:val="009A071F"/>
    <w:rsid w:val="009C36A9"/>
    <w:rsid w:val="009D4DB1"/>
    <w:rsid w:val="009E5153"/>
    <w:rsid w:val="009E5E2B"/>
    <w:rsid w:val="009F50B0"/>
    <w:rsid w:val="00A40BA7"/>
    <w:rsid w:val="00A525B2"/>
    <w:rsid w:val="00A63770"/>
    <w:rsid w:val="00A83C63"/>
    <w:rsid w:val="00A92919"/>
    <w:rsid w:val="00AA299B"/>
    <w:rsid w:val="00AD4031"/>
    <w:rsid w:val="00B46481"/>
    <w:rsid w:val="00B4659C"/>
    <w:rsid w:val="00B54623"/>
    <w:rsid w:val="00B54C68"/>
    <w:rsid w:val="00B84B2E"/>
    <w:rsid w:val="00BC2649"/>
    <w:rsid w:val="00BE13D4"/>
    <w:rsid w:val="00BE17EE"/>
    <w:rsid w:val="00C03E6C"/>
    <w:rsid w:val="00C100B8"/>
    <w:rsid w:val="00C8360E"/>
    <w:rsid w:val="00C836AC"/>
    <w:rsid w:val="00C93BA6"/>
    <w:rsid w:val="00CC6C75"/>
    <w:rsid w:val="00CD1FAC"/>
    <w:rsid w:val="00CE7B14"/>
    <w:rsid w:val="00D04F33"/>
    <w:rsid w:val="00D6057F"/>
    <w:rsid w:val="00D977D9"/>
    <w:rsid w:val="00DB029F"/>
    <w:rsid w:val="00DD55B1"/>
    <w:rsid w:val="00E0319B"/>
    <w:rsid w:val="00E4161E"/>
    <w:rsid w:val="00E51A2E"/>
    <w:rsid w:val="00E64654"/>
    <w:rsid w:val="00E7772C"/>
    <w:rsid w:val="00E80FC6"/>
    <w:rsid w:val="00EB06CB"/>
    <w:rsid w:val="00EB7027"/>
    <w:rsid w:val="00ED32EE"/>
    <w:rsid w:val="00EE54FA"/>
    <w:rsid w:val="00F01356"/>
    <w:rsid w:val="00F13052"/>
    <w:rsid w:val="00F409F4"/>
    <w:rsid w:val="00F677B0"/>
    <w:rsid w:val="00F7783D"/>
    <w:rsid w:val="00F87DFD"/>
    <w:rsid w:val="00F9060E"/>
    <w:rsid w:val="00FA774E"/>
    <w:rsid w:val="00FE16D2"/>
    <w:rsid w:val="00FE4C99"/>
    <w:rsid w:val="00FF1946"/>
    <w:rsid w:val="00FF6801"/>
    <w:rsid w:val="010B58D5"/>
    <w:rsid w:val="08F67676"/>
    <w:rsid w:val="09307573"/>
    <w:rsid w:val="0DBD5AC3"/>
    <w:rsid w:val="0EE94A6C"/>
    <w:rsid w:val="159C1655"/>
    <w:rsid w:val="1D1B4496"/>
    <w:rsid w:val="20054541"/>
    <w:rsid w:val="22AE61A2"/>
    <w:rsid w:val="232D1C1A"/>
    <w:rsid w:val="260A4E13"/>
    <w:rsid w:val="37D5B18D"/>
    <w:rsid w:val="381F7C67"/>
    <w:rsid w:val="3B756D67"/>
    <w:rsid w:val="3D7FBE74"/>
    <w:rsid w:val="3E8FD73F"/>
    <w:rsid w:val="3EBD3062"/>
    <w:rsid w:val="3F5761F2"/>
    <w:rsid w:val="3F6F601F"/>
    <w:rsid w:val="3FEC5F63"/>
    <w:rsid w:val="3FFF4E73"/>
    <w:rsid w:val="40394C26"/>
    <w:rsid w:val="444E4C55"/>
    <w:rsid w:val="455C7D2D"/>
    <w:rsid w:val="458C30FE"/>
    <w:rsid w:val="47424E7A"/>
    <w:rsid w:val="48287998"/>
    <w:rsid w:val="49C16E49"/>
    <w:rsid w:val="4C281533"/>
    <w:rsid w:val="53DF772C"/>
    <w:rsid w:val="562946DD"/>
    <w:rsid w:val="56472053"/>
    <w:rsid w:val="5B3E0710"/>
    <w:rsid w:val="5DAFB8A5"/>
    <w:rsid w:val="5FEC4CA7"/>
    <w:rsid w:val="614A7163"/>
    <w:rsid w:val="69D21E89"/>
    <w:rsid w:val="6A444C8F"/>
    <w:rsid w:val="6E2B7D61"/>
    <w:rsid w:val="6F846504"/>
    <w:rsid w:val="721E7132"/>
    <w:rsid w:val="758C3667"/>
    <w:rsid w:val="798E33C9"/>
    <w:rsid w:val="799B951C"/>
    <w:rsid w:val="7A0437EC"/>
    <w:rsid w:val="7D9F48F5"/>
    <w:rsid w:val="7F811533"/>
    <w:rsid w:val="7FD57325"/>
    <w:rsid w:val="7FEFE32E"/>
    <w:rsid w:val="BF7F0092"/>
    <w:rsid w:val="BFD6E45E"/>
    <w:rsid w:val="EFEE4F63"/>
    <w:rsid w:val="F4B5F02C"/>
    <w:rsid w:val="FBAFA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widowControl/>
      <w:spacing w:before="260" w:after="260" w:line="412" w:lineRule="auto"/>
      <w:outlineLvl w:val="1"/>
    </w:pPr>
    <w:rPr>
      <w:rFonts w:ascii="Arial Black" w:hAnsi="Arial Black" w:eastAsia="宋体" w:cs="Times New Roman"/>
      <w:b/>
      <w:kern w:val="0"/>
      <w:sz w:val="32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font2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51"/>
    <w:basedOn w:val="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652</Words>
  <Characters>3718</Characters>
  <Lines>30</Lines>
  <Paragraphs>8</Paragraphs>
  <TotalTime>2</TotalTime>
  <ScaleCrop>false</ScaleCrop>
  <LinksUpToDate>false</LinksUpToDate>
  <CharactersWithSpaces>4362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2020-11-12T05:34:00Z</dcterms:created>
  <dc:creator>Administrator</dc:creator>
  <cp:lastModifiedBy>kylin</cp:lastModifiedBy>
  <cp:lastPrinted>2021-01-07T08:19:00Z</cp:lastPrinted>
  <dcterms:modified xsi:type="dcterms:W3CDTF">2022-04-20T16:36:24Z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5685B9DCA5A54F65B551492B8110B209</vt:lpwstr>
  </property>
</Properties>
</file>