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Lines w:val="0"/>
        <w:pageBreakBefore w:val="0"/>
        <w:widowControl/>
        <w:wordWrap/>
        <w:topLinePunct w:val="0"/>
        <w:bidi w:val="0"/>
        <w:adjustRightInd w:val="0"/>
        <w:snapToGrid w:val="0"/>
        <w:spacing w:before="0" w:after="0" w:line="360" w:lineRule="auto"/>
        <w:jc w:val="center"/>
        <w:textAlignment w:val="auto"/>
        <w:rPr>
          <w:rFonts w:hint="eastAsia" w:ascii="Times New Roman" w:hAnsi="Times New Roman" w:eastAsia="黑体" w:cs="Times New Roman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kern w:val="2"/>
          <w:sz w:val="28"/>
          <w:szCs w:val="28"/>
          <w:lang w:val="en-US" w:eastAsia="zh-CN" w:bidi="ar-SA"/>
        </w:rPr>
        <w:t>艾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b w:val="0"/>
          <w:kern w:val="2"/>
          <w:sz w:val="28"/>
          <w:szCs w:val="28"/>
          <w:lang w:val="en-US" w:eastAsia="zh-CN" w:bidi="ar-SA"/>
        </w:rPr>
        <w:t>叶</w:t>
      </w:r>
    </w:p>
    <w:p>
      <w:pPr>
        <w:pStyle w:val="2"/>
        <w:keepLines w:val="0"/>
        <w:pageBreakBefore w:val="0"/>
        <w:widowControl/>
        <w:wordWrap/>
        <w:topLinePunct w:val="0"/>
        <w:bidi w:val="0"/>
        <w:adjustRightInd w:val="0"/>
        <w:snapToGrid w:val="0"/>
        <w:spacing w:before="0" w:after="0" w:line="360" w:lineRule="auto"/>
        <w:jc w:val="center"/>
        <w:textAlignment w:val="auto"/>
        <w:rPr>
          <w:rFonts w:ascii="Times New Roman" w:hAnsi="Times New Roman" w:eastAsia="宋体" w:cs="Times New Roman"/>
          <w:b/>
          <w:bCs/>
          <w:sz w:val="24"/>
          <w:szCs w:val="20"/>
        </w:rPr>
      </w:pPr>
      <w:r>
        <w:rPr>
          <w:rFonts w:hint="eastAsia" w:ascii="Times New Roman" w:hAnsi="Times New Roman" w:eastAsia="黑体" w:cs="Times New Roman"/>
          <w:b/>
          <w:bCs/>
          <w:kern w:val="2"/>
          <w:sz w:val="24"/>
          <w:szCs w:val="24"/>
          <w:lang w:val="en-US" w:eastAsia="zh-CN" w:bidi="ar-SA"/>
        </w:rPr>
        <w:t>Aiye</w:t>
      </w:r>
    </w:p>
    <w:p>
      <w:pPr>
        <w:keepLines w:val="0"/>
        <w:pageBreakBefore w:val="0"/>
        <w:widowControl/>
        <w:wordWrap/>
        <w:topLinePunct w:val="0"/>
        <w:bidi w:val="0"/>
        <w:adjustRightInd w:val="0"/>
        <w:snapToGrid w:val="0"/>
        <w:spacing w:line="360" w:lineRule="auto"/>
        <w:jc w:val="center"/>
        <w:textAlignment w:val="auto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kern w:val="0"/>
          <w:sz w:val="28"/>
          <w:szCs w:val="28"/>
        </w:rPr>
        <w:t>ARTEMISIAE ARGYI FOLIUM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本品为菊科植物艾</w:t>
      </w:r>
      <w:r>
        <w:rPr>
          <w:rFonts w:ascii="Times New Roman" w:hAnsi="Times New Roman" w:eastAsia="宋体" w:cs="Times New Roman"/>
          <w:i w:val="0"/>
          <w:iCs w:val="0"/>
          <w:sz w:val="21"/>
          <w:szCs w:val="21"/>
        </w:rPr>
        <w:t>A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rtemisia argyi</w:t>
      </w:r>
      <w:r>
        <w:rPr>
          <w:rFonts w:ascii="Times New Roman" w:hAnsi="Times New Roman" w:eastAsia="宋体" w:cs="Times New Roman"/>
          <w:sz w:val="21"/>
          <w:szCs w:val="21"/>
        </w:rPr>
        <w:t xml:space="preserve"> Lévl.et Vant.的干燥叶的炮制加工品。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【炮制】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/>
          <w:sz w:val="21"/>
          <w:szCs w:val="21"/>
        </w:rPr>
        <w:t>艾叶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 xml:space="preserve"> 除去杂质及梗，切制15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>25mm的段，筛去灰屑。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【性状】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本品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呈段状，</w:t>
      </w:r>
      <w:r>
        <w:rPr>
          <w:rFonts w:ascii="Times New Roman" w:hAnsi="Times New Roman" w:eastAsia="宋体" w:cs="Times New Roman"/>
          <w:sz w:val="21"/>
          <w:szCs w:val="21"/>
        </w:rPr>
        <w:t>多皱缩、破碎，有短柄。叶片羽状深裂，裂片椭圆状披针形，边缘有不规则的粗锯齿；上表面灰绿色或深黄绿色，有稀疏的柔毛和腺点；下表面密生灰白色绒毛。质柔软。气清香，味苦。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【鉴别】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（1）本品粉末绿褐色。非腺毛有两种：一种为T形毛，顶端细胞长而弯曲，两臂不等长，柄2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>4细胞；另一种为单列性非腺毛，3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>5细胞，顶端细胞特长而扭曲，常断落。腺毛表面观鞋底形，由4、6细胞相对叠合而成，无柄。草酸钙簇晶，直径3~7μm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</w:rPr>
        <w:t>存在于叶肉细胞中。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31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（2）取本品粉末2g，加石油醚（60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>90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）25ml，置水浴上加热回流30分钟，滤过，滤液挥干，残渣加正己烷1ml使溶解，作为供试品溶液。另取艾叶对照药材1g，同法制成对照药材溶液。照薄层色谱法（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ascii="Times New Roman" w:hAnsi="Times New Roman" w:eastAsia="宋体" w:cs="Times New Roman"/>
          <w:sz w:val="21"/>
          <w:szCs w:val="21"/>
        </w:rPr>
        <w:t>通则0502）试验，吸取上述两种溶液各2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>5μl，分别点于同一硅胶G薄层板上，以石油醚（60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>90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）-甲苯-丙酮（10:8:0.5）为展开剂，展开，取出，晾干，喷以1%香草醛硫酸溶液，在105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加热至斑点显色清晰。供试品色谱中，在与对照药材色谱相应的位置上，显相同颜色的主斑点。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【检查】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1"/>
          <w:szCs w:val="21"/>
        </w:rPr>
        <w:t>水分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不得过15.0%（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ascii="Times New Roman" w:hAnsi="Times New Roman" w:eastAsia="宋体" w:cs="Times New Roman"/>
          <w:sz w:val="21"/>
          <w:szCs w:val="21"/>
        </w:rPr>
        <w:t>通则0832第四法）。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27" w:firstLineChars="25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总灰分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不得过12.0%（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ascii="Times New Roman" w:hAnsi="Times New Roman" w:eastAsia="宋体" w:cs="Times New Roman"/>
          <w:sz w:val="21"/>
          <w:szCs w:val="21"/>
        </w:rPr>
        <w:t>通则2302）。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27" w:firstLineChars="25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酸不溶性灰分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不得过3.0%（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ascii="Times New Roman" w:hAnsi="Times New Roman" w:eastAsia="宋体" w:cs="Times New Roman"/>
          <w:sz w:val="21"/>
          <w:szCs w:val="21"/>
        </w:rPr>
        <w:t>通则2302）。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【含量测定】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</w:rPr>
        <w:t>照气相色谱法（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ascii="Times New Roman" w:hAnsi="Times New Roman" w:eastAsia="宋体" w:cs="Times New Roman"/>
          <w:sz w:val="21"/>
          <w:szCs w:val="21"/>
        </w:rPr>
        <w:t>通则0521）测定。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色谱条件与系统适用性试验</w:t>
      </w: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 xml:space="preserve"> 以50%苯基-甲基聚硅氧烷为固定相（柱长为30cm，内径为0.25mm，膜厚度为0.25μm）；柱温为程序升温，初始温度45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，先以每分钟2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的速率升温至75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，保持5分钟；然后以每分钟1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的速率升温至90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，保持6分钟；再以每分钟5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的速率升温至150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；最后以每分钟10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的速率升温至250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，保持5分钟；进样口温度为240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；检测器温度为250</w:t>
      </w:r>
      <w:r>
        <w:rPr>
          <w:rFonts w:hint="eastAsia" w:ascii="Times New Roman" w:hAnsi="Times New Roman" w:eastAsia="宋体" w:cs="宋体"/>
          <w:sz w:val="21"/>
          <w:szCs w:val="21"/>
        </w:rPr>
        <w:t>℃</w:t>
      </w:r>
      <w:r>
        <w:rPr>
          <w:rFonts w:ascii="Times New Roman" w:hAnsi="Times New Roman" w:eastAsia="宋体" w:cs="Times New Roman"/>
          <w:sz w:val="21"/>
          <w:szCs w:val="21"/>
        </w:rPr>
        <w:t>。流量为每分钟0.6ml；分流进样，分流比为5:1。理论板数按龙脑峰计算应不低于50000。</w:t>
      </w:r>
    </w:p>
    <w:p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对照品溶液的制备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>取桉油精对照品、龙脑对照品适量，精密称定，加乙酸乙酯制成每1ml含桉油精0.2mg、龙脑0.1mg的混合溶液，即得。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供试品溶液的制备</w:t>
      </w:r>
      <w:r>
        <w:rPr>
          <w:rFonts w:ascii="Times New Roman" w:hAnsi="Times New Roman" w:eastAsia="宋体" w:cs="Times New Roman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>取艾叶适量，剪碎成约0.5cm的碎片，取约2.5g，精密称定，置圆底烧瓶中，加水300ml，连接挥发油测定器。自测定器上端加水使充满刻度部分，并溢流入烧瓶时为止，再加乙酸乙酯2.5ml，连接回流冷凝管。加热至沸腾，再加热5小时，放冷，分取乙酸乙酯液，置10ml量瓶中，用乙酸乙酯分次洗涤测定器及冷凝管，转入同一量瓶中，用乙酸乙酯稀释至刻度，摇匀，即得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 xml:space="preserve">测定法 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1"/>
          <w:szCs w:val="21"/>
        </w:rPr>
        <w:t> </w:t>
      </w:r>
      <w:r>
        <w:rPr>
          <w:rFonts w:ascii="Times New Roman" w:hAnsi="Times New Roman" w:eastAsia="宋体" w:cs="Times New Roman"/>
          <w:sz w:val="21"/>
          <w:szCs w:val="21"/>
        </w:rPr>
        <w:t>分别精密吸取对照品溶液与供试品溶液各1μl，注入气相色谱仪，测定，即得。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31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本品按干燥品计算，含桉油精（C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10</w:t>
      </w:r>
      <w:r>
        <w:rPr>
          <w:rFonts w:ascii="Times New Roman" w:hAnsi="Times New Roman" w:eastAsia="宋体" w:cs="Times New Roman"/>
          <w:sz w:val="21"/>
          <w:szCs w:val="21"/>
        </w:rPr>
        <w:t>H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8</w:t>
      </w:r>
      <w:r>
        <w:rPr>
          <w:rFonts w:ascii="Times New Roman" w:hAnsi="Times New Roman" w:eastAsia="宋体" w:cs="Times New Roman"/>
          <w:sz w:val="21"/>
          <w:szCs w:val="21"/>
        </w:rPr>
        <w:t>O）不得少于0.050%，含龙脑（C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10</w:t>
      </w:r>
      <w:r>
        <w:rPr>
          <w:rFonts w:ascii="Times New Roman" w:hAnsi="Times New Roman" w:eastAsia="宋体" w:cs="Times New Roman"/>
          <w:sz w:val="21"/>
          <w:szCs w:val="21"/>
        </w:rPr>
        <w:t>H</w:t>
      </w:r>
      <w:r>
        <w:rPr>
          <w:rFonts w:ascii="Times New Roman" w:hAnsi="Times New Roman" w:eastAsia="宋体" w:cs="Times New Roman"/>
          <w:sz w:val="21"/>
          <w:szCs w:val="21"/>
          <w:vertAlign w:val="subscript"/>
        </w:rPr>
        <w:t>18</w:t>
      </w:r>
      <w:r>
        <w:rPr>
          <w:rFonts w:ascii="Times New Roman" w:hAnsi="Times New Roman" w:eastAsia="宋体" w:cs="Times New Roman"/>
          <w:sz w:val="21"/>
          <w:szCs w:val="21"/>
        </w:rPr>
        <w:t>O）不得少于0.020%。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【</w:t>
      </w:r>
      <w:r>
        <w:rPr>
          <w:rFonts w:ascii="Times New Roman" w:hAnsi="Times New Roman" w:eastAsia="宋体" w:cs="Times New Roman"/>
          <w:b/>
          <w:sz w:val="21"/>
          <w:szCs w:val="21"/>
        </w:rPr>
        <w:t>性味与归经】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辛、苦，温；有小毒。归肝、脾、肾经。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【功能与主治</w:t>
      </w:r>
      <w:r>
        <w:rPr>
          <w:rFonts w:ascii="Times New Roman" w:hAnsi="Times New Roman" w:eastAsia="宋体" w:cs="Times New Roman"/>
          <w:sz w:val="21"/>
          <w:szCs w:val="21"/>
        </w:rPr>
        <w:t>】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温经止血，散寒止痛；外用祛湿止痒。用于吐血，衄血，崩漏，月经过多，胎漏下血，少腹冷痛，经寒不调，宫冷不孕；外治皮肤瘙痒。醋艾炭温经止血，用于虚寒性出血。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【用法与用量】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 w:cs="Times New Roman"/>
          <w:sz w:val="21"/>
          <w:szCs w:val="21"/>
        </w:rPr>
        <w:t xml:space="preserve">9g。外用适量，供灸治或熏洗用。 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ind w:firstLine="437" w:firstLineChars="0"/>
        <w:jc w:val="both"/>
        <w:textAlignment w:val="auto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b/>
          <w:sz w:val="21"/>
          <w:szCs w:val="21"/>
        </w:rPr>
        <w:t>【贮藏】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置阴凉干燥处。</w:t>
      </w:r>
    </w:p>
    <w:p>
      <w:pPr>
        <w:keepNext w:val="0"/>
        <w:keepLines w:val="0"/>
        <w:pageBreakBefore w:val="0"/>
        <w:widowControl/>
        <w:wordWrap/>
        <w:topLinePunct w:val="0"/>
        <w:bidi w:val="0"/>
        <w:adjustRightInd w:val="0"/>
        <w:snapToGrid w:val="0"/>
        <w:jc w:val="both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Black">
    <w:altName w:val="DejaVu Sans"/>
    <w:panose1 w:val="020B0A04020102020204"/>
    <w:charset w:val="00"/>
    <w:family w:val="swiss"/>
    <w:pitch w:val="default"/>
    <w:sig w:usb0="00000000" w:usb1="00000000" w:usb2="00000000" w:usb3="00000000" w:csb0="2000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41362F"/>
    <w:rsid w:val="00007CFD"/>
    <w:rsid w:val="00022783"/>
    <w:rsid w:val="0002516A"/>
    <w:rsid w:val="000307B2"/>
    <w:rsid w:val="00090BEE"/>
    <w:rsid w:val="000E493F"/>
    <w:rsid w:val="000E52A0"/>
    <w:rsid w:val="00100036"/>
    <w:rsid w:val="0010200E"/>
    <w:rsid w:val="00147DB5"/>
    <w:rsid w:val="00150576"/>
    <w:rsid w:val="00170B47"/>
    <w:rsid w:val="00183C1D"/>
    <w:rsid w:val="001851E1"/>
    <w:rsid w:val="001A123B"/>
    <w:rsid w:val="0023613C"/>
    <w:rsid w:val="00247FBE"/>
    <w:rsid w:val="002662E4"/>
    <w:rsid w:val="002668B9"/>
    <w:rsid w:val="00267471"/>
    <w:rsid w:val="002E6577"/>
    <w:rsid w:val="00340FD6"/>
    <w:rsid w:val="00372FD8"/>
    <w:rsid w:val="003F6CE1"/>
    <w:rsid w:val="0041362F"/>
    <w:rsid w:val="004C1F60"/>
    <w:rsid w:val="004C569A"/>
    <w:rsid w:val="004D1229"/>
    <w:rsid w:val="00506278"/>
    <w:rsid w:val="00514664"/>
    <w:rsid w:val="00550910"/>
    <w:rsid w:val="00565F66"/>
    <w:rsid w:val="005E5F33"/>
    <w:rsid w:val="005F1254"/>
    <w:rsid w:val="005F7FD5"/>
    <w:rsid w:val="00610B70"/>
    <w:rsid w:val="00632E32"/>
    <w:rsid w:val="006419F6"/>
    <w:rsid w:val="00661018"/>
    <w:rsid w:val="00677EE3"/>
    <w:rsid w:val="006A1980"/>
    <w:rsid w:val="006D7E1A"/>
    <w:rsid w:val="006E194A"/>
    <w:rsid w:val="0075435A"/>
    <w:rsid w:val="007C5A11"/>
    <w:rsid w:val="007E4206"/>
    <w:rsid w:val="00833D78"/>
    <w:rsid w:val="00855A46"/>
    <w:rsid w:val="00885A9B"/>
    <w:rsid w:val="00894287"/>
    <w:rsid w:val="008A1239"/>
    <w:rsid w:val="008B0D07"/>
    <w:rsid w:val="008B3638"/>
    <w:rsid w:val="008F4419"/>
    <w:rsid w:val="00906109"/>
    <w:rsid w:val="00933BAE"/>
    <w:rsid w:val="0095643C"/>
    <w:rsid w:val="009636AB"/>
    <w:rsid w:val="009741FE"/>
    <w:rsid w:val="00991E97"/>
    <w:rsid w:val="009923C4"/>
    <w:rsid w:val="009D1D22"/>
    <w:rsid w:val="009E5153"/>
    <w:rsid w:val="00A04920"/>
    <w:rsid w:val="00A13850"/>
    <w:rsid w:val="00A15DAD"/>
    <w:rsid w:val="00A37CD2"/>
    <w:rsid w:val="00A4397C"/>
    <w:rsid w:val="00A515C8"/>
    <w:rsid w:val="00A523F4"/>
    <w:rsid w:val="00A546E1"/>
    <w:rsid w:val="00A61692"/>
    <w:rsid w:val="00A75A9E"/>
    <w:rsid w:val="00AA299B"/>
    <w:rsid w:val="00AF3428"/>
    <w:rsid w:val="00AF5C19"/>
    <w:rsid w:val="00B120AD"/>
    <w:rsid w:val="00B21484"/>
    <w:rsid w:val="00B226B1"/>
    <w:rsid w:val="00B24FC8"/>
    <w:rsid w:val="00B46481"/>
    <w:rsid w:val="00B470BB"/>
    <w:rsid w:val="00B57677"/>
    <w:rsid w:val="00B72560"/>
    <w:rsid w:val="00BA131D"/>
    <w:rsid w:val="00BF11A0"/>
    <w:rsid w:val="00C01E8B"/>
    <w:rsid w:val="00C03E6C"/>
    <w:rsid w:val="00C66A27"/>
    <w:rsid w:val="00CB7F4E"/>
    <w:rsid w:val="00D013C2"/>
    <w:rsid w:val="00D35255"/>
    <w:rsid w:val="00D6057F"/>
    <w:rsid w:val="00D74438"/>
    <w:rsid w:val="00DA3192"/>
    <w:rsid w:val="00DA57C0"/>
    <w:rsid w:val="00E23E05"/>
    <w:rsid w:val="00E34095"/>
    <w:rsid w:val="00E51A2E"/>
    <w:rsid w:val="00E64654"/>
    <w:rsid w:val="00E7772C"/>
    <w:rsid w:val="00E8128F"/>
    <w:rsid w:val="00EB2C86"/>
    <w:rsid w:val="00EB5CF0"/>
    <w:rsid w:val="00ED32EE"/>
    <w:rsid w:val="00F315A9"/>
    <w:rsid w:val="00F522D7"/>
    <w:rsid w:val="00F527C8"/>
    <w:rsid w:val="00F625D9"/>
    <w:rsid w:val="00F677B0"/>
    <w:rsid w:val="00F86625"/>
    <w:rsid w:val="00FD360E"/>
    <w:rsid w:val="00FF1946"/>
    <w:rsid w:val="00FF6801"/>
    <w:rsid w:val="044F3E5C"/>
    <w:rsid w:val="061A573B"/>
    <w:rsid w:val="061B5BA1"/>
    <w:rsid w:val="0A5D03C8"/>
    <w:rsid w:val="0AB735A1"/>
    <w:rsid w:val="0B205EC0"/>
    <w:rsid w:val="0BF21471"/>
    <w:rsid w:val="17B9053E"/>
    <w:rsid w:val="17BF1DB5"/>
    <w:rsid w:val="18455B38"/>
    <w:rsid w:val="19682A58"/>
    <w:rsid w:val="19CF2258"/>
    <w:rsid w:val="1C7E3F98"/>
    <w:rsid w:val="211C337F"/>
    <w:rsid w:val="235A7747"/>
    <w:rsid w:val="245B1971"/>
    <w:rsid w:val="249A1727"/>
    <w:rsid w:val="2623397D"/>
    <w:rsid w:val="264E5A17"/>
    <w:rsid w:val="2A6D5E1B"/>
    <w:rsid w:val="2E086ADF"/>
    <w:rsid w:val="31520A39"/>
    <w:rsid w:val="353601D5"/>
    <w:rsid w:val="367D3E4A"/>
    <w:rsid w:val="391D981C"/>
    <w:rsid w:val="3DA9080A"/>
    <w:rsid w:val="3F511899"/>
    <w:rsid w:val="3FFC3EDD"/>
    <w:rsid w:val="40361DDE"/>
    <w:rsid w:val="426A52CB"/>
    <w:rsid w:val="4388726D"/>
    <w:rsid w:val="43984BC2"/>
    <w:rsid w:val="44D80097"/>
    <w:rsid w:val="47E3766C"/>
    <w:rsid w:val="4AF36E4D"/>
    <w:rsid w:val="4D587C40"/>
    <w:rsid w:val="51ED7477"/>
    <w:rsid w:val="53E83C7C"/>
    <w:rsid w:val="57E07323"/>
    <w:rsid w:val="5E4D68E6"/>
    <w:rsid w:val="5E6C6783"/>
    <w:rsid w:val="5F980409"/>
    <w:rsid w:val="663B584E"/>
    <w:rsid w:val="6A092370"/>
    <w:rsid w:val="6AD35D7D"/>
    <w:rsid w:val="6DD581A0"/>
    <w:rsid w:val="6F6936FE"/>
    <w:rsid w:val="6FD11076"/>
    <w:rsid w:val="6FE8BE6E"/>
    <w:rsid w:val="733F5863"/>
    <w:rsid w:val="760F2D67"/>
    <w:rsid w:val="764F558F"/>
    <w:rsid w:val="76E62FD7"/>
    <w:rsid w:val="77FDA04A"/>
    <w:rsid w:val="78031BFD"/>
    <w:rsid w:val="797E6BAF"/>
    <w:rsid w:val="7CDC284C"/>
    <w:rsid w:val="7D186E5B"/>
    <w:rsid w:val="BF3A5AB1"/>
    <w:rsid w:val="CFFFDC1E"/>
    <w:rsid w:val="D77FB5E8"/>
    <w:rsid w:val="DFFB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widowControl/>
      <w:spacing w:before="260" w:after="260" w:line="412" w:lineRule="auto"/>
      <w:outlineLvl w:val="1"/>
    </w:pPr>
    <w:rPr>
      <w:rFonts w:ascii="Arial Black" w:hAnsi="Arial Black" w:eastAsia="宋体" w:cs="Times New Roman"/>
      <w:b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font31"/>
    <w:basedOn w:val="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579</Words>
  <Characters>3301</Characters>
  <Lines>27</Lines>
  <Paragraphs>7</Paragraphs>
  <TotalTime>4</TotalTime>
  <ScaleCrop>false</ScaleCrop>
  <LinksUpToDate>false</LinksUpToDate>
  <CharactersWithSpaces>3873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2020-11-12T13:34:00Z</dcterms:created>
  <dc:creator>Administrator</dc:creator>
  <cp:lastModifiedBy>kylin</cp:lastModifiedBy>
  <cp:lastPrinted>2021-01-08T11:34:00Z</cp:lastPrinted>
  <dcterms:modified xsi:type="dcterms:W3CDTF">2022-05-07T09:09:28Z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57D206BCDADC4F548B390763F158F876</vt:lpwstr>
  </property>
</Properties>
</file>