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snapToGrid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snapToGrid/>
          <w:kern w:val="2"/>
          <w:sz w:val="44"/>
          <w:szCs w:val="44"/>
          <w:shd w:val="clear" w:color="auto" w:fill="FFFFFF"/>
          <w:lang w:val="en-US" w:eastAsia="zh-CN" w:bidi="ar-SA"/>
        </w:rPr>
        <w:t>关于下放部分医疗机构审批权限的通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snapToGrid/>
          <w:kern w:val="2"/>
          <w:sz w:val="44"/>
          <w:szCs w:val="44"/>
          <w:shd w:val="clear" w:color="auto" w:fill="FFFFFF"/>
          <w:lang w:val="en-US" w:eastAsia="zh-CN" w:bidi="ar-SA"/>
        </w:rPr>
        <w:t>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皖卫函〔2023〕68 号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各市及省直管县卫生健康委：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为深化“放管服”改革，进一步规范医疗机构行政审批管理，依据《医疗机构管理条例》等法规规章，结合工作实际，现就下放部分医疗机构审批权限事宜通知如下：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一、政府举办的二级中医类医院、二级妇幼保健院、二级 专科医院，独立设置的血液透析中心，独立设置的医疗消毒供 应中心的审批权限，由省卫生健康委下放至设区的市卫生健康 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二、本通知下发前，已在省卫生健康委执业登记的上述类 别医疗机构，其后续校验、变更、监管等工作相应下放至其所 在地设区的市卫生健康委。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三、本通知下发前，省卫生健康委已受理上述类别医疗机 构执业登记申请的，由省卫生健康委完成执业登记后移交至相 应设区的市卫生健康委。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 xml:space="preserve">四、各地要严格执行《医疗机构管理条例》及其实施细则 </w:t>
      </w: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和《安徽省实施〈医疗机构管理条例〉办法》，规范审批流程，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提高服务效率。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本通知自印发之日起施行。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安徽省卫生健康委员会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 xml:space="preserve">2023年3月2日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(信息公开形式：主动公开)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0" w:line="199" w:lineRule="auto"/>
        <w:ind w:right="366"/>
        <w:jc w:val="both"/>
        <w:rPr>
          <w:rFonts w:ascii="微软雅黑" w:hAnsi="微软雅黑" w:eastAsia="微软雅黑" w:cs="微软雅黑"/>
          <w:sz w:val="28"/>
          <w:szCs w:val="28"/>
        </w:rPr>
      </w:pPr>
    </w:p>
    <w:sectPr>
      <w:footerReference r:id="rId5" w:type="default"/>
      <w:pgSz w:w="11906" w:h="16838"/>
      <w:pgMar w:top="1431" w:right="1365" w:bottom="1733" w:left="1479" w:header="0" w:footer="13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108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Q0ZmEzZDM0MGQ5NzE3MjA4MjY4MmNkOWY5ODJhYWMifQ=="/>
  </w:docVars>
  <w:rsids>
    <w:rsidRoot w:val="00000000"/>
    <w:rsid w:val="30C56EE6"/>
    <w:rsid w:val="526A01B2"/>
    <w:rsid w:val="67AC0517"/>
    <w:rsid w:val="6BC04E8F"/>
    <w:rsid w:val="73972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420</Words>
  <Characters>427</Characters>
  <TotalTime>9</TotalTime>
  <ScaleCrop>false</ScaleCrop>
  <LinksUpToDate>false</LinksUpToDate>
  <CharactersWithSpaces>450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2023-03-02T18:11:00Z</dcterms:created>
  <dc:creator>文印室1</dc:creator>
  <cp:lastModifiedBy>comet</cp:lastModifiedBy>
  <dcterms:modified xsi:type="dcterms:W3CDTF">2023-03-06T01:50:34Z</dcterms:modified>
  <dc:title>[发文字号]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2023-03-06T09:40:17Z</vt:filetime>
  </property>
  <property fmtid="{D5CDD505-2E9C-101B-9397-08002B2CF9AE}" pid="4" name="KSOProductBuildVer">
    <vt:lpwstr>2052-11.1.0.12763</vt:lpwstr>
  </property>
  <property fmtid="{D5CDD505-2E9C-101B-9397-08002B2CF9AE}" pid="5" name="ICV">
    <vt:lpwstr>5BF6E3AE5ADE4BFC987785D6CC4B4E27</vt:lpwstr>
  </property>
</Properties>
</file>