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D2" w:rsidRDefault="00355ED2">
      <w:pPr>
        <w:pStyle w:val="2"/>
        <w:keepNext w:val="0"/>
        <w:keepLines w:val="0"/>
        <w:widowControl/>
        <w:shd w:val="clear" w:color="auto" w:fill="FFFFFF"/>
        <w:spacing w:before="0" w:after="0" w:line="580" w:lineRule="exact"/>
        <w:jc w:val="center"/>
        <w:rPr>
          <w:rFonts w:ascii="方正小标宋简体" w:eastAsia="方正小标宋简体" w:hAnsiTheme="majorEastAsia" w:cstheme="majorEastAsia" w:hint="eastAsia"/>
          <w:b w:val="0"/>
          <w:bCs w:val="0"/>
          <w:sz w:val="44"/>
          <w:szCs w:val="44"/>
          <w:shd w:val="clear" w:color="auto" w:fill="FFFFFF"/>
        </w:rPr>
      </w:pPr>
      <w:bookmarkStart w:id="0" w:name="_GoBack"/>
      <w:bookmarkEnd w:id="0"/>
    </w:p>
    <w:p w:rsidR="00355ED2" w:rsidRDefault="00355ED2">
      <w:pPr>
        <w:pStyle w:val="2"/>
        <w:keepNext w:val="0"/>
        <w:keepLines w:val="0"/>
        <w:widowControl/>
        <w:shd w:val="clear" w:color="auto" w:fill="FFFFFF"/>
        <w:spacing w:before="0" w:after="0" w:line="580" w:lineRule="exact"/>
        <w:jc w:val="center"/>
        <w:rPr>
          <w:rFonts w:ascii="方正小标宋简体" w:eastAsia="方正小标宋简体" w:hAnsiTheme="majorEastAsia" w:cstheme="majorEastAsia"/>
          <w:b w:val="0"/>
          <w:bCs w:val="0"/>
          <w:sz w:val="44"/>
          <w:szCs w:val="44"/>
          <w:shd w:val="clear" w:color="auto" w:fill="FFFFFF"/>
        </w:rPr>
      </w:pPr>
    </w:p>
    <w:p w:rsidR="00982E5F" w:rsidRPr="00781914" w:rsidRDefault="00BC06AC">
      <w:pPr>
        <w:pStyle w:val="2"/>
        <w:keepNext w:val="0"/>
        <w:keepLines w:val="0"/>
        <w:widowControl/>
        <w:shd w:val="clear" w:color="auto" w:fill="FFFFFF"/>
        <w:spacing w:before="0" w:after="0" w:line="580" w:lineRule="exact"/>
        <w:jc w:val="center"/>
        <w:rPr>
          <w:rFonts w:ascii="方正小标宋简体" w:eastAsia="方正小标宋简体" w:hAnsiTheme="majorEastAsia" w:cstheme="majorEastAsia"/>
          <w:b w:val="0"/>
          <w:color w:val="000000" w:themeColor="text1"/>
          <w:sz w:val="44"/>
          <w:szCs w:val="44"/>
        </w:rPr>
      </w:pPr>
      <w:r w:rsidRPr="00781914">
        <w:rPr>
          <w:rFonts w:ascii="方正小标宋简体" w:eastAsia="方正小标宋简体" w:hAnsiTheme="majorEastAsia" w:cstheme="majorEastAsia" w:hint="eastAsia"/>
          <w:b w:val="0"/>
          <w:bCs w:val="0"/>
          <w:color w:val="000000" w:themeColor="text1"/>
          <w:sz w:val="44"/>
          <w:szCs w:val="44"/>
          <w:shd w:val="clear" w:color="auto" w:fill="FFFFFF"/>
        </w:rPr>
        <w:t>关于征求《南宁市大健康医疗和管理产业发展“十四五”规划</w:t>
      </w:r>
      <w:r w:rsidRPr="00781914">
        <w:rPr>
          <w:rFonts w:ascii="方正小标宋简体" w:eastAsia="方正小标宋简体" w:hAnsiTheme="majorEastAsia" w:cstheme="majorEastAsia" w:hint="eastAsia"/>
          <w:b w:val="0"/>
          <w:color w:val="000000" w:themeColor="text1"/>
          <w:sz w:val="44"/>
          <w:szCs w:val="44"/>
        </w:rPr>
        <w:t>（</w:t>
      </w:r>
      <w:r w:rsidRPr="00781914">
        <w:rPr>
          <w:rFonts w:ascii="方正小标宋简体" w:eastAsia="方正小标宋简体" w:hAnsiTheme="majorEastAsia" w:cstheme="majorEastAsia" w:hint="eastAsia"/>
          <w:b w:val="0"/>
          <w:bCs w:val="0"/>
          <w:color w:val="000000" w:themeColor="text1"/>
          <w:sz w:val="44"/>
          <w:szCs w:val="44"/>
          <w:shd w:val="clear" w:color="auto" w:fill="FFFFFF"/>
        </w:rPr>
        <w:t>公开征求意见稿）</w:t>
      </w:r>
      <w:r w:rsidRPr="00781914">
        <w:rPr>
          <w:rFonts w:ascii="方正小标宋简体" w:eastAsia="方正小标宋简体" w:hAnsiTheme="majorEastAsia" w:cstheme="majorEastAsia" w:hint="eastAsia"/>
          <w:b w:val="0"/>
          <w:color w:val="000000" w:themeColor="text1"/>
          <w:sz w:val="44"/>
          <w:szCs w:val="44"/>
        </w:rPr>
        <w:t>》</w:t>
      </w:r>
    </w:p>
    <w:p w:rsidR="00982E5F" w:rsidRPr="00781914" w:rsidRDefault="00BC06AC">
      <w:pPr>
        <w:pStyle w:val="2"/>
        <w:keepNext w:val="0"/>
        <w:keepLines w:val="0"/>
        <w:widowControl/>
        <w:shd w:val="clear" w:color="auto" w:fill="FFFFFF"/>
        <w:spacing w:before="0" w:after="0" w:line="580" w:lineRule="exact"/>
        <w:jc w:val="center"/>
        <w:rPr>
          <w:rFonts w:ascii="方正小标宋简体" w:eastAsia="方正小标宋简体" w:hAnsiTheme="majorEastAsia" w:cstheme="majorEastAsia"/>
          <w:b w:val="0"/>
          <w:bCs w:val="0"/>
          <w:color w:val="000000" w:themeColor="text1"/>
          <w:sz w:val="44"/>
          <w:szCs w:val="44"/>
          <w:shd w:val="clear" w:color="auto" w:fill="FFFFFF"/>
        </w:rPr>
      </w:pPr>
      <w:r w:rsidRPr="00781914">
        <w:rPr>
          <w:rFonts w:ascii="方正小标宋简体" w:eastAsia="方正小标宋简体" w:hAnsiTheme="majorEastAsia" w:cstheme="majorEastAsia" w:hint="eastAsia"/>
          <w:b w:val="0"/>
          <w:bCs w:val="0"/>
          <w:color w:val="000000" w:themeColor="text1"/>
          <w:sz w:val="44"/>
          <w:szCs w:val="44"/>
          <w:shd w:val="clear" w:color="auto" w:fill="FFFFFF"/>
        </w:rPr>
        <w:t>意见的通告</w:t>
      </w:r>
    </w:p>
    <w:p w:rsidR="00982E5F" w:rsidRPr="00781914" w:rsidRDefault="00982E5F">
      <w:pPr>
        <w:spacing w:line="580" w:lineRule="exact"/>
        <w:rPr>
          <w:color w:val="000000" w:themeColor="text1"/>
        </w:rPr>
      </w:pPr>
    </w:p>
    <w:p w:rsidR="00982E5F" w:rsidRPr="00781914" w:rsidRDefault="00BC06AC">
      <w:pPr>
        <w:widowControl/>
        <w:shd w:val="clear" w:color="auto" w:fill="FFFFFF"/>
        <w:spacing w:line="520" w:lineRule="exact"/>
        <w:ind w:firstLine="640"/>
        <w:jc w:val="left"/>
        <w:rPr>
          <w:rFonts w:ascii="仿宋_GB2312" w:eastAsia="仿宋_GB2312" w:hAnsi="仿宋_GB2312" w:cs="仿宋_GB2312"/>
          <w:color w:val="000000" w:themeColor="text1"/>
          <w:sz w:val="32"/>
          <w:szCs w:val="32"/>
        </w:rPr>
      </w:pPr>
      <w:r w:rsidRPr="00781914">
        <w:rPr>
          <w:rFonts w:ascii="仿宋_GB2312" w:eastAsia="仿宋_GB2312" w:hAnsi="仿宋_GB2312" w:cs="仿宋_GB2312" w:hint="eastAsia"/>
          <w:color w:val="000000" w:themeColor="text1"/>
          <w:sz w:val="32"/>
          <w:szCs w:val="32"/>
        </w:rPr>
        <w:t>为贯彻落实《广西大健康产业发展规划（2021-2025年）》《南宁市国民经济和社会发展第十四个五年规划和2035年远景目标纲要》要求，深入推进健康南宁建设，积极培育经济发展新动能，更好地</w:t>
      </w:r>
      <w:r w:rsidRPr="00781914">
        <w:rPr>
          <w:rFonts w:ascii="仿宋_GB2312" w:eastAsia="仿宋_GB2312" w:hAnsi="仿宋_GB2312" w:cs="仿宋_GB2312"/>
          <w:color w:val="000000" w:themeColor="text1"/>
          <w:sz w:val="32"/>
          <w:szCs w:val="32"/>
        </w:rPr>
        <w:t>满足人民群众多层次、多样化的健康需求</w:t>
      </w:r>
      <w:r w:rsidRPr="00781914">
        <w:rPr>
          <w:rFonts w:ascii="仿宋_GB2312" w:eastAsia="仿宋_GB2312" w:hAnsi="仿宋_GB2312" w:cs="仿宋_GB2312" w:hint="eastAsia"/>
          <w:color w:val="000000" w:themeColor="text1"/>
          <w:sz w:val="32"/>
          <w:szCs w:val="32"/>
        </w:rPr>
        <w:t>，市卫健委组织编制了《南宁市大健康医疗和管理产业发展“十四五”规划（公开征求意见稿）》。现将全文公布，征求社会各方意见，有关单位和各界人士如有修改意见，请在2023年1月30日前通过以下方式提出：</w:t>
      </w:r>
    </w:p>
    <w:p w:rsidR="00982E5F" w:rsidRPr="00781914" w:rsidRDefault="00BC06AC">
      <w:pPr>
        <w:widowControl/>
        <w:shd w:val="clear" w:color="auto" w:fill="FFFFFF"/>
        <w:spacing w:line="520" w:lineRule="exact"/>
        <w:ind w:firstLine="640"/>
        <w:jc w:val="left"/>
        <w:rPr>
          <w:rFonts w:ascii="仿宋_GB2312" w:eastAsia="仿宋_GB2312" w:hAnsi="仿宋_GB2312" w:cs="仿宋_GB2312"/>
          <w:color w:val="000000" w:themeColor="text1"/>
          <w:sz w:val="32"/>
          <w:szCs w:val="32"/>
        </w:rPr>
      </w:pPr>
      <w:r w:rsidRPr="00781914">
        <w:rPr>
          <w:rFonts w:ascii="仿宋_GB2312" w:eastAsia="仿宋_GB2312" w:hAnsi="仿宋_GB2312" w:cs="仿宋_GB2312" w:hint="eastAsia"/>
          <w:color w:val="000000" w:themeColor="text1"/>
          <w:sz w:val="32"/>
          <w:szCs w:val="32"/>
        </w:rPr>
        <w:t>一、通过电子邮件方式将意见发送至：</w:t>
      </w:r>
      <w:r w:rsidRPr="00781914">
        <w:rPr>
          <w:rFonts w:ascii="仿宋_GB2312" w:eastAsia="仿宋_GB2312" w:hAnsi="仿宋_GB2312" w:cs="仿宋_GB2312" w:hint="eastAsia"/>
          <w:color w:val="000000" w:themeColor="text1"/>
          <w:spacing w:val="-20"/>
          <w:sz w:val="32"/>
          <w:szCs w:val="32"/>
        </w:rPr>
        <w:t>awb5766801@163.com。</w:t>
      </w:r>
    </w:p>
    <w:p w:rsidR="00982E5F" w:rsidRPr="00781914" w:rsidRDefault="00BC06AC">
      <w:pPr>
        <w:widowControl/>
        <w:shd w:val="clear" w:color="auto" w:fill="FFFFFF"/>
        <w:spacing w:line="520" w:lineRule="exact"/>
        <w:ind w:firstLine="640"/>
        <w:jc w:val="left"/>
        <w:rPr>
          <w:rFonts w:ascii="仿宋_GB2312" w:eastAsia="仿宋_GB2312" w:hAnsi="仿宋_GB2312" w:cs="仿宋_GB2312"/>
          <w:color w:val="000000" w:themeColor="text1"/>
          <w:sz w:val="32"/>
          <w:szCs w:val="32"/>
        </w:rPr>
      </w:pPr>
      <w:r w:rsidRPr="00781914">
        <w:rPr>
          <w:rFonts w:ascii="仿宋_GB2312" w:eastAsia="仿宋_GB2312" w:hAnsi="仿宋_GB2312" w:cs="仿宋_GB2312" w:hint="eastAsia"/>
          <w:color w:val="000000" w:themeColor="text1"/>
          <w:sz w:val="32"/>
          <w:szCs w:val="32"/>
        </w:rPr>
        <w:t>二、通过信函方式将意见寄至：南宁市青秀区长湖路26号南宁市卫生健康委员会健康建设促进科（市爱卫办），并请在信封上注明“《南宁市大健康医疗和管理产业发展“十四五”规划（公开征求意见稿）》的意见”，邮政编码：530000。</w:t>
      </w:r>
    </w:p>
    <w:p w:rsidR="00982E5F" w:rsidRPr="00781914" w:rsidRDefault="00982E5F">
      <w:pPr>
        <w:widowControl/>
        <w:shd w:val="clear" w:color="auto" w:fill="FFFFFF"/>
        <w:spacing w:line="520" w:lineRule="exact"/>
        <w:ind w:firstLine="640"/>
        <w:jc w:val="left"/>
        <w:rPr>
          <w:rFonts w:ascii="仿宋_GB2312" w:eastAsia="仿宋_GB2312" w:hAnsi="仿宋_GB2312" w:cs="仿宋_GB2312"/>
          <w:color w:val="000000" w:themeColor="text1"/>
          <w:sz w:val="32"/>
          <w:szCs w:val="32"/>
        </w:rPr>
      </w:pPr>
    </w:p>
    <w:p w:rsidR="00982E5F" w:rsidRPr="00781914" w:rsidRDefault="00982E5F">
      <w:pPr>
        <w:widowControl/>
        <w:shd w:val="clear" w:color="auto" w:fill="FFFFFF"/>
        <w:spacing w:line="520" w:lineRule="exact"/>
        <w:ind w:firstLine="640"/>
        <w:jc w:val="left"/>
        <w:rPr>
          <w:rFonts w:ascii="仿宋_GB2312" w:eastAsia="仿宋_GB2312" w:hAnsi="仿宋_GB2312" w:cs="仿宋_GB2312"/>
          <w:color w:val="000000" w:themeColor="text1"/>
          <w:sz w:val="32"/>
          <w:szCs w:val="32"/>
        </w:rPr>
      </w:pPr>
    </w:p>
    <w:p w:rsidR="00982E5F" w:rsidRPr="00781914" w:rsidRDefault="00BC06AC">
      <w:pPr>
        <w:widowControl/>
        <w:shd w:val="clear" w:color="auto" w:fill="FFFFFF"/>
        <w:spacing w:line="520" w:lineRule="exact"/>
        <w:jc w:val="left"/>
        <w:rPr>
          <w:rFonts w:ascii="仿宋_GB2312" w:eastAsia="仿宋_GB2312" w:hAnsi="仿宋_GB2312" w:cs="仿宋_GB2312"/>
          <w:color w:val="000000" w:themeColor="text1"/>
          <w:kern w:val="0"/>
          <w:sz w:val="32"/>
          <w:szCs w:val="32"/>
          <w:shd w:val="clear" w:color="auto" w:fill="FFFFFF"/>
          <w:lang w:bidi="ar"/>
        </w:rPr>
      </w:pPr>
      <w:r w:rsidRPr="00781914">
        <w:rPr>
          <w:rFonts w:ascii="仿宋_GB2312" w:eastAsia="仿宋_GB2312" w:hAnsi="仿宋_GB2312" w:cs="仿宋_GB2312" w:hint="eastAsia"/>
          <w:color w:val="000000" w:themeColor="text1"/>
          <w:kern w:val="0"/>
          <w:sz w:val="32"/>
          <w:szCs w:val="32"/>
          <w:shd w:val="clear" w:color="auto" w:fill="FFFFFF"/>
          <w:lang w:bidi="ar"/>
        </w:rPr>
        <w:t xml:space="preserve">                            南宁市卫生健康委员会</w:t>
      </w:r>
    </w:p>
    <w:p w:rsidR="00982E5F" w:rsidRPr="00781914" w:rsidRDefault="00BC06AC">
      <w:pPr>
        <w:widowControl/>
        <w:shd w:val="clear" w:color="auto" w:fill="FFFFFF"/>
        <w:spacing w:line="520" w:lineRule="exact"/>
        <w:jc w:val="left"/>
        <w:rPr>
          <w:rFonts w:ascii="仿宋_GB2312" w:eastAsia="仿宋_GB2312" w:hAnsi="仿宋_GB2312" w:cs="仿宋_GB2312"/>
          <w:color w:val="000000" w:themeColor="text1"/>
          <w:kern w:val="0"/>
          <w:sz w:val="32"/>
          <w:szCs w:val="32"/>
          <w:shd w:val="clear" w:color="auto" w:fill="FFFFFF"/>
          <w:lang w:bidi="ar"/>
        </w:rPr>
      </w:pPr>
      <w:r w:rsidRPr="00781914">
        <w:rPr>
          <w:rFonts w:ascii="仿宋_GB2312" w:eastAsia="仿宋_GB2312" w:hAnsi="仿宋_GB2312" w:cs="仿宋_GB2312" w:hint="eastAsia"/>
          <w:color w:val="000000" w:themeColor="text1"/>
          <w:kern w:val="0"/>
          <w:sz w:val="32"/>
          <w:szCs w:val="32"/>
          <w:shd w:val="clear" w:color="auto" w:fill="FFFFFF"/>
          <w:lang w:bidi="ar"/>
        </w:rPr>
        <w:t xml:space="preserve">                             </w:t>
      </w:r>
      <w:r w:rsidR="00355ED2" w:rsidRPr="00781914">
        <w:rPr>
          <w:rFonts w:ascii="仿宋_GB2312" w:eastAsia="仿宋_GB2312" w:hAnsi="仿宋_GB2312" w:cs="仿宋_GB2312" w:hint="eastAsia"/>
          <w:color w:val="000000" w:themeColor="text1"/>
          <w:kern w:val="0"/>
          <w:sz w:val="32"/>
          <w:szCs w:val="32"/>
          <w:shd w:val="clear" w:color="auto" w:fill="FFFFFF"/>
          <w:lang w:bidi="ar"/>
        </w:rPr>
        <w:t xml:space="preserve"> </w:t>
      </w:r>
      <w:r w:rsidRPr="00781914">
        <w:rPr>
          <w:rFonts w:ascii="仿宋_GB2312" w:eastAsia="仿宋_GB2312" w:hAnsi="仿宋_GB2312" w:cs="仿宋_GB2312" w:hint="eastAsia"/>
          <w:color w:val="000000" w:themeColor="text1"/>
          <w:kern w:val="0"/>
          <w:sz w:val="32"/>
          <w:szCs w:val="32"/>
          <w:shd w:val="clear" w:color="auto" w:fill="FFFFFF"/>
          <w:lang w:bidi="ar"/>
        </w:rPr>
        <w:t xml:space="preserve"> 2023年1月3日</w:t>
      </w:r>
    </w:p>
    <w:p w:rsidR="00982E5F" w:rsidRDefault="00982E5F">
      <w:pPr>
        <w:jc w:val="left"/>
        <w:rPr>
          <w:rFonts w:ascii="方正小标宋_GBK" w:eastAsia="方正小标宋_GBK" w:hAnsi="微软雅黑"/>
          <w:bCs/>
          <w:sz w:val="32"/>
          <w:szCs w:val="32"/>
        </w:rPr>
      </w:pPr>
    </w:p>
    <w:p w:rsidR="00982E5F" w:rsidRDefault="00982E5F">
      <w:pPr>
        <w:pStyle w:val="a0"/>
        <w:rPr>
          <w:rFonts w:ascii="方正小标宋_GBK" w:eastAsia="方正小标宋_GBK"/>
          <w:bCs/>
          <w:sz w:val="32"/>
          <w:szCs w:val="32"/>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BC06AC">
      <w:pPr>
        <w:spacing w:beforeLines="50" w:before="156" w:afterLines="50" w:after="156"/>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南宁市大健康医疗和管理产业“十四五”规划</w:t>
      </w:r>
    </w:p>
    <w:p w:rsidR="00982E5F" w:rsidRPr="001E1011" w:rsidRDefault="00BC06AC">
      <w:pPr>
        <w:spacing w:beforeLines="50" w:before="156" w:afterLines="50" w:after="156"/>
        <w:jc w:val="center"/>
        <w:rPr>
          <w:rFonts w:ascii="楷体_GB2312" w:eastAsia="楷体_GB2312" w:hAnsi="方正小标宋_GBK" w:cs="方正小标宋_GBK"/>
          <w:bCs/>
          <w:sz w:val="36"/>
          <w:szCs w:val="36"/>
        </w:rPr>
      </w:pPr>
      <w:r w:rsidRPr="001E1011">
        <w:rPr>
          <w:rFonts w:ascii="楷体_GB2312" w:eastAsia="楷体_GB2312" w:hAnsi="方正小标宋_GBK" w:cs="方正小标宋_GBK" w:hint="eastAsia"/>
          <w:bCs/>
          <w:sz w:val="36"/>
          <w:szCs w:val="36"/>
        </w:rPr>
        <w:t>（</w:t>
      </w:r>
      <w:r w:rsidRPr="001E1011">
        <w:rPr>
          <w:rFonts w:ascii="楷体_GB2312" w:eastAsia="楷体_GB2312" w:hAnsi="仿宋_GB2312" w:cs="仿宋_GB2312" w:hint="eastAsia"/>
          <w:sz w:val="32"/>
          <w:szCs w:val="32"/>
        </w:rPr>
        <w:t>公开征求意见稿</w:t>
      </w:r>
      <w:r w:rsidRPr="001E1011">
        <w:rPr>
          <w:rFonts w:ascii="楷体_GB2312" w:eastAsia="楷体_GB2312" w:hAnsi="方正小标宋_GBK" w:cs="方正小标宋_GBK" w:hint="eastAsia"/>
          <w:bCs/>
          <w:sz w:val="36"/>
          <w:szCs w:val="36"/>
        </w:rPr>
        <w:t>）</w:t>
      </w: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pStyle w:val="a0"/>
        <w:rPr>
          <w:rFonts w:ascii="微软雅黑" w:eastAsia="微软雅黑" w:hAnsi="微软雅黑"/>
          <w:bCs/>
          <w:sz w:val="36"/>
          <w:szCs w:val="36"/>
        </w:rPr>
      </w:pPr>
    </w:p>
    <w:p w:rsidR="00982E5F" w:rsidRDefault="00982E5F">
      <w:pPr>
        <w:pStyle w:val="a0"/>
        <w:rPr>
          <w:rFonts w:ascii="微软雅黑" w:eastAsia="微软雅黑" w:hAnsi="微软雅黑"/>
          <w:bCs/>
          <w:sz w:val="36"/>
          <w:szCs w:val="36"/>
        </w:rPr>
      </w:pPr>
    </w:p>
    <w:p w:rsidR="00982E5F" w:rsidRDefault="00982E5F">
      <w:pPr>
        <w:pStyle w:val="a0"/>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pStyle w:val="a0"/>
        <w:rPr>
          <w:rFonts w:ascii="方正小标宋_GBK" w:eastAsia="方正小标宋_GBK" w:hAnsi="方正小标宋_GBK" w:cs="方正小标宋_GBK"/>
          <w:bCs/>
        </w:rPr>
      </w:pPr>
    </w:p>
    <w:p w:rsidR="00982E5F" w:rsidRDefault="00BC06AC">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南宁市卫生健康委员会</w:t>
      </w:r>
    </w:p>
    <w:p w:rsidR="00982E5F" w:rsidRDefault="00BC06AC">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2022年12月</w:t>
      </w: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spacing w:beforeLines="50" w:before="156" w:afterLines="50" w:after="156"/>
        <w:jc w:val="center"/>
        <w:rPr>
          <w:rFonts w:ascii="微软雅黑" w:eastAsia="微软雅黑" w:hAnsi="微软雅黑"/>
          <w:bCs/>
          <w:sz w:val="36"/>
          <w:szCs w:val="36"/>
        </w:rPr>
      </w:pPr>
    </w:p>
    <w:p w:rsidR="00982E5F" w:rsidRDefault="00982E5F">
      <w:pPr>
        <w:pStyle w:val="a0"/>
        <w:rPr>
          <w:rFonts w:ascii="微软雅黑" w:eastAsia="微软雅黑" w:hAnsi="微软雅黑"/>
          <w:bCs/>
          <w:sz w:val="36"/>
          <w:szCs w:val="36"/>
        </w:rPr>
      </w:pPr>
    </w:p>
    <w:p w:rsidR="00982E5F" w:rsidRDefault="00982E5F">
      <w:pPr>
        <w:pStyle w:val="a0"/>
        <w:rPr>
          <w:rFonts w:ascii="微软雅黑" w:eastAsia="微软雅黑" w:hAnsi="微软雅黑"/>
          <w:bCs/>
          <w:sz w:val="36"/>
          <w:szCs w:val="36"/>
        </w:rPr>
      </w:pPr>
    </w:p>
    <w:p w:rsidR="00982E5F" w:rsidRDefault="00BC06AC">
      <w:pPr>
        <w:spacing w:beforeLines="50" w:before="156" w:afterLines="50" w:after="156"/>
        <w:jc w:val="center"/>
        <w:rPr>
          <w:rFonts w:ascii="微软雅黑" w:eastAsia="微软雅黑" w:hAnsi="微软雅黑" w:cs="Times New Roman"/>
          <w:bCs/>
          <w:sz w:val="36"/>
          <w:szCs w:val="36"/>
        </w:rPr>
      </w:pPr>
      <w:r>
        <w:rPr>
          <w:rFonts w:ascii="微软雅黑" w:eastAsia="微软雅黑" w:hAnsi="微软雅黑" w:cs="Times New Roman" w:hint="eastAsia"/>
          <w:bCs/>
          <w:sz w:val="36"/>
          <w:szCs w:val="36"/>
        </w:rPr>
        <w:t>目  录</w:t>
      </w:r>
    </w:p>
    <w:p w:rsidR="00982E5F" w:rsidRDefault="00BC06AC">
      <w:pPr>
        <w:pStyle w:val="10"/>
        <w:tabs>
          <w:tab w:val="right" w:leader="dot" w:pos="8306"/>
        </w:tabs>
        <w:spacing w:line="560" w:lineRule="exact"/>
        <w:rPr>
          <w:rFonts w:ascii="黑体" w:hAnsi="黑体" w:cs="黑体"/>
          <w:b w:val="0"/>
          <w:szCs w:val="32"/>
        </w:rPr>
      </w:pPr>
      <w:r>
        <w:rPr>
          <w:rFonts w:ascii="仿宋" w:eastAsia="仿宋" w:hAnsi="仿宋" w:cs="仿宋" w:hint="eastAsia"/>
          <w:b w:val="0"/>
          <w:caps w:val="0"/>
          <w:szCs w:val="32"/>
        </w:rPr>
        <w:fldChar w:fldCharType="begin"/>
      </w:r>
      <w:r>
        <w:rPr>
          <w:rFonts w:ascii="仿宋" w:eastAsia="仿宋" w:hAnsi="仿宋" w:cs="仿宋" w:hint="eastAsia"/>
          <w:b w:val="0"/>
          <w:caps w:val="0"/>
          <w:szCs w:val="32"/>
        </w:rPr>
        <w:instrText xml:space="preserve"> TOC \o "1-3" \h \z \u </w:instrText>
      </w:r>
      <w:r>
        <w:rPr>
          <w:rFonts w:ascii="仿宋" w:eastAsia="仿宋" w:hAnsi="仿宋" w:cs="仿宋" w:hint="eastAsia"/>
          <w:b w:val="0"/>
          <w:caps w:val="0"/>
          <w:szCs w:val="32"/>
        </w:rPr>
        <w:fldChar w:fldCharType="separate"/>
      </w:r>
      <w:hyperlink w:anchor="_Toc11443" w:history="1">
        <w:r>
          <w:rPr>
            <w:rFonts w:ascii="黑体" w:hAnsi="黑体" w:cs="黑体" w:hint="eastAsia"/>
            <w:b w:val="0"/>
            <w:szCs w:val="32"/>
          </w:rPr>
          <w:t>前  言</w:t>
        </w:r>
        <w:r>
          <w:rPr>
            <w:rFonts w:ascii="黑体" w:hAnsi="黑体" w:cs="黑体" w:hint="eastAsia"/>
            <w:b w:val="0"/>
            <w:szCs w:val="32"/>
          </w:rPr>
          <w:tab/>
        </w:r>
        <w:r>
          <w:rPr>
            <w:rFonts w:ascii="黑体" w:hAnsi="黑体" w:cs="黑体" w:hint="eastAsia"/>
            <w:b w:val="0"/>
            <w:szCs w:val="32"/>
          </w:rPr>
          <w:fldChar w:fldCharType="begin"/>
        </w:r>
        <w:r>
          <w:rPr>
            <w:rFonts w:ascii="黑体" w:hAnsi="黑体" w:cs="黑体" w:hint="eastAsia"/>
            <w:b w:val="0"/>
            <w:szCs w:val="32"/>
          </w:rPr>
          <w:instrText xml:space="preserve"> PAGEREF _Toc11443 \h </w:instrText>
        </w:r>
        <w:r>
          <w:rPr>
            <w:rFonts w:ascii="黑体" w:hAnsi="黑体" w:cs="黑体" w:hint="eastAsia"/>
            <w:b w:val="0"/>
            <w:szCs w:val="32"/>
          </w:rPr>
        </w:r>
        <w:r>
          <w:rPr>
            <w:rFonts w:ascii="黑体" w:hAnsi="黑体" w:cs="黑体" w:hint="eastAsia"/>
            <w:b w:val="0"/>
            <w:szCs w:val="32"/>
          </w:rPr>
          <w:fldChar w:fldCharType="separate"/>
        </w:r>
        <w:r w:rsidR="00DC6E87">
          <w:rPr>
            <w:rFonts w:ascii="黑体" w:hAnsi="黑体" w:cs="黑体"/>
            <w:b w:val="0"/>
            <w:noProof/>
            <w:szCs w:val="32"/>
          </w:rPr>
          <w:t>1</w:t>
        </w:r>
        <w:r>
          <w:rPr>
            <w:rFonts w:ascii="黑体" w:hAnsi="黑体" w:cs="黑体" w:hint="eastAsia"/>
            <w:b w:val="0"/>
            <w:szCs w:val="32"/>
          </w:rPr>
          <w:fldChar w:fldCharType="end"/>
        </w:r>
      </w:hyperlink>
    </w:p>
    <w:p w:rsidR="00982E5F" w:rsidRDefault="00DC7C36">
      <w:pPr>
        <w:pStyle w:val="10"/>
        <w:tabs>
          <w:tab w:val="right" w:leader="dot" w:pos="8306"/>
        </w:tabs>
        <w:spacing w:line="560" w:lineRule="exact"/>
        <w:rPr>
          <w:rFonts w:ascii="黑体" w:hAnsi="黑体" w:cs="黑体"/>
          <w:b w:val="0"/>
          <w:szCs w:val="32"/>
        </w:rPr>
      </w:pPr>
      <w:hyperlink w:anchor="_Toc29905" w:history="1">
        <w:r w:rsidR="00BC06AC">
          <w:rPr>
            <w:rFonts w:ascii="黑体" w:hAnsi="黑体" w:cs="黑体" w:hint="eastAsia"/>
            <w:b w:val="0"/>
            <w:szCs w:val="32"/>
          </w:rPr>
          <w:t xml:space="preserve">第一章  </w:t>
        </w:r>
        <w:r w:rsidR="00BC06AC">
          <w:rPr>
            <w:rFonts w:ascii="黑体" w:hAnsi="黑体" w:cs="黑体" w:hint="eastAsia"/>
            <w:b w:val="0"/>
            <w:spacing w:val="-20"/>
            <w:szCs w:val="32"/>
          </w:rPr>
          <w:t>南宁市大健康医疗和管理产业发展“十三五”回顾</w:t>
        </w:r>
        <w:r w:rsidR="00BC06AC">
          <w:rPr>
            <w:rFonts w:ascii="黑体" w:hAnsi="黑体" w:cs="黑体" w:hint="eastAsia"/>
            <w:b w:val="0"/>
            <w:szCs w:val="32"/>
          </w:rPr>
          <w:tab/>
        </w:r>
        <w:r w:rsidR="00BC06AC">
          <w:rPr>
            <w:rFonts w:ascii="黑体" w:hAnsi="黑体" w:cs="黑体" w:hint="eastAsia"/>
            <w:b w:val="0"/>
            <w:szCs w:val="32"/>
          </w:rPr>
          <w:fldChar w:fldCharType="begin"/>
        </w:r>
        <w:r w:rsidR="00BC06AC">
          <w:rPr>
            <w:rFonts w:ascii="黑体" w:hAnsi="黑体" w:cs="黑体" w:hint="eastAsia"/>
            <w:b w:val="0"/>
            <w:szCs w:val="32"/>
          </w:rPr>
          <w:instrText xml:space="preserve"> PAGEREF _Toc29905 \h </w:instrText>
        </w:r>
        <w:r w:rsidR="00BC06AC">
          <w:rPr>
            <w:rFonts w:ascii="黑体" w:hAnsi="黑体" w:cs="黑体" w:hint="eastAsia"/>
            <w:b w:val="0"/>
            <w:szCs w:val="32"/>
          </w:rPr>
        </w:r>
        <w:r w:rsidR="00BC06AC">
          <w:rPr>
            <w:rFonts w:ascii="黑体" w:hAnsi="黑体" w:cs="黑体" w:hint="eastAsia"/>
            <w:b w:val="0"/>
            <w:szCs w:val="32"/>
          </w:rPr>
          <w:fldChar w:fldCharType="separate"/>
        </w:r>
        <w:r w:rsidR="00DC6E87">
          <w:rPr>
            <w:rFonts w:ascii="黑体" w:hAnsi="黑体" w:cs="黑体"/>
            <w:b w:val="0"/>
            <w:noProof/>
            <w:szCs w:val="32"/>
          </w:rPr>
          <w:t>2</w:t>
        </w:r>
        <w:r w:rsidR="00BC06AC">
          <w:rPr>
            <w:rFonts w:ascii="黑体" w:hAnsi="黑体" w:cs="黑体" w:hint="eastAsia"/>
            <w:b w:val="0"/>
            <w:szCs w:val="32"/>
          </w:rPr>
          <w:fldChar w:fldCharType="end"/>
        </w:r>
      </w:hyperlink>
    </w:p>
    <w:p w:rsidR="00982E5F" w:rsidRDefault="00DC7C36">
      <w:pPr>
        <w:pStyle w:val="10"/>
        <w:tabs>
          <w:tab w:val="right" w:leader="dot" w:pos="8306"/>
        </w:tabs>
        <w:spacing w:line="560" w:lineRule="exact"/>
        <w:rPr>
          <w:rFonts w:ascii="仿宋" w:eastAsia="仿宋" w:hAnsi="仿宋" w:cs="仿宋"/>
          <w:b w:val="0"/>
          <w:szCs w:val="32"/>
        </w:rPr>
      </w:pPr>
      <w:hyperlink w:anchor="_Toc29911" w:history="1">
        <w:r w:rsidR="00BC06AC">
          <w:rPr>
            <w:rFonts w:ascii="仿宋" w:eastAsia="仿宋" w:hAnsi="仿宋" w:cs="仿宋" w:hint="eastAsia"/>
            <w:b w:val="0"/>
            <w:szCs w:val="32"/>
          </w:rPr>
          <w:t>一、发展基础</w:t>
        </w:r>
        <w:r w:rsidR="00BC06AC">
          <w:rPr>
            <w:rFonts w:ascii="仿宋" w:eastAsia="仿宋" w:hAnsi="仿宋" w:cs="仿宋" w:hint="eastAsia"/>
            <w:b w:val="0"/>
            <w:szCs w:val="32"/>
          </w:rPr>
          <w:tab/>
        </w:r>
        <w:r w:rsidR="00BC06AC">
          <w:rPr>
            <w:rFonts w:ascii="仿宋" w:eastAsia="仿宋" w:hAnsi="仿宋" w:cs="仿宋" w:hint="eastAsia"/>
            <w:b w:val="0"/>
            <w:szCs w:val="32"/>
          </w:rPr>
          <w:fldChar w:fldCharType="begin"/>
        </w:r>
        <w:r w:rsidR="00BC06AC">
          <w:rPr>
            <w:rFonts w:ascii="仿宋" w:eastAsia="仿宋" w:hAnsi="仿宋" w:cs="仿宋" w:hint="eastAsia"/>
            <w:b w:val="0"/>
            <w:szCs w:val="32"/>
          </w:rPr>
          <w:instrText xml:space="preserve"> PAGEREF _Toc29911 \h </w:instrText>
        </w:r>
        <w:r w:rsidR="00BC06AC">
          <w:rPr>
            <w:rFonts w:ascii="仿宋" w:eastAsia="仿宋" w:hAnsi="仿宋" w:cs="仿宋" w:hint="eastAsia"/>
            <w:b w:val="0"/>
            <w:szCs w:val="32"/>
          </w:rPr>
        </w:r>
        <w:r w:rsidR="00BC06AC">
          <w:rPr>
            <w:rFonts w:ascii="仿宋" w:eastAsia="仿宋" w:hAnsi="仿宋" w:cs="仿宋" w:hint="eastAsia"/>
            <w:b w:val="0"/>
            <w:szCs w:val="32"/>
          </w:rPr>
          <w:fldChar w:fldCharType="separate"/>
        </w:r>
        <w:r w:rsidR="00DC6E87">
          <w:rPr>
            <w:rFonts w:ascii="仿宋" w:eastAsia="仿宋" w:hAnsi="仿宋" w:cs="仿宋"/>
            <w:b w:val="0"/>
            <w:noProof/>
            <w:szCs w:val="32"/>
          </w:rPr>
          <w:t>2</w:t>
        </w:r>
        <w:r w:rsidR="00BC06AC">
          <w:rPr>
            <w:rFonts w:ascii="仿宋" w:eastAsia="仿宋" w:hAnsi="仿宋" w:cs="仿宋" w:hint="eastAsia"/>
            <w:b w:val="0"/>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6855" w:history="1">
        <w:r w:rsidR="00BC06AC">
          <w:rPr>
            <w:rFonts w:ascii="仿宋" w:eastAsia="仿宋" w:hAnsi="仿宋" w:cs="仿宋" w:hint="eastAsia"/>
            <w:bCs/>
            <w:szCs w:val="32"/>
          </w:rPr>
          <w:t>（一）产业环境持续优化，政策措施日趋完善</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_Toc16855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2564" w:history="1">
        <w:r w:rsidR="00BC06AC">
          <w:rPr>
            <w:rFonts w:ascii="仿宋" w:eastAsia="仿宋" w:hAnsi="仿宋" w:cs="仿宋" w:hint="eastAsia"/>
            <w:bCs/>
            <w:szCs w:val="32"/>
          </w:rPr>
          <w:t>（二）社会办医成效显著，机构规模不断壮大</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_Toc12564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6705" w:history="1">
        <w:r w:rsidR="00BC06AC">
          <w:rPr>
            <w:rFonts w:ascii="仿宋" w:eastAsia="仿宋" w:hAnsi="仿宋" w:cs="仿宋" w:hint="eastAsia"/>
            <w:bCs/>
            <w:szCs w:val="32"/>
          </w:rPr>
          <w:t>（三）招商引资成效明显，服务体系不断完善</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_Toc26705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3721" w:history="1">
        <w:r w:rsidR="00BC06AC">
          <w:rPr>
            <w:rFonts w:ascii="仿宋" w:eastAsia="仿宋" w:hAnsi="仿宋" w:cs="仿宋" w:hint="eastAsia"/>
            <w:bCs/>
            <w:szCs w:val="32"/>
          </w:rPr>
          <w:t>（四）体制机制逐步完善，医联体取得新进展</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_Toc23721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w:t>
        </w:r>
        <w:r w:rsidR="00BC06AC">
          <w:rPr>
            <w:rFonts w:ascii="仿宋" w:eastAsia="仿宋" w:hAnsi="仿宋" w:cs="仿宋" w:hint="eastAsia"/>
            <w:bCs/>
            <w:szCs w:val="32"/>
          </w:rPr>
          <w:fldChar w:fldCharType="end"/>
        </w:r>
      </w:hyperlink>
    </w:p>
    <w:p w:rsidR="00982E5F" w:rsidRDefault="00DC7C36">
      <w:pPr>
        <w:pStyle w:val="10"/>
        <w:tabs>
          <w:tab w:val="right" w:leader="dot" w:pos="8306"/>
        </w:tabs>
        <w:spacing w:line="560" w:lineRule="exact"/>
        <w:rPr>
          <w:rFonts w:ascii="仿宋" w:eastAsia="仿宋" w:hAnsi="仿宋" w:cs="仿宋"/>
          <w:b w:val="0"/>
          <w:szCs w:val="32"/>
        </w:rPr>
      </w:pPr>
      <w:hyperlink w:anchor="_Toc30371" w:history="1">
        <w:r w:rsidR="00BC06AC">
          <w:rPr>
            <w:rFonts w:ascii="仿宋" w:eastAsia="仿宋" w:hAnsi="仿宋" w:cs="仿宋" w:hint="eastAsia"/>
            <w:b w:val="0"/>
            <w:szCs w:val="32"/>
          </w:rPr>
          <w:t>二、存在问题</w:t>
        </w:r>
        <w:r w:rsidR="00BC06AC">
          <w:rPr>
            <w:rFonts w:ascii="仿宋" w:eastAsia="仿宋" w:hAnsi="仿宋" w:cs="仿宋" w:hint="eastAsia"/>
            <w:b w:val="0"/>
            <w:szCs w:val="32"/>
          </w:rPr>
          <w:tab/>
        </w:r>
        <w:r w:rsidR="00BC06AC">
          <w:rPr>
            <w:rFonts w:ascii="仿宋" w:eastAsia="仿宋" w:hAnsi="仿宋" w:cs="仿宋" w:hint="eastAsia"/>
            <w:b w:val="0"/>
            <w:szCs w:val="32"/>
          </w:rPr>
          <w:fldChar w:fldCharType="begin"/>
        </w:r>
        <w:r w:rsidR="00BC06AC">
          <w:rPr>
            <w:rFonts w:ascii="仿宋" w:eastAsia="仿宋" w:hAnsi="仿宋" w:cs="仿宋" w:hint="eastAsia"/>
            <w:b w:val="0"/>
            <w:szCs w:val="32"/>
          </w:rPr>
          <w:instrText xml:space="preserve"> PAGEREF _Toc30371 \h </w:instrText>
        </w:r>
        <w:r w:rsidR="00BC06AC">
          <w:rPr>
            <w:rFonts w:ascii="仿宋" w:eastAsia="仿宋" w:hAnsi="仿宋" w:cs="仿宋" w:hint="eastAsia"/>
            <w:b w:val="0"/>
            <w:szCs w:val="32"/>
          </w:rPr>
        </w:r>
        <w:r w:rsidR="00BC06AC">
          <w:rPr>
            <w:rFonts w:ascii="仿宋" w:eastAsia="仿宋" w:hAnsi="仿宋" w:cs="仿宋" w:hint="eastAsia"/>
            <w:b w:val="0"/>
            <w:szCs w:val="32"/>
          </w:rPr>
          <w:fldChar w:fldCharType="separate"/>
        </w:r>
        <w:r w:rsidR="00DC6E87">
          <w:rPr>
            <w:rFonts w:ascii="仿宋" w:eastAsia="仿宋" w:hAnsi="仿宋" w:cs="仿宋"/>
            <w:b w:val="0"/>
            <w:noProof/>
            <w:szCs w:val="32"/>
          </w:rPr>
          <w:t>4</w:t>
        </w:r>
        <w:r w:rsidR="00BC06AC">
          <w:rPr>
            <w:rFonts w:ascii="仿宋" w:eastAsia="仿宋" w:hAnsi="仿宋" w:cs="仿宋" w:hint="eastAsia"/>
            <w:b w:val="0"/>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3345" w:history="1">
        <w:r w:rsidR="00BC06AC">
          <w:rPr>
            <w:rFonts w:ascii="仿宋" w:eastAsia="仿宋" w:hAnsi="仿宋" w:cs="仿宋" w:hint="eastAsia"/>
            <w:bCs/>
            <w:szCs w:val="32"/>
          </w:rPr>
          <w:t>（一）医疗资源分布不均，分级诊疗支撑不足</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_Toc13345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8453" w:history="1">
        <w:r w:rsidR="00BC06AC">
          <w:rPr>
            <w:rFonts w:ascii="仿宋" w:eastAsia="仿宋" w:hAnsi="仿宋" w:cs="仿宋" w:hint="eastAsia"/>
            <w:bCs/>
            <w:szCs w:val="32"/>
          </w:rPr>
          <w:t>（二）便民医疗发展较弱，社会办医用地偏低</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_Toc18453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6884" w:history="1">
        <w:r w:rsidR="00BC06AC">
          <w:rPr>
            <w:rFonts w:ascii="仿宋" w:eastAsia="仿宋" w:hAnsi="仿宋" w:cs="仿宋" w:hint="eastAsia"/>
            <w:bCs/>
            <w:szCs w:val="32"/>
          </w:rPr>
          <w:t>（三）专科医院配置不足，社会办医有待加强</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_Toc6884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3206" w:history="1">
        <w:r w:rsidR="00BC06AC">
          <w:rPr>
            <w:rFonts w:ascii="仿宋" w:eastAsia="仿宋" w:hAnsi="仿宋" w:cs="仿宋" w:hint="eastAsia"/>
            <w:bCs/>
            <w:szCs w:val="32"/>
          </w:rPr>
          <w:t>（四）托育机构服务不足，一小建设能力不强</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_Toc23206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6</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605" w:history="1">
        <w:r w:rsidR="00BC06AC">
          <w:rPr>
            <w:rFonts w:ascii="仿宋" w:eastAsia="仿宋" w:hAnsi="仿宋" w:cs="仿宋" w:hint="eastAsia"/>
            <w:b w:val="0"/>
            <w:bCs/>
            <w:szCs w:val="32"/>
          </w:rPr>
          <w:t>三、发展环境</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_Toc1605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6</w:t>
        </w:r>
        <w:r w:rsidR="00BC06AC">
          <w:rPr>
            <w:rFonts w:ascii="仿宋" w:eastAsia="仿宋" w:hAnsi="仿宋" w:cs="仿宋" w:hint="eastAsia"/>
            <w:b w:val="0"/>
            <w:bCs/>
            <w:szCs w:val="32"/>
          </w:rPr>
          <w:fldChar w:fldCharType="end"/>
        </w:r>
      </w:hyperlink>
    </w:p>
    <w:p w:rsidR="00982E5F" w:rsidRDefault="00DC7C36">
      <w:pPr>
        <w:pStyle w:val="10"/>
        <w:tabs>
          <w:tab w:val="right" w:leader="dot" w:pos="8306"/>
        </w:tabs>
        <w:spacing w:line="560" w:lineRule="exact"/>
        <w:rPr>
          <w:rFonts w:ascii="黑体" w:hAnsi="黑体" w:cs="黑体"/>
          <w:b w:val="0"/>
          <w:szCs w:val="32"/>
        </w:rPr>
      </w:pPr>
      <w:hyperlink w:anchor="_Toc18535" w:history="1">
        <w:r w:rsidR="00BC06AC">
          <w:rPr>
            <w:rFonts w:ascii="黑体" w:hAnsi="黑体" w:cs="黑体" w:hint="eastAsia"/>
            <w:b w:val="0"/>
            <w:szCs w:val="32"/>
          </w:rPr>
          <w:t>第二章  总体思路和发展目标</w:t>
        </w:r>
        <w:r w:rsidR="00BC06AC">
          <w:rPr>
            <w:rFonts w:ascii="黑体" w:hAnsi="黑体" w:cs="黑体" w:hint="eastAsia"/>
            <w:b w:val="0"/>
            <w:szCs w:val="32"/>
          </w:rPr>
          <w:tab/>
        </w:r>
        <w:r w:rsidR="00BC06AC">
          <w:rPr>
            <w:rFonts w:ascii="黑体" w:hAnsi="黑体" w:cs="黑体" w:hint="eastAsia"/>
            <w:b w:val="0"/>
            <w:szCs w:val="32"/>
          </w:rPr>
          <w:fldChar w:fldCharType="begin"/>
        </w:r>
        <w:r w:rsidR="00BC06AC">
          <w:rPr>
            <w:rFonts w:ascii="黑体" w:hAnsi="黑体" w:cs="黑体" w:hint="eastAsia"/>
            <w:b w:val="0"/>
            <w:szCs w:val="32"/>
          </w:rPr>
          <w:instrText xml:space="preserve"> PAGEREF _Toc18535 \h </w:instrText>
        </w:r>
        <w:r w:rsidR="00BC06AC">
          <w:rPr>
            <w:rFonts w:ascii="黑体" w:hAnsi="黑体" w:cs="黑体" w:hint="eastAsia"/>
            <w:b w:val="0"/>
            <w:szCs w:val="32"/>
          </w:rPr>
        </w:r>
        <w:r w:rsidR="00BC06AC">
          <w:rPr>
            <w:rFonts w:ascii="黑体" w:hAnsi="黑体" w:cs="黑体" w:hint="eastAsia"/>
            <w:b w:val="0"/>
            <w:szCs w:val="32"/>
          </w:rPr>
          <w:fldChar w:fldCharType="separate"/>
        </w:r>
        <w:r w:rsidR="00DC6E87">
          <w:rPr>
            <w:rFonts w:ascii="黑体" w:hAnsi="黑体" w:cs="黑体"/>
            <w:b w:val="0"/>
            <w:noProof/>
            <w:szCs w:val="32"/>
          </w:rPr>
          <w:t>9</w:t>
        </w:r>
        <w:r w:rsidR="00BC06AC">
          <w:rPr>
            <w:rFonts w:ascii="黑体" w:hAnsi="黑体" w:cs="黑体" w:hint="eastAsia"/>
            <w:b w:val="0"/>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5075" w:history="1">
        <w:r w:rsidR="00BC06AC">
          <w:rPr>
            <w:rFonts w:ascii="仿宋" w:eastAsia="仿宋" w:hAnsi="仿宋" w:cs="仿宋" w:hint="eastAsia"/>
            <w:b w:val="0"/>
            <w:bCs/>
            <w:szCs w:val="32"/>
          </w:rPr>
          <w:t>一、指导思想</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_Toc25075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9</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0406" w:history="1">
        <w:r w:rsidR="00BC06AC">
          <w:rPr>
            <w:rFonts w:ascii="仿宋" w:eastAsia="仿宋" w:hAnsi="仿宋" w:cs="仿宋" w:hint="eastAsia"/>
            <w:b w:val="0"/>
            <w:bCs/>
            <w:szCs w:val="32"/>
          </w:rPr>
          <w:t>二、基本原则</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_Toc10406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10</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6631" w:history="1">
        <w:r w:rsidR="00BC06AC">
          <w:rPr>
            <w:rFonts w:ascii="仿宋" w:eastAsia="仿宋" w:hAnsi="仿宋" w:cs="仿宋" w:hint="eastAsia"/>
            <w:b w:val="0"/>
            <w:bCs/>
            <w:szCs w:val="32"/>
          </w:rPr>
          <w:t>三、发展定位</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_Toc16631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11</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32626" w:history="1">
        <w:r w:rsidR="00BC06AC">
          <w:rPr>
            <w:rFonts w:ascii="仿宋" w:eastAsia="仿宋" w:hAnsi="仿宋" w:cs="仿宋" w:hint="eastAsia"/>
            <w:b w:val="0"/>
            <w:bCs/>
            <w:szCs w:val="32"/>
          </w:rPr>
          <w:t>四、发展目标</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_Toc32626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12</w:t>
        </w:r>
        <w:r w:rsidR="00BC06AC">
          <w:rPr>
            <w:rFonts w:ascii="仿宋" w:eastAsia="仿宋" w:hAnsi="仿宋" w:cs="仿宋" w:hint="eastAsia"/>
            <w:b w:val="0"/>
            <w:bCs/>
            <w:szCs w:val="32"/>
          </w:rPr>
          <w:fldChar w:fldCharType="end"/>
        </w:r>
      </w:hyperlink>
    </w:p>
    <w:p w:rsidR="00982E5F" w:rsidRDefault="00DC7C36">
      <w:pPr>
        <w:pStyle w:val="10"/>
        <w:tabs>
          <w:tab w:val="right" w:leader="dot" w:pos="8306"/>
        </w:tabs>
        <w:spacing w:line="560" w:lineRule="exact"/>
        <w:rPr>
          <w:rFonts w:ascii="黑体" w:hAnsi="黑体" w:cs="黑体"/>
          <w:b w:val="0"/>
          <w:szCs w:val="32"/>
        </w:rPr>
      </w:pPr>
      <w:hyperlink w:anchor="_Toc1962" w:history="1">
        <w:r w:rsidR="00BC06AC">
          <w:rPr>
            <w:rFonts w:ascii="黑体" w:hAnsi="黑体" w:cs="黑体" w:hint="eastAsia"/>
            <w:b w:val="0"/>
            <w:szCs w:val="32"/>
          </w:rPr>
          <w:t>第三章  构建产业新体系</w:t>
        </w:r>
        <w:r w:rsidR="00BC06AC">
          <w:rPr>
            <w:rFonts w:ascii="黑体" w:hAnsi="黑体" w:cs="黑体" w:hint="eastAsia"/>
            <w:b w:val="0"/>
            <w:szCs w:val="32"/>
          </w:rPr>
          <w:tab/>
        </w:r>
        <w:r w:rsidR="00BC06AC">
          <w:rPr>
            <w:rFonts w:ascii="黑体" w:hAnsi="黑体" w:cs="黑体" w:hint="eastAsia"/>
            <w:b w:val="0"/>
            <w:szCs w:val="32"/>
          </w:rPr>
          <w:fldChar w:fldCharType="begin"/>
        </w:r>
        <w:r w:rsidR="00BC06AC">
          <w:rPr>
            <w:rFonts w:ascii="黑体" w:hAnsi="黑体" w:cs="黑体" w:hint="eastAsia"/>
            <w:b w:val="0"/>
            <w:szCs w:val="32"/>
          </w:rPr>
          <w:instrText xml:space="preserve"> PAGEREF _Toc1962 \h </w:instrText>
        </w:r>
        <w:r w:rsidR="00BC06AC">
          <w:rPr>
            <w:rFonts w:ascii="黑体" w:hAnsi="黑体" w:cs="黑体" w:hint="eastAsia"/>
            <w:b w:val="0"/>
            <w:szCs w:val="32"/>
          </w:rPr>
        </w:r>
        <w:r w:rsidR="00BC06AC">
          <w:rPr>
            <w:rFonts w:ascii="黑体" w:hAnsi="黑体" w:cs="黑体" w:hint="eastAsia"/>
            <w:b w:val="0"/>
            <w:szCs w:val="32"/>
          </w:rPr>
          <w:fldChar w:fldCharType="separate"/>
        </w:r>
        <w:r w:rsidR="00DC6E87">
          <w:rPr>
            <w:rFonts w:ascii="黑体" w:hAnsi="黑体" w:cs="黑体"/>
            <w:b w:val="0"/>
            <w:noProof/>
            <w:szCs w:val="32"/>
          </w:rPr>
          <w:t>14</w:t>
        </w:r>
        <w:r w:rsidR="00BC06AC">
          <w:rPr>
            <w:rFonts w:ascii="黑体" w:hAnsi="黑体" w:cs="黑体" w:hint="eastAsia"/>
            <w:b w:val="0"/>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2077" w:history="1">
        <w:r w:rsidR="00BC06AC">
          <w:rPr>
            <w:rFonts w:ascii="仿宋" w:eastAsia="仿宋" w:hAnsi="仿宋" w:cs="仿宋" w:hint="eastAsia"/>
            <w:b w:val="0"/>
            <w:bCs/>
            <w:szCs w:val="32"/>
          </w:rPr>
          <w:t>一、突出发展以“医”为核心的健康医疗产业</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_Toc22077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14</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4128" w:history="1">
        <w:r w:rsidR="00BC06AC">
          <w:rPr>
            <w:rFonts w:ascii="仿宋" w:eastAsia="仿宋" w:hAnsi="仿宋" w:cs="仿宋" w:hint="eastAsia"/>
            <w:bCs/>
            <w:szCs w:val="32"/>
          </w:rPr>
          <w:t>（一）康复医疗服务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_Toc24128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14</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1953" w:history="1">
        <w:r w:rsidR="00BC06AC">
          <w:rPr>
            <w:rFonts w:ascii="仿宋" w:eastAsia="仿宋" w:hAnsi="仿宋" w:cs="仿宋" w:hint="eastAsia"/>
            <w:bCs/>
            <w:szCs w:val="32"/>
          </w:rPr>
          <w:t>（二）精神专科服务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_Toc11953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14</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30948" w:history="1">
        <w:r w:rsidR="00BC06AC">
          <w:rPr>
            <w:rFonts w:ascii="仿宋" w:eastAsia="仿宋" w:hAnsi="仿宋" w:cs="仿宋" w:hint="eastAsia"/>
            <w:bCs/>
            <w:szCs w:val="32"/>
          </w:rPr>
          <w:t>（三）恶性肿瘤服务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_Toc30948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8664" w:history="1">
        <w:r w:rsidR="00BC06AC">
          <w:rPr>
            <w:rFonts w:ascii="仿宋" w:eastAsia="仿宋" w:hAnsi="仿宋" w:cs="仿宋" w:hint="eastAsia"/>
            <w:bCs/>
            <w:szCs w:val="32"/>
          </w:rPr>
          <w:t>（四）心脑血管服务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_Toc18664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17</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6999" w:history="1">
        <w:r w:rsidR="00BC06AC">
          <w:rPr>
            <w:rFonts w:ascii="仿宋" w:eastAsia="仿宋" w:hAnsi="仿宋" w:cs="仿宋" w:hint="eastAsia"/>
            <w:bCs/>
            <w:szCs w:val="32"/>
          </w:rPr>
          <w:t>（五）医养结合服务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_Toc26999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17</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6551" w:history="1">
        <w:r w:rsidR="00BC06AC">
          <w:rPr>
            <w:rFonts w:ascii="仿宋" w:eastAsia="仿宋" w:hAnsi="仿宋" w:cs="仿宋" w:hint="eastAsia"/>
            <w:bCs/>
            <w:szCs w:val="32"/>
          </w:rPr>
          <w:t>（六）体医融合服务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_Toc16551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18</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4202" w:history="1">
        <w:r w:rsidR="00BC06AC">
          <w:rPr>
            <w:rFonts w:ascii="仿宋" w:eastAsia="仿宋" w:hAnsi="仿宋" w:cs="仿宋" w:hint="eastAsia"/>
            <w:bCs/>
            <w:szCs w:val="32"/>
          </w:rPr>
          <w:t>（七）智慧医疗服务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_Toc4202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19</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4922" w:history="1">
        <w:r w:rsidR="00BC06AC">
          <w:rPr>
            <w:rFonts w:ascii="仿宋" w:eastAsia="仿宋" w:hAnsi="仿宋" w:cs="仿宋" w:hint="eastAsia"/>
            <w:bCs/>
            <w:szCs w:val="32"/>
          </w:rPr>
          <w:t>（八）前沿医疗服务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_Toc24922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20</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1600" w:history="1">
        <w:r w:rsidR="00BC06AC">
          <w:rPr>
            <w:rFonts w:ascii="仿宋" w:eastAsia="仿宋" w:hAnsi="仿宋" w:cs="仿宋" w:hint="eastAsia"/>
            <w:bCs/>
            <w:szCs w:val="32"/>
          </w:rPr>
          <w:t>（九）第三方医疗服务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_Toc11600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21</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0177" w:history="1">
        <w:r w:rsidR="00BC06AC">
          <w:rPr>
            <w:rFonts w:ascii="仿宋" w:eastAsia="仿宋" w:hAnsi="仿宋" w:cs="仿宋" w:hint="eastAsia"/>
            <w:bCs/>
            <w:szCs w:val="32"/>
          </w:rPr>
          <w:t>（十）共享医疗服务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_Toc20177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21</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1783" w:history="1">
        <w:r w:rsidR="00BC06AC">
          <w:rPr>
            <w:rFonts w:ascii="仿宋" w:eastAsia="仿宋" w:hAnsi="仿宋" w:cs="仿宋" w:hint="eastAsia"/>
            <w:b w:val="0"/>
            <w:bCs/>
            <w:szCs w:val="32"/>
          </w:rPr>
          <w:t>二、大力发展以“管”为支撑的健康管理产业</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_Toc21783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22</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0758" w:history="1">
        <w:r w:rsidR="00BC06AC">
          <w:rPr>
            <w:rFonts w:ascii="仿宋" w:eastAsia="仿宋" w:hAnsi="仿宋" w:cs="仿宋" w:hint="eastAsia"/>
            <w:bCs/>
            <w:szCs w:val="32"/>
          </w:rPr>
          <w:t>（一）个性化健康管理</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_Toc20758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22</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789" w:history="1">
        <w:r w:rsidR="00BC06AC">
          <w:rPr>
            <w:rFonts w:ascii="仿宋" w:eastAsia="仿宋" w:hAnsi="仿宋" w:cs="仿宋" w:hint="eastAsia"/>
            <w:bCs/>
            <w:szCs w:val="32"/>
          </w:rPr>
          <w:t>（二）智慧健康管理</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_Toc789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23</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7369" w:history="1">
        <w:r w:rsidR="00BC06AC">
          <w:rPr>
            <w:rFonts w:ascii="仿宋" w:eastAsia="仿宋" w:hAnsi="仿宋" w:cs="仿宋" w:hint="eastAsia"/>
            <w:bCs/>
            <w:szCs w:val="32"/>
          </w:rPr>
          <w:t>（三）妇幼健康产业管理</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_Toc17369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24</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5402" w:history="1">
        <w:r w:rsidR="00BC06AC">
          <w:rPr>
            <w:rFonts w:ascii="仿宋" w:eastAsia="仿宋" w:hAnsi="仿宋" w:cs="仿宋" w:hint="eastAsia"/>
            <w:bCs/>
            <w:szCs w:val="32"/>
          </w:rPr>
          <w:t>（四）家庭医生签约服务</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_Toc25402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25</w:t>
        </w:r>
        <w:r w:rsidR="00BC06AC">
          <w:rPr>
            <w:rFonts w:ascii="仿宋" w:eastAsia="仿宋" w:hAnsi="仿宋" w:cs="仿宋" w:hint="eastAsia"/>
            <w:bCs/>
            <w:szCs w:val="32"/>
          </w:rPr>
          <w:fldChar w:fldCharType="end"/>
        </w:r>
      </w:hyperlink>
    </w:p>
    <w:p w:rsidR="00982E5F" w:rsidRDefault="00DC7C36">
      <w:pPr>
        <w:pStyle w:val="10"/>
        <w:tabs>
          <w:tab w:val="right" w:leader="dot" w:pos="8306"/>
        </w:tabs>
        <w:spacing w:line="560" w:lineRule="exact"/>
        <w:rPr>
          <w:rFonts w:ascii="黑体" w:hAnsi="黑体" w:cs="黑体"/>
          <w:b w:val="0"/>
          <w:szCs w:val="32"/>
        </w:rPr>
      </w:pPr>
      <w:hyperlink w:anchor="_Toc28220" w:history="1">
        <w:r w:rsidR="00BC06AC">
          <w:rPr>
            <w:rFonts w:ascii="黑体" w:hAnsi="黑体" w:cs="黑体" w:hint="eastAsia"/>
            <w:b w:val="0"/>
            <w:szCs w:val="32"/>
          </w:rPr>
          <w:t>第四章  优化空间布局</w:t>
        </w:r>
        <w:r w:rsidR="00BC06AC">
          <w:rPr>
            <w:rFonts w:ascii="黑体" w:hAnsi="黑体" w:cs="黑体" w:hint="eastAsia"/>
            <w:b w:val="0"/>
            <w:szCs w:val="32"/>
          </w:rPr>
          <w:tab/>
        </w:r>
        <w:r w:rsidR="00BC06AC">
          <w:rPr>
            <w:rFonts w:ascii="黑体" w:hAnsi="黑体" w:cs="黑体" w:hint="eastAsia"/>
            <w:b w:val="0"/>
            <w:szCs w:val="32"/>
          </w:rPr>
          <w:fldChar w:fldCharType="begin"/>
        </w:r>
        <w:r w:rsidR="00BC06AC">
          <w:rPr>
            <w:rFonts w:ascii="黑体" w:hAnsi="黑体" w:cs="黑体" w:hint="eastAsia"/>
            <w:b w:val="0"/>
            <w:szCs w:val="32"/>
          </w:rPr>
          <w:instrText xml:space="preserve"> PAGEREF _Toc28220 \h </w:instrText>
        </w:r>
        <w:r w:rsidR="00BC06AC">
          <w:rPr>
            <w:rFonts w:ascii="黑体" w:hAnsi="黑体" w:cs="黑体" w:hint="eastAsia"/>
            <w:b w:val="0"/>
            <w:szCs w:val="32"/>
          </w:rPr>
        </w:r>
        <w:r w:rsidR="00BC06AC">
          <w:rPr>
            <w:rFonts w:ascii="黑体" w:hAnsi="黑体" w:cs="黑体" w:hint="eastAsia"/>
            <w:b w:val="0"/>
            <w:szCs w:val="32"/>
          </w:rPr>
          <w:fldChar w:fldCharType="separate"/>
        </w:r>
        <w:r w:rsidR="00DC6E87">
          <w:rPr>
            <w:rFonts w:ascii="黑体" w:hAnsi="黑体" w:cs="黑体"/>
            <w:b w:val="0"/>
            <w:noProof/>
            <w:szCs w:val="32"/>
          </w:rPr>
          <w:t>25</w:t>
        </w:r>
        <w:r w:rsidR="00BC06AC">
          <w:rPr>
            <w:rFonts w:ascii="黑体" w:hAnsi="黑体" w:cs="黑体" w:hint="eastAsia"/>
            <w:b w:val="0"/>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0034" w:history="1">
        <w:r w:rsidR="00BC06AC">
          <w:rPr>
            <w:rFonts w:ascii="仿宋" w:eastAsia="仿宋" w:hAnsi="仿宋" w:cs="仿宋" w:hint="eastAsia"/>
            <w:b w:val="0"/>
            <w:bCs/>
            <w:szCs w:val="32"/>
          </w:rPr>
          <w:t>一、一核：大健康医疗和管理产业创新引领核心区</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_Toc10034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26</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8172" w:history="1">
        <w:r w:rsidR="00BC06AC">
          <w:rPr>
            <w:rFonts w:ascii="仿宋" w:eastAsia="仿宋" w:hAnsi="仿宋" w:cs="仿宋" w:hint="eastAsia"/>
            <w:b w:val="0"/>
            <w:bCs/>
            <w:szCs w:val="32"/>
          </w:rPr>
          <w:t>二、两带：环大明山大健康医疗和管理产业带、百里秀美邕江大健康医疗和管理产业带</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_Toc28172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28</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340" w:history="1">
        <w:r w:rsidR="00BC06AC">
          <w:rPr>
            <w:rFonts w:ascii="仿宋" w:eastAsia="仿宋" w:hAnsi="仿宋" w:cs="仿宋" w:hint="eastAsia"/>
            <w:b w:val="0"/>
            <w:bCs/>
            <w:szCs w:val="32"/>
          </w:rPr>
          <w:t>三、两重点：康复医疗、精神专科两大重点产业</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_Toc1340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31</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31139" w:history="1">
        <w:r w:rsidR="00BC06AC">
          <w:rPr>
            <w:rFonts w:ascii="仿宋" w:eastAsia="仿宋" w:hAnsi="仿宋" w:cs="仿宋" w:hint="eastAsia"/>
            <w:bCs/>
            <w:szCs w:val="32"/>
          </w:rPr>
          <w:t>（一）康复专科医院布局</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_Toc31139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31</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4071" w:history="1">
        <w:r w:rsidR="00BC06AC">
          <w:rPr>
            <w:rFonts w:ascii="仿宋" w:eastAsia="仿宋" w:hAnsi="仿宋" w:cs="仿宋" w:hint="eastAsia"/>
            <w:bCs/>
            <w:szCs w:val="32"/>
          </w:rPr>
          <w:t>（二）精神专科医院布局</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_Toc14071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32</w:t>
        </w:r>
        <w:r w:rsidR="00BC06AC">
          <w:rPr>
            <w:rFonts w:ascii="仿宋" w:eastAsia="仿宋" w:hAnsi="仿宋" w:cs="仿宋" w:hint="eastAsia"/>
            <w:bCs/>
            <w:szCs w:val="32"/>
          </w:rPr>
          <w:fldChar w:fldCharType="end"/>
        </w:r>
      </w:hyperlink>
    </w:p>
    <w:p w:rsidR="00982E5F" w:rsidRDefault="00DC7C36">
      <w:pPr>
        <w:pStyle w:val="10"/>
        <w:tabs>
          <w:tab w:val="right" w:leader="dot" w:pos="8306"/>
        </w:tabs>
        <w:spacing w:line="560" w:lineRule="exact"/>
        <w:rPr>
          <w:rFonts w:ascii="黑体" w:hAnsi="黑体" w:cs="黑体"/>
          <w:b w:val="0"/>
          <w:szCs w:val="32"/>
        </w:rPr>
      </w:pPr>
      <w:hyperlink w:anchor="_Toc5646" w:history="1">
        <w:r w:rsidR="00BC06AC">
          <w:rPr>
            <w:rFonts w:ascii="黑体" w:hAnsi="黑体" w:cs="黑体" w:hint="eastAsia"/>
            <w:b w:val="0"/>
            <w:szCs w:val="32"/>
          </w:rPr>
          <w:t>第五章  重点任务</w:t>
        </w:r>
        <w:r w:rsidR="00BC06AC">
          <w:rPr>
            <w:rFonts w:ascii="黑体" w:hAnsi="黑体" w:cs="黑体" w:hint="eastAsia"/>
            <w:b w:val="0"/>
            <w:szCs w:val="32"/>
          </w:rPr>
          <w:tab/>
        </w:r>
        <w:r w:rsidR="00BC06AC">
          <w:rPr>
            <w:rFonts w:ascii="黑体" w:hAnsi="黑体" w:cs="黑体" w:hint="eastAsia"/>
            <w:b w:val="0"/>
            <w:szCs w:val="32"/>
          </w:rPr>
          <w:fldChar w:fldCharType="begin"/>
        </w:r>
        <w:r w:rsidR="00BC06AC">
          <w:rPr>
            <w:rFonts w:ascii="黑体" w:hAnsi="黑体" w:cs="黑体" w:hint="eastAsia"/>
            <w:b w:val="0"/>
            <w:szCs w:val="32"/>
          </w:rPr>
          <w:instrText xml:space="preserve"> PAGEREF _Toc5646 \h </w:instrText>
        </w:r>
        <w:r w:rsidR="00BC06AC">
          <w:rPr>
            <w:rFonts w:ascii="黑体" w:hAnsi="黑体" w:cs="黑体" w:hint="eastAsia"/>
            <w:b w:val="0"/>
            <w:szCs w:val="32"/>
          </w:rPr>
        </w:r>
        <w:r w:rsidR="00BC06AC">
          <w:rPr>
            <w:rFonts w:ascii="黑体" w:hAnsi="黑体" w:cs="黑体" w:hint="eastAsia"/>
            <w:b w:val="0"/>
            <w:szCs w:val="32"/>
          </w:rPr>
          <w:fldChar w:fldCharType="separate"/>
        </w:r>
        <w:r w:rsidR="00DC6E87">
          <w:rPr>
            <w:rFonts w:ascii="黑体" w:hAnsi="黑体" w:cs="黑体"/>
            <w:b w:val="0"/>
            <w:noProof/>
            <w:szCs w:val="32"/>
          </w:rPr>
          <w:t>35</w:t>
        </w:r>
        <w:r w:rsidR="00BC06AC">
          <w:rPr>
            <w:rFonts w:ascii="黑体" w:hAnsi="黑体" w:cs="黑体" w:hint="eastAsia"/>
            <w:b w:val="0"/>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6259" w:history="1">
        <w:r w:rsidR="00BC06AC">
          <w:rPr>
            <w:rFonts w:ascii="仿宋" w:eastAsia="仿宋" w:hAnsi="仿宋" w:cs="仿宋" w:hint="eastAsia"/>
            <w:b w:val="0"/>
            <w:bCs/>
            <w:szCs w:val="32"/>
          </w:rPr>
          <w:t>一、实施企业培育工程</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_Toc16259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35</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857" w:history="1">
        <w:r w:rsidR="00BC06AC">
          <w:rPr>
            <w:rFonts w:ascii="仿宋" w:eastAsia="仿宋" w:hAnsi="仿宋" w:cs="仿宋" w:hint="eastAsia"/>
            <w:bCs/>
            <w:szCs w:val="32"/>
          </w:rPr>
          <w:t>（一）培育一批优质企业</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_Toc2857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5258" w:history="1">
        <w:r w:rsidR="00BC06AC">
          <w:rPr>
            <w:rFonts w:ascii="仿宋" w:eastAsia="仿宋" w:hAnsi="仿宋" w:cs="仿宋" w:hint="eastAsia"/>
            <w:bCs/>
            <w:szCs w:val="32"/>
          </w:rPr>
          <w:t>（二）培育一批新兴业态</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_Toc15258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8108" w:history="1">
        <w:r w:rsidR="00BC06AC">
          <w:rPr>
            <w:rFonts w:ascii="仿宋" w:eastAsia="仿宋" w:hAnsi="仿宋" w:cs="仿宋" w:hint="eastAsia"/>
            <w:bCs/>
            <w:szCs w:val="32"/>
          </w:rPr>
          <w:t>（三）培育社会办医品牌</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_Toc28108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36</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1397" w:history="1">
        <w:r w:rsidR="00BC06AC">
          <w:rPr>
            <w:rFonts w:ascii="仿宋" w:eastAsia="仿宋" w:hAnsi="仿宋" w:cs="仿宋" w:hint="eastAsia"/>
            <w:b w:val="0"/>
            <w:bCs/>
            <w:szCs w:val="32"/>
          </w:rPr>
          <w:t>二、实施平台建设工程</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_Toc21397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36</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6215" w:history="1">
        <w:r w:rsidR="00BC06AC">
          <w:rPr>
            <w:rFonts w:ascii="仿宋" w:eastAsia="仿宋" w:hAnsi="仿宋" w:cs="仿宋" w:hint="eastAsia"/>
            <w:bCs/>
            <w:szCs w:val="32"/>
          </w:rPr>
          <w:t>（一）建设产业集聚平台</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_Toc6215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36</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6235" w:history="1">
        <w:r w:rsidR="00BC06AC">
          <w:rPr>
            <w:rFonts w:ascii="仿宋" w:eastAsia="仿宋" w:hAnsi="仿宋" w:cs="仿宋" w:hint="eastAsia"/>
            <w:bCs/>
            <w:szCs w:val="32"/>
          </w:rPr>
          <w:t>（二）打造重点开放平台</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_Toc26235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37</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7571" w:history="1">
        <w:r w:rsidR="00BC06AC">
          <w:rPr>
            <w:rFonts w:ascii="仿宋" w:eastAsia="仿宋" w:hAnsi="仿宋" w:cs="仿宋" w:hint="eastAsia"/>
            <w:bCs/>
            <w:szCs w:val="32"/>
          </w:rPr>
          <w:t>（三）搭建产业服务平台</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_Toc27571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38</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32385" w:history="1">
        <w:r w:rsidR="00BC06AC">
          <w:rPr>
            <w:rFonts w:ascii="仿宋" w:eastAsia="仿宋" w:hAnsi="仿宋" w:cs="仿宋" w:hint="eastAsia"/>
            <w:bCs/>
            <w:szCs w:val="32"/>
          </w:rPr>
          <w:t>（四）建设智慧康养平台</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_Toc32385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38</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8665" w:history="1">
        <w:r w:rsidR="00BC06AC">
          <w:rPr>
            <w:rFonts w:ascii="仿宋" w:eastAsia="仿宋" w:hAnsi="仿宋" w:cs="仿宋" w:hint="eastAsia"/>
            <w:b w:val="0"/>
            <w:bCs/>
            <w:szCs w:val="32"/>
          </w:rPr>
          <w:t>三、实施招商引资工程</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_Toc18665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39</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5260" w:history="1">
        <w:r w:rsidR="00BC06AC">
          <w:rPr>
            <w:rFonts w:ascii="仿宋" w:eastAsia="仿宋" w:hAnsi="仿宋" w:cs="仿宋" w:hint="eastAsia"/>
            <w:bCs/>
            <w:szCs w:val="32"/>
          </w:rPr>
          <w:t>（一）强化项目滚动接续</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_Toc25260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39</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6144" w:history="1">
        <w:r w:rsidR="00BC06AC">
          <w:rPr>
            <w:rFonts w:ascii="仿宋" w:eastAsia="仿宋" w:hAnsi="仿宋" w:cs="仿宋" w:hint="eastAsia"/>
            <w:bCs/>
            <w:szCs w:val="32"/>
          </w:rPr>
          <w:t>（二）大力引进社会办医</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_Toc26144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39</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30331" w:history="1">
        <w:r w:rsidR="00BC06AC">
          <w:rPr>
            <w:rFonts w:ascii="仿宋" w:eastAsia="仿宋" w:hAnsi="仿宋" w:cs="仿宋" w:hint="eastAsia"/>
            <w:bCs/>
            <w:szCs w:val="32"/>
          </w:rPr>
          <w:t>（三）鼓励社会资本合作项目</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_Toc30331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40</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3708" w:history="1">
        <w:r w:rsidR="00BC06AC">
          <w:rPr>
            <w:rFonts w:ascii="仿宋" w:eastAsia="仿宋" w:hAnsi="仿宋" w:cs="仿宋" w:hint="eastAsia"/>
            <w:bCs/>
            <w:szCs w:val="32"/>
          </w:rPr>
          <w:t>（四）支持补短板项目建设</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_Toc3708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40</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4497" w:history="1">
        <w:r w:rsidR="00BC06AC">
          <w:rPr>
            <w:rFonts w:ascii="仿宋" w:eastAsia="仿宋" w:hAnsi="仿宋" w:cs="仿宋" w:hint="eastAsia"/>
            <w:b w:val="0"/>
            <w:bCs/>
            <w:szCs w:val="32"/>
          </w:rPr>
          <w:t>四、实施医育结合工程</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_Toc24497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40</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791" w:history="1">
        <w:r w:rsidR="00BC06AC">
          <w:rPr>
            <w:rFonts w:ascii="仿宋" w:eastAsia="仿宋" w:hAnsi="仿宋" w:cs="仿宋" w:hint="eastAsia"/>
            <w:bCs/>
            <w:szCs w:val="32"/>
          </w:rPr>
          <w:t>（一）构建多元化婴幼儿照护服务体系</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_Toc791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40</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7590" w:history="1">
        <w:r w:rsidR="00BC06AC">
          <w:rPr>
            <w:rFonts w:ascii="仿宋" w:eastAsia="仿宋" w:hAnsi="仿宋" w:cs="仿宋" w:hint="eastAsia"/>
            <w:bCs/>
            <w:szCs w:val="32"/>
          </w:rPr>
          <w:t>（二）建立健全托育机构管理制度规范</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_Toc27590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41</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2616" w:history="1">
        <w:r w:rsidR="00BC06AC">
          <w:rPr>
            <w:rFonts w:ascii="仿宋" w:eastAsia="仿宋" w:hAnsi="仿宋" w:cs="仿宋" w:hint="eastAsia"/>
            <w:bCs/>
            <w:szCs w:val="32"/>
          </w:rPr>
          <w:t>（三）加强婴幼儿照护政策保障体系建设</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_Toc12616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41</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4724" w:history="1">
        <w:r w:rsidR="00BC06AC">
          <w:rPr>
            <w:rFonts w:ascii="仿宋" w:eastAsia="仿宋" w:hAnsi="仿宋" w:cs="仿宋" w:hint="eastAsia"/>
            <w:bCs/>
            <w:szCs w:val="32"/>
          </w:rPr>
          <w:t>（四）加强对家庭婴幼儿照护服务支持</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_Toc14724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42</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0535" w:history="1">
        <w:r w:rsidR="00BC06AC">
          <w:rPr>
            <w:rFonts w:ascii="仿宋" w:eastAsia="仿宋" w:hAnsi="仿宋" w:cs="仿宋" w:hint="eastAsia"/>
            <w:bCs/>
            <w:szCs w:val="32"/>
          </w:rPr>
          <w:t>（五）推动区域婴幼儿照护服务发展</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_Toc20535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42</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4311" w:history="1">
        <w:r w:rsidR="00BC06AC">
          <w:rPr>
            <w:rFonts w:ascii="仿宋" w:eastAsia="仿宋" w:hAnsi="仿宋" w:cs="仿宋" w:hint="eastAsia"/>
            <w:b w:val="0"/>
            <w:bCs/>
            <w:szCs w:val="32"/>
          </w:rPr>
          <w:t>五、实施供给提升工程</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_Toc4311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43</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8432" w:history="1">
        <w:r w:rsidR="00BC06AC">
          <w:rPr>
            <w:rFonts w:ascii="仿宋" w:eastAsia="仿宋" w:hAnsi="仿宋" w:cs="仿宋" w:hint="eastAsia"/>
            <w:bCs/>
            <w:szCs w:val="32"/>
          </w:rPr>
          <w:t>（一）持续加强社会办医</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_Toc18432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43</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5053" w:history="1">
        <w:r w:rsidR="00BC06AC">
          <w:rPr>
            <w:rFonts w:ascii="仿宋" w:eastAsia="仿宋" w:hAnsi="仿宋" w:cs="仿宋" w:hint="eastAsia"/>
            <w:bCs/>
            <w:szCs w:val="32"/>
          </w:rPr>
          <w:t>（二）增加商业保险供给</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_Toc25053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44</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5869" w:history="1">
        <w:r w:rsidR="00BC06AC">
          <w:rPr>
            <w:rFonts w:ascii="仿宋" w:eastAsia="仿宋" w:hAnsi="仿宋" w:cs="仿宋" w:hint="eastAsia"/>
            <w:bCs/>
            <w:szCs w:val="32"/>
          </w:rPr>
          <w:t>（三）建设保险服务平台</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_Toc5869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8087" w:history="1">
        <w:r w:rsidR="00BC06AC">
          <w:rPr>
            <w:rFonts w:ascii="仿宋" w:eastAsia="仿宋" w:hAnsi="仿宋" w:cs="仿宋" w:hint="eastAsia"/>
            <w:bCs/>
            <w:szCs w:val="32"/>
          </w:rPr>
          <w:t>（四）完善保险支持政策</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_Toc28087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45</w:t>
        </w:r>
        <w:r w:rsidR="00BC06AC">
          <w:rPr>
            <w:rFonts w:ascii="仿宋" w:eastAsia="仿宋" w:hAnsi="仿宋" w:cs="仿宋" w:hint="eastAsia"/>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9863" w:history="1">
        <w:r w:rsidR="00BC06AC">
          <w:rPr>
            <w:rFonts w:ascii="仿宋" w:eastAsia="仿宋" w:hAnsi="仿宋" w:cs="仿宋" w:hint="eastAsia"/>
            <w:b w:val="0"/>
            <w:bCs/>
            <w:szCs w:val="32"/>
          </w:rPr>
          <w:t>六、实施产业融合工程</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_Toc19863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45</w:t>
        </w:r>
        <w:r w:rsidR="00BC06AC">
          <w:rPr>
            <w:rFonts w:ascii="仿宋" w:eastAsia="仿宋" w:hAnsi="仿宋" w:cs="仿宋" w:hint="eastAsia"/>
            <w:b w:val="0"/>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8335" w:history="1">
        <w:r w:rsidR="00BC06AC">
          <w:rPr>
            <w:rFonts w:ascii="仿宋" w:eastAsia="仿宋" w:hAnsi="仿宋" w:cs="仿宋" w:hint="eastAsia"/>
            <w:bCs/>
            <w:szCs w:val="32"/>
          </w:rPr>
          <w:t>（一）推动医疗与医药融合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_Toc28335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45</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6617" w:history="1">
        <w:r w:rsidR="00BC06AC">
          <w:rPr>
            <w:rFonts w:ascii="仿宋" w:eastAsia="仿宋" w:hAnsi="仿宋" w:cs="仿宋" w:hint="eastAsia"/>
            <w:bCs/>
            <w:szCs w:val="32"/>
          </w:rPr>
          <w:t>（二）推动医疗与养老融合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_Toc16617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46</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681" w:history="1">
        <w:r w:rsidR="00BC06AC">
          <w:rPr>
            <w:rFonts w:ascii="仿宋" w:eastAsia="仿宋" w:hAnsi="仿宋" w:cs="仿宋" w:hint="eastAsia"/>
            <w:bCs/>
            <w:szCs w:val="32"/>
          </w:rPr>
          <w:t>（三）促进医疗与旅游融合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_Toc681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47</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18774" w:history="1">
        <w:r w:rsidR="00BC06AC">
          <w:rPr>
            <w:rFonts w:ascii="仿宋" w:eastAsia="仿宋" w:hAnsi="仿宋" w:cs="仿宋" w:hint="eastAsia"/>
            <w:bCs/>
            <w:szCs w:val="32"/>
          </w:rPr>
          <w:t>（四）推动医疗与健康食品融合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_Toc18774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47</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9174" w:history="1">
        <w:r w:rsidR="00BC06AC">
          <w:rPr>
            <w:rFonts w:ascii="仿宋" w:eastAsia="仿宋" w:hAnsi="仿宋" w:cs="仿宋" w:hint="eastAsia"/>
            <w:bCs/>
            <w:szCs w:val="32"/>
          </w:rPr>
          <w:t>（五）推动医疗和体育融合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_Toc29174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48</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24782" w:history="1">
        <w:r w:rsidR="00BC06AC">
          <w:rPr>
            <w:rFonts w:ascii="仿宋" w:eastAsia="仿宋" w:hAnsi="仿宋" w:cs="仿宋" w:hint="eastAsia"/>
            <w:bCs/>
            <w:szCs w:val="32"/>
          </w:rPr>
          <w:t>（六）促进医疗与互联网融合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_Toc24782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49</w:t>
        </w:r>
        <w:r w:rsidR="00BC06AC">
          <w:rPr>
            <w:rFonts w:ascii="仿宋" w:eastAsia="仿宋" w:hAnsi="仿宋" w:cs="仿宋" w:hint="eastAsia"/>
            <w:bCs/>
            <w:szCs w:val="32"/>
          </w:rPr>
          <w:fldChar w:fldCharType="end"/>
        </w:r>
      </w:hyperlink>
    </w:p>
    <w:p w:rsidR="00982E5F" w:rsidRDefault="00DC7C36" w:rsidP="001E1011">
      <w:pPr>
        <w:pStyle w:val="30"/>
        <w:tabs>
          <w:tab w:val="right" w:leader="dot" w:pos="8306"/>
        </w:tabs>
        <w:spacing w:line="560" w:lineRule="exact"/>
        <w:ind w:left="420"/>
        <w:rPr>
          <w:rFonts w:ascii="仿宋" w:eastAsia="仿宋" w:hAnsi="仿宋" w:cs="仿宋"/>
          <w:bCs/>
          <w:szCs w:val="32"/>
        </w:rPr>
      </w:pPr>
      <w:hyperlink w:anchor="_Toc32269" w:history="1">
        <w:r w:rsidR="00BC06AC">
          <w:rPr>
            <w:rFonts w:ascii="仿宋" w:eastAsia="仿宋" w:hAnsi="仿宋" w:cs="仿宋" w:hint="eastAsia"/>
            <w:bCs/>
            <w:szCs w:val="32"/>
          </w:rPr>
          <w:t>（七）推动医疗与乡村振兴融合</w:t>
        </w:r>
        <w:r w:rsidR="00BC06AC">
          <w:rPr>
            <w:rFonts w:ascii="仿宋" w:eastAsia="仿宋" w:hAnsi="仿宋" w:cs="仿宋" w:hint="eastAsia"/>
            <w:bCs/>
            <w:szCs w:val="32"/>
          </w:rPr>
          <w:tab/>
        </w:r>
        <w:r w:rsidR="00BC06AC">
          <w:rPr>
            <w:rFonts w:ascii="仿宋" w:eastAsia="仿宋" w:hAnsi="仿宋" w:cs="仿宋" w:hint="eastAsia"/>
            <w:bCs/>
            <w:szCs w:val="32"/>
          </w:rPr>
          <w:fldChar w:fldCharType="begin"/>
        </w:r>
        <w:r w:rsidR="00BC06AC">
          <w:rPr>
            <w:rFonts w:ascii="仿宋" w:eastAsia="仿宋" w:hAnsi="仿宋" w:cs="仿宋" w:hint="eastAsia"/>
            <w:bCs/>
            <w:szCs w:val="32"/>
          </w:rPr>
          <w:instrText xml:space="preserve"> PAGEREF _Toc32269 \h </w:instrText>
        </w:r>
        <w:r w:rsidR="00BC06AC">
          <w:rPr>
            <w:rFonts w:ascii="仿宋" w:eastAsia="仿宋" w:hAnsi="仿宋" w:cs="仿宋" w:hint="eastAsia"/>
            <w:bCs/>
            <w:szCs w:val="32"/>
          </w:rPr>
        </w:r>
        <w:r w:rsidR="00BC06AC">
          <w:rPr>
            <w:rFonts w:ascii="仿宋" w:eastAsia="仿宋" w:hAnsi="仿宋" w:cs="仿宋" w:hint="eastAsia"/>
            <w:bCs/>
            <w:szCs w:val="32"/>
          </w:rPr>
          <w:fldChar w:fldCharType="separate"/>
        </w:r>
        <w:r w:rsidR="00DC6E87">
          <w:rPr>
            <w:rFonts w:ascii="仿宋" w:eastAsia="仿宋" w:hAnsi="仿宋" w:cs="仿宋"/>
            <w:bCs/>
            <w:noProof/>
            <w:szCs w:val="32"/>
          </w:rPr>
          <w:t>49</w:t>
        </w:r>
        <w:r w:rsidR="00BC06AC">
          <w:rPr>
            <w:rFonts w:ascii="仿宋" w:eastAsia="仿宋" w:hAnsi="仿宋" w:cs="仿宋" w:hint="eastAsia"/>
            <w:bCs/>
            <w:szCs w:val="32"/>
          </w:rPr>
          <w:fldChar w:fldCharType="end"/>
        </w:r>
      </w:hyperlink>
    </w:p>
    <w:p w:rsidR="00982E5F" w:rsidRDefault="00DC7C36">
      <w:pPr>
        <w:pStyle w:val="10"/>
        <w:tabs>
          <w:tab w:val="right" w:leader="dot" w:pos="8306"/>
        </w:tabs>
        <w:spacing w:line="560" w:lineRule="exact"/>
        <w:rPr>
          <w:rFonts w:ascii="黑体" w:hAnsi="黑体" w:cs="黑体"/>
          <w:b w:val="0"/>
          <w:szCs w:val="32"/>
        </w:rPr>
      </w:pPr>
      <w:hyperlink w:anchor="_Toc15660" w:history="1">
        <w:r w:rsidR="00BC06AC">
          <w:rPr>
            <w:rFonts w:ascii="黑体" w:hAnsi="黑体" w:cs="黑体" w:hint="eastAsia"/>
            <w:b w:val="0"/>
            <w:szCs w:val="32"/>
          </w:rPr>
          <w:t>第六章  保障措施</w:t>
        </w:r>
        <w:r w:rsidR="00BC06AC">
          <w:rPr>
            <w:rFonts w:ascii="黑体" w:hAnsi="黑体" w:cs="黑体" w:hint="eastAsia"/>
            <w:b w:val="0"/>
            <w:szCs w:val="32"/>
          </w:rPr>
          <w:tab/>
        </w:r>
        <w:r w:rsidR="00BC06AC">
          <w:rPr>
            <w:rFonts w:ascii="黑体" w:hAnsi="黑体" w:cs="黑体" w:hint="eastAsia"/>
            <w:b w:val="0"/>
            <w:szCs w:val="32"/>
          </w:rPr>
          <w:fldChar w:fldCharType="begin"/>
        </w:r>
        <w:r w:rsidR="00BC06AC">
          <w:rPr>
            <w:rFonts w:ascii="黑体" w:hAnsi="黑体" w:cs="黑体" w:hint="eastAsia"/>
            <w:b w:val="0"/>
            <w:szCs w:val="32"/>
          </w:rPr>
          <w:instrText xml:space="preserve"> PAGEREF _Toc15660 \h </w:instrText>
        </w:r>
        <w:r w:rsidR="00BC06AC">
          <w:rPr>
            <w:rFonts w:ascii="黑体" w:hAnsi="黑体" w:cs="黑体" w:hint="eastAsia"/>
            <w:b w:val="0"/>
            <w:szCs w:val="32"/>
          </w:rPr>
        </w:r>
        <w:r w:rsidR="00BC06AC">
          <w:rPr>
            <w:rFonts w:ascii="黑体" w:hAnsi="黑体" w:cs="黑体" w:hint="eastAsia"/>
            <w:b w:val="0"/>
            <w:szCs w:val="32"/>
          </w:rPr>
          <w:fldChar w:fldCharType="separate"/>
        </w:r>
        <w:r w:rsidR="00DC6E87">
          <w:rPr>
            <w:rFonts w:ascii="黑体" w:hAnsi="黑体" w:cs="黑体"/>
            <w:b w:val="0"/>
            <w:noProof/>
            <w:szCs w:val="32"/>
          </w:rPr>
          <w:t>50</w:t>
        </w:r>
        <w:r w:rsidR="00BC06AC">
          <w:rPr>
            <w:rFonts w:ascii="黑体" w:hAnsi="黑体" w:cs="黑体" w:hint="eastAsia"/>
            <w:b w:val="0"/>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32432" w:history="1">
        <w:r w:rsidR="00BC06AC">
          <w:rPr>
            <w:rFonts w:ascii="仿宋" w:eastAsia="仿宋" w:hAnsi="仿宋" w:cs="仿宋" w:hint="eastAsia"/>
            <w:b w:val="0"/>
            <w:bCs/>
            <w:szCs w:val="32"/>
          </w:rPr>
          <w:t>一、加强用地保障</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_Toc32432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50</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3102" w:history="1">
        <w:r w:rsidR="00BC06AC">
          <w:rPr>
            <w:rFonts w:ascii="仿宋" w:eastAsia="仿宋" w:hAnsi="仿宋" w:cs="仿宋" w:hint="eastAsia"/>
            <w:b w:val="0"/>
            <w:bCs/>
            <w:szCs w:val="32"/>
          </w:rPr>
          <w:t>二、强化技术创新</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_Toc13102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51</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436" w:history="1">
        <w:r w:rsidR="00BC06AC">
          <w:rPr>
            <w:rFonts w:ascii="仿宋" w:eastAsia="仿宋" w:hAnsi="仿宋" w:cs="仿宋" w:hint="eastAsia"/>
            <w:b w:val="0"/>
            <w:bCs/>
            <w:szCs w:val="32"/>
          </w:rPr>
          <w:t>三、强化人才支撑</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_Toc2436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51</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20037" w:history="1">
        <w:r w:rsidR="00BC06AC">
          <w:rPr>
            <w:rFonts w:ascii="仿宋" w:eastAsia="仿宋" w:hAnsi="仿宋" w:cs="仿宋" w:hint="eastAsia"/>
            <w:b w:val="0"/>
            <w:bCs/>
            <w:szCs w:val="32"/>
          </w:rPr>
          <w:t>四、加大财政支持</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_Toc20037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52</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32553" w:history="1">
        <w:r w:rsidR="00BC06AC">
          <w:rPr>
            <w:rFonts w:ascii="仿宋" w:eastAsia="仿宋" w:hAnsi="仿宋" w:cs="仿宋" w:hint="eastAsia"/>
            <w:b w:val="0"/>
            <w:bCs/>
            <w:szCs w:val="32"/>
          </w:rPr>
          <w:t>五、完善保险支持</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_Toc32553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53</w:t>
        </w:r>
        <w:r w:rsidR="00BC06AC">
          <w:rPr>
            <w:rFonts w:ascii="仿宋" w:eastAsia="仿宋" w:hAnsi="仿宋" w:cs="仿宋" w:hint="eastAsia"/>
            <w:b w:val="0"/>
            <w:bCs/>
            <w:szCs w:val="32"/>
          </w:rPr>
          <w:fldChar w:fldCharType="end"/>
        </w:r>
      </w:hyperlink>
    </w:p>
    <w:p w:rsidR="00982E5F" w:rsidRDefault="00DC7C36">
      <w:pPr>
        <w:pStyle w:val="20"/>
        <w:tabs>
          <w:tab w:val="clear" w:pos="8296"/>
          <w:tab w:val="right" w:leader="dot" w:pos="8306"/>
        </w:tabs>
        <w:spacing w:line="560" w:lineRule="exact"/>
        <w:rPr>
          <w:rFonts w:ascii="仿宋" w:eastAsia="仿宋" w:hAnsi="仿宋" w:cs="仿宋"/>
          <w:b w:val="0"/>
          <w:bCs/>
          <w:szCs w:val="32"/>
        </w:rPr>
      </w:pPr>
      <w:hyperlink w:anchor="_Toc11189" w:history="1">
        <w:r w:rsidR="00BC06AC">
          <w:rPr>
            <w:rFonts w:ascii="仿宋" w:eastAsia="仿宋" w:hAnsi="仿宋" w:cs="仿宋" w:hint="eastAsia"/>
            <w:b w:val="0"/>
            <w:bCs/>
            <w:szCs w:val="32"/>
          </w:rPr>
          <w:t>六、优化营商环境</w:t>
        </w:r>
        <w:r w:rsidR="00BC06AC">
          <w:rPr>
            <w:rFonts w:ascii="仿宋" w:eastAsia="仿宋" w:hAnsi="仿宋" w:cs="仿宋" w:hint="eastAsia"/>
            <w:b w:val="0"/>
            <w:bCs/>
            <w:szCs w:val="32"/>
          </w:rPr>
          <w:tab/>
        </w:r>
        <w:r w:rsidR="00BC06AC">
          <w:rPr>
            <w:rFonts w:ascii="仿宋" w:eastAsia="仿宋" w:hAnsi="仿宋" w:cs="仿宋" w:hint="eastAsia"/>
            <w:b w:val="0"/>
            <w:bCs/>
            <w:szCs w:val="32"/>
          </w:rPr>
          <w:fldChar w:fldCharType="begin"/>
        </w:r>
        <w:r w:rsidR="00BC06AC">
          <w:rPr>
            <w:rFonts w:ascii="仿宋" w:eastAsia="仿宋" w:hAnsi="仿宋" w:cs="仿宋" w:hint="eastAsia"/>
            <w:b w:val="0"/>
            <w:bCs/>
            <w:szCs w:val="32"/>
          </w:rPr>
          <w:instrText xml:space="preserve"> PAGEREF _Toc11189 \h </w:instrText>
        </w:r>
        <w:r w:rsidR="00BC06AC">
          <w:rPr>
            <w:rFonts w:ascii="仿宋" w:eastAsia="仿宋" w:hAnsi="仿宋" w:cs="仿宋" w:hint="eastAsia"/>
            <w:b w:val="0"/>
            <w:bCs/>
            <w:szCs w:val="32"/>
          </w:rPr>
        </w:r>
        <w:r w:rsidR="00BC06AC">
          <w:rPr>
            <w:rFonts w:ascii="仿宋" w:eastAsia="仿宋" w:hAnsi="仿宋" w:cs="仿宋" w:hint="eastAsia"/>
            <w:b w:val="0"/>
            <w:bCs/>
            <w:szCs w:val="32"/>
          </w:rPr>
          <w:fldChar w:fldCharType="separate"/>
        </w:r>
        <w:r w:rsidR="00DC6E87">
          <w:rPr>
            <w:rFonts w:ascii="仿宋" w:eastAsia="仿宋" w:hAnsi="仿宋" w:cs="仿宋"/>
            <w:b w:val="0"/>
            <w:bCs/>
            <w:noProof/>
            <w:szCs w:val="32"/>
          </w:rPr>
          <w:t>54</w:t>
        </w:r>
        <w:r w:rsidR="00BC06AC">
          <w:rPr>
            <w:rFonts w:ascii="仿宋" w:eastAsia="仿宋" w:hAnsi="仿宋" w:cs="仿宋" w:hint="eastAsia"/>
            <w:b w:val="0"/>
            <w:bCs/>
            <w:szCs w:val="32"/>
          </w:rPr>
          <w:fldChar w:fldCharType="end"/>
        </w:r>
      </w:hyperlink>
    </w:p>
    <w:p w:rsidR="00982E5F" w:rsidRDefault="00BC06AC">
      <w:pPr>
        <w:spacing w:line="560" w:lineRule="exact"/>
        <w:rPr>
          <w:rFonts w:ascii="微软雅黑" w:eastAsia="微软雅黑" w:hAnsi="微软雅黑"/>
          <w:bCs/>
          <w:sz w:val="36"/>
          <w:szCs w:val="36"/>
        </w:rPr>
        <w:sectPr w:rsidR="00982E5F">
          <w:footerReference w:type="default" r:id="rId9"/>
          <w:pgSz w:w="11906" w:h="16838"/>
          <w:pgMar w:top="1440" w:right="1800" w:bottom="1440" w:left="1800" w:header="851" w:footer="992" w:gutter="0"/>
          <w:pgNumType w:fmt="upperRoman" w:start="1"/>
          <w:cols w:space="425"/>
          <w:docGrid w:type="lines" w:linePitch="312"/>
        </w:sectPr>
      </w:pPr>
      <w:r>
        <w:rPr>
          <w:rFonts w:ascii="仿宋" w:eastAsia="仿宋" w:hAnsi="仿宋" w:cs="仿宋" w:hint="eastAsia"/>
          <w:bCs/>
          <w:caps/>
          <w:sz w:val="32"/>
          <w:szCs w:val="32"/>
        </w:rPr>
        <w:fldChar w:fldCharType="end"/>
      </w: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1" w:name="_Toc115100455"/>
      <w:bookmarkStart w:id="2" w:name="_Toc16502"/>
      <w:bookmarkStart w:id="3" w:name="_Toc119681250"/>
      <w:bookmarkStart w:id="4" w:name="_Toc11443"/>
      <w:r>
        <w:rPr>
          <w:rFonts w:ascii="方正黑体_GBK" w:eastAsia="方正黑体_GBK" w:hAnsi="方正黑体_GBK" w:cs="方正黑体_GBK" w:hint="eastAsia"/>
          <w:b w:val="0"/>
          <w:sz w:val="32"/>
          <w:szCs w:val="32"/>
        </w:rPr>
        <w:lastRenderedPageBreak/>
        <w:t>前  言</w:t>
      </w:r>
      <w:bookmarkEnd w:id="1"/>
      <w:bookmarkEnd w:id="2"/>
      <w:bookmarkEnd w:id="3"/>
      <w:bookmarkEnd w:id="4"/>
    </w:p>
    <w:p w:rsidR="00982E5F" w:rsidRDefault="00BC06AC">
      <w:pPr>
        <w:pStyle w:val="a6"/>
        <w:spacing w:after="0" w:line="560" w:lineRule="exact"/>
        <w:ind w:firstLineChars="200" w:firstLine="640"/>
        <w:rPr>
          <w:rFonts w:ascii="仿宋_GB2312" w:eastAsia="仿宋_GB2312" w:hAnsiTheme="minorHAnsi" w:cstheme="minorBidi"/>
          <w:bCs/>
          <w:sz w:val="32"/>
          <w:szCs w:val="32"/>
        </w:rPr>
      </w:pPr>
      <w:r>
        <w:rPr>
          <w:rFonts w:ascii="仿宋_GB2312" w:eastAsia="仿宋_GB2312" w:hAnsiTheme="minorHAnsi" w:cstheme="minorBidi" w:hint="eastAsia"/>
          <w:bCs/>
          <w:sz w:val="32"/>
          <w:szCs w:val="32"/>
        </w:rPr>
        <w:t>大健康医疗和管理产业是以维护和促进人民群众身心健康为目标，以医疗服务、健康管理为核心，满足群众医疗卫生多元化需求，为居民提供健康维持、健康修复、健康促进等相关服务的产业。新冠肺炎疫情暴发后，大健康医疗和管理产业进入“全民需求时代”，人民对健康产品和服务的需求更为迫切，大健康医疗和管理产业将进入快速发展时期。发展大健康医疗和管理产业是贯彻落实健康中国战略、习近平总书记视察广西“4·27”重要讲话精神和对广西工作的系列重要指示要求，发挥广西独特优势、抢抓战略发展机遇、培育发展新动能、推动高质量发展的必然要求。为进一步加强顶层设计和规划引领，全面推动大健康医疗和管理产业高质量发展，积极培育经济发展新动能，特编制本规划。</w:t>
      </w:r>
    </w:p>
    <w:p w:rsidR="00982E5F" w:rsidRDefault="00BC06AC">
      <w:pPr>
        <w:pStyle w:val="a6"/>
        <w:spacing w:after="0" w:line="560" w:lineRule="exact"/>
        <w:ind w:firstLineChars="200" w:firstLine="640"/>
        <w:rPr>
          <w:rFonts w:ascii="仿宋_GB2312" w:eastAsia="仿宋_GB2312" w:hAnsiTheme="minorHAnsi" w:cstheme="minorBidi"/>
          <w:bCs/>
          <w:sz w:val="32"/>
          <w:szCs w:val="32"/>
        </w:rPr>
      </w:pPr>
      <w:r>
        <w:rPr>
          <w:rFonts w:ascii="仿宋_GB2312" w:eastAsia="仿宋_GB2312" w:hAnsiTheme="minorHAnsi" w:cstheme="minorBidi" w:hint="eastAsia"/>
          <w:bCs/>
          <w:sz w:val="32"/>
          <w:szCs w:val="32"/>
        </w:rPr>
        <w:t>本规划依据《广西大健康产业发展规划（2021-2025年）》《南宁市国民经济和社会发展第十四个五年规划和2035年远景目标纲要》《南宁市国土空间总体规划（2021-2035年）草案公示》</w:t>
      </w:r>
      <w:r>
        <w:rPr>
          <w:rFonts w:ascii="仿宋_GB2312" w:eastAsia="仿宋_GB2312" w:hAnsi="仿宋_GB2312" w:cs="仿宋_GB2312" w:hint="eastAsia"/>
          <w:bCs/>
          <w:sz w:val="32"/>
          <w:szCs w:val="32"/>
        </w:rPr>
        <w:t>《关于全面落实强首府战略的实施意见》</w:t>
      </w:r>
      <w:r>
        <w:rPr>
          <w:rFonts w:ascii="仿宋_GB2312" w:eastAsia="仿宋_GB2312" w:hAnsiTheme="minorHAnsi" w:cstheme="minorBidi" w:hint="eastAsia"/>
          <w:bCs/>
          <w:sz w:val="32"/>
          <w:szCs w:val="32"/>
        </w:rPr>
        <w:t>等编制，主要阐明“十四五”时期南宁市大健康医疗和管理产业发展的指导思想、重点产业、重点任务等，是布局大健康医疗和管理产业重大项目的重要依据，是当前和未来一段时期南宁市大健康医疗和管理产业发展的指导性文件。规划期限为2021—2025年。</w:t>
      </w:r>
    </w:p>
    <w:p w:rsidR="00982E5F" w:rsidRDefault="00982E5F">
      <w:pPr>
        <w:rPr>
          <w:bCs/>
        </w:rPr>
      </w:pPr>
    </w:p>
    <w:p w:rsidR="00982E5F" w:rsidRDefault="00982E5F">
      <w:pPr>
        <w:rPr>
          <w:bCs/>
        </w:rPr>
        <w:sectPr w:rsidR="00982E5F">
          <w:footerReference w:type="default" r:id="rId10"/>
          <w:pgSz w:w="11906" w:h="16838"/>
          <w:pgMar w:top="1440" w:right="1800" w:bottom="1440" w:left="1800" w:header="851" w:footer="992" w:gutter="0"/>
          <w:pgNumType w:start="1"/>
          <w:cols w:space="425"/>
          <w:docGrid w:type="lines" w:linePitch="312"/>
        </w:sectPr>
      </w:pP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5" w:name="_Toc119681251"/>
      <w:bookmarkStart w:id="6" w:name="_Toc5067"/>
      <w:bookmarkStart w:id="7" w:name="_Toc115100456"/>
      <w:bookmarkStart w:id="8" w:name="_Toc86682411"/>
      <w:bookmarkStart w:id="9" w:name="_Toc29905"/>
      <w:r>
        <w:rPr>
          <w:rFonts w:ascii="方正黑体_GBK" w:eastAsia="方正黑体_GBK" w:hAnsi="方正黑体_GBK" w:cs="方正黑体_GBK" w:hint="eastAsia"/>
          <w:b w:val="0"/>
          <w:sz w:val="32"/>
          <w:szCs w:val="32"/>
        </w:rPr>
        <w:lastRenderedPageBreak/>
        <w:t>第一章  南宁市大健康医疗和管理产业发展“十三五”回顾</w:t>
      </w:r>
      <w:bookmarkEnd w:id="5"/>
      <w:bookmarkEnd w:id="6"/>
      <w:bookmarkEnd w:id="7"/>
      <w:bookmarkEnd w:id="8"/>
      <w:bookmarkEnd w:id="9"/>
    </w:p>
    <w:p w:rsidR="00982E5F" w:rsidRDefault="00BC06AC">
      <w:pPr>
        <w:pStyle w:val="1"/>
        <w:spacing w:before="0" w:after="0" w:line="570" w:lineRule="exact"/>
        <w:ind w:firstLineChars="200" w:firstLine="640"/>
        <w:jc w:val="center"/>
        <w:rPr>
          <w:rFonts w:ascii="楷体" w:eastAsia="楷体" w:hAnsi="楷体" w:cs="楷体"/>
          <w:b w:val="0"/>
          <w:sz w:val="32"/>
          <w:szCs w:val="32"/>
        </w:rPr>
      </w:pPr>
      <w:bookmarkStart w:id="10" w:name="_Toc115100457"/>
      <w:bookmarkStart w:id="11" w:name="_Toc29911"/>
      <w:bookmarkStart w:id="12" w:name="_Toc119681252"/>
      <w:bookmarkStart w:id="13" w:name="_Toc23149"/>
      <w:r>
        <w:rPr>
          <w:rFonts w:ascii="楷体" w:eastAsia="楷体" w:hAnsi="楷体" w:cs="楷体" w:hint="eastAsia"/>
          <w:b w:val="0"/>
          <w:sz w:val="32"/>
          <w:szCs w:val="32"/>
        </w:rPr>
        <w:t>一、发展基础</w:t>
      </w:r>
      <w:bookmarkEnd w:id="10"/>
      <w:bookmarkEnd w:id="11"/>
      <w:bookmarkEnd w:id="12"/>
      <w:bookmarkEnd w:id="13"/>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十三五”期间，南宁市充分发挥资源优势、区位优势、政策优势，高度重视大健康医疗和管理产业发展，紧紧围绕大健康医疗和管理产业市场需求，坚持以优势聚资源，融合带动大健康医疗和管理产业蓬勃发展。</w:t>
      </w:r>
    </w:p>
    <w:p w:rsidR="00982E5F" w:rsidRDefault="00BC06AC">
      <w:pPr>
        <w:pStyle w:val="3"/>
        <w:spacing w:before="0" w:after="0" w:line="560" w:lineRule="exact"/>
        <w:ind w:firstLineChars="200" w:firstLine="640"/>
        <w:rPr>
          <w:rFonts w:ascii="仿宋" w:eastAsia="仿宋" w:hAnsi="仿宋" w:cs="仿宋"/>
          <w:b w:val="0"/>
        </w:rPr>
      </w:pPr>
      <w:bookmarkStart w:id="14" w:name="_Toc119681253"/>
      <w:bookmarkStart w:id="15" w:name="_Toc16855"/>
      <w:bookmarkStart w:id="16" w:name="_Toc115100458"/>
      <w:bookmarkStart w:id="17" w:name="_Toc5527"/>
      <w:r>
        <w:rPr>
          <w:rFonts w:ascii="仿宋" w:eastAsia="仿宋" w:hAnsi="仿宋" w:cs="仿宋" w:hint="eastAsia"/>
          <w:b w:val="0"/>
        </w:rPr>
        <w:t>（一）产业环境持续优化，政策措施日趋完善</w:t>
      </w:r>
      <w:bookmarkEnd w:id="14"/>
      <w:bookmarkEnd w:id="15"/>
      <w:bookmarkEnd w:id="16"/>
      <w:bookmarkEnd w:id="17"/>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南宁市全面放开社会资本办医，大力支持民间资本投资建设医疗机构，先后出台</w:t>
      </w:r>
      <w:r>
        <w:rPr>
          <w:rFonts w:ascii="仿宋" w:eastAsia="仿宋" w:hAnsi="仿宋" w:cs="仿宋" w:hint="eastAsia"/>
          <w:bCs/>
          <w:sz w:val="32"/>
          <w:szCs w:val="32"/>
          <w:shd w:val="clear" w:color="auto" w:fill="FFFFFF"/>
        </w:rPr>
        <w:t>《关于进一步鼓励和引导社会资本举办医疗机构实施意见》《南宁市推进社会办医（国家）联系点工作方案》</w:t>
      </w:r>
      <w:r>
        <w:rPr>
          <w:rFonts w:ascii="仿宋" w:eastAsia="仿宋" w:hAnsi="仿宋" w:cs="仿宋" w:hint="eastAsia"/>
          <w:bCs/>
          <w:sz w:val="32"/>
          <w:szCs w:val="32"/>
        </w:rPr>
        <w:t>《南宁市进一步打造全国养老服务业综合改革试点城市实施方案》等系列政策措施，设立市级相关产业基金，建立跨部门长效协作机制，集中财力重点支持医学临床研究，为南宁市大健康医疗和管理产业发展提供了强大的政策保障。</w:t>
      </w:r>
    </w:p>
    <w:p w:rsidR="00982E5F" w:rsidRDefault="00BC06AC">
      <w:pPr>
        <w:pStyle w:val="3"/>
        <w:spacing w:before="0" w:after="0" w:line="560" w:lineRule="exact"/>
        <w:ind w:firstLineChars="200" w:firstLine="640"/>
        <w:rPr>
          <w:rFonts w:ascii="仿宋" w:eastAsia="仿宋" w:hAnsi="仿宋" w:cs="仿宋"/>
          <w:b w:val="0"/>
        </w:rPr>
      </w:pPr>
      <w:bookmarkStart w:id="18" w:name="_Toc12564"/>
      <w:bookmarkStart w:id="19" w:name="_Toc115100459"/>
      <w:bookmarkStart w:id="20" w:name="_Toc119681254"/>
      <w:bookmarkStart w:id="21" w:name="_Toc1045"/>
      <w:r>
        <w:rPr>
          <w:rFonts w:ascii="仿宋" w:eastAsia="仿宋" w:hAnsi="仿宋" w:cs="仿宋" w:hint="eastAsia"/>
          <w:b w:val="0"/>
        </w:rPr>
        <w:t>（二）社会办医成效显著，机构规模不断壮大</w:t>
      </w:r>
      <w:bookmarkEnd w:id="18"/>
      <w:bookmarkEnd w:id="19"/>
      <w:bookmarkEnd w:id="20"/>
      <w:bookmarkEnd w:id="21"/>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南宁市加快发展社会办医力度，医疗服务质量和规模成效显著。社会办医通过聚焦专科与公立医院形成互补，解决区域医疗资源不足的问题，人民群众的获得感、幸福感明显提升。截至2020年底，社会办医机构共有2906家，床位7550张。其中：综合医院38家、中医医院10家、中西医结合医院5家、专科医院27家、基层医疗机构2818家、采供血机构4家、其他卫生机构4家。</w:t>
      </w:r>
    </w:p>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表1  “十三五”期间南宁市社会办医基本情况</w:t>
      </w:r>
    </w:p>
    <w:tbl>
      <w:tblPr>
        <w:tblStyle w:val="ad"/>
        <w:tblW w:w="8901" w:type="dxa"/>
        <w:jc w:val="center"/>
        <w:tblLayout w:type="fixed"/>
        <w:tblLook w:val="04A0" w:firstRow="1" w:lastRow="0" w:firstColumn="1" w:lastColumn="0" w:noHBand="0" w:noVBand="1"/>
      </w:tblPr>
      <w:tblGrid>
        <w:gridCol w:w="1389"/>
        <w:gridCol w:w="1134"/>
        <w:gridCol w:w="1559"/>
        <w:gridCol w:w="905"/>
        <w:gridCol w:w="709"/>
        <w:gridCol w:w="708"/>
        <w:gridCol w:w="709"/>
        <w:gridCol w:w="851"/>
        <w:gridCol w:w="937"/>
      </w:tblGrid>
      <w:tr w:rsidR="00982E5F">
        <w:trPr>
          <w:jc w:val="center"/>
        </w:trPr>
        <w:tc>
          <w:tcPr>
            <w:tcW w:w="4082" w:type="dxa"/>
            <w:gridSpan w:val="3"/>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lastRenderedPageBreak/>
              <w:t>机构分类</w:t>
            </w:r>
          </w:p>
        </w:tc>
        <w:tc>
          <w:tcPr>
            <w:tcW w:w="905" w:type="dxa"/>
            <w:vMerge w:val="restar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机构个数（家）</w:t>
            </w:r>
          </w:p>
        </w:tc>
        <w:tc>
          <w:tcPr>
            <w:tcW w:w="2977" w:type="dxa"/>
            <w:gridSpan w:val="4"/>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等级</w:t>
            </w:r>
          </w:p>
        </w:tc>
        <w:tc>
          <w:tcPr>
            <w:tcW w:w="937" w:type="dxa"/>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床位数（张）</w:t>
            </w:r>
          </w:p>
        </w:tc>
      </w:tr>
      <w:tr w:rsidR="00982E5F">
        <w:trPr>
          <w:jc w:val="center"/>
        </w:trPr>
        <w:tc>
          <w:tcPr>
            <w:tcW w:w="4082" w:type="dxa"/>
            <w:gridSpan w:val="3"/>
            <w:vMerge/>
            <w:vAlign w:val="center"/>
          </w:tcPr>
          <w:p w:rsidR="00982E5F" w:rsidRDefault="00982E5F">
            <w:pPr>
              <w:pStyle w:val="a0"/>
              <w:spacing w:line="320" w:lineRule="exact"/>
              <w:jc w:val="center"/>
              <w:rPr>
                <w:rFonts w:ascii="仿宋" w:eastAsia="仿宋" w:hAnsi="仿宋" w:cs="仿宋"/>
                <w:bCs/>
                <w:sz w:val="24"/>
                <w:szCs w:val="24"/>
              </w:rPr>
            </w:pPr>
          </w:p>
        </w:tc>
        <w:tc>
          <w:tcPr>
            <w:tcW w:w="905" w:type="dxa"/>
            <w:vMerge/>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三级</w:t>
            </w: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二级</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一级</w:t>
            </w: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未定级</w:t>
            </w:r>
          </w:p>
        </w:tc>
        <w:tc>
          <w:tcPr>
            <w:tcW w:w="937" w:type="dxa"/>
            <w:vMerge/>
            <w:vAlign w:val="center"/>
          </w:tcPr>
          <w:p w:rsidR="00982E5F" w:rsidRDefault="00982E5F">
            <w:pPr>
              <w:pStyle w:val="a0"/>
              <w:spacing w:line="320" w:lineRule="exact"/>
              <w:jc w:val="center"/>
              <w:rPr>
                <w:rFonts w:ascii="仿宋" w:eastAsia="仿宋" w:hAnsi="仿宋" w:cs="仿宋"/>
                <w:bCs/>
                <w:sz w:val="24"/>
                <w:szCs w:val="24"/>
              </w:rPr>
            </w:pPr>
          </w:p>
        </w:tc>
      </w:tr>
      <w:tr w:rsidR="00982E5F">
        <w:trPr>
          <w:jc w:val="center"/>
        </w:trPr>
        <w:tc>
          <w:tcPr>
            <w:tcW w:w="1389" w:type="dxa"/>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一、医院</w:t>
            </w: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综合医院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38</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7</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30</w:t>
            </w: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3709</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中医医院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10</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7</w:t>
            </w: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496</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中西医医院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w:t>
            </w: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180</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专科医院</w:t>
            </w: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口腔医院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60</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整形外科医院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120</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美容医院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50</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眼科医院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6</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308</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妇产医院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101</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骨科医院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35</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精神专科医院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10</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6</w:t>
            </w:r>
          </w:p>
        </w:tc>
        <w:tc>
          <w:tcPr>
            <w:tcW w:w="851" w:type="dxa"/>
            <w:vAlign w:val="center"/>
          </w:tcPr>
          <w:p w:rsidR="00982E5F" w:rsidRDefault="00982E5F">
            <w:pPr>
              <w:pStyle w:val="a0"/>
              <w:spacing w:line="320" w:lineRule="exact"/>
              <w:jc w:val="center"/>
              <w:rPr>
                <w:rFonts w:ascii="仿宋" w:eastAsia="仿宋" w:hAnsi="仿宋" w:cs="仿宋"/>
                <w:bCs/>
                <w:sz w:val="24"/>
                <w:szCs w:val="24"/>
              </w:rPr>
            </w:pP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2273</w:t>
            </w: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1134" w:type="dxa"/>
            <w:vMerge/>
          </w:tcPr>
          <w:p w:rsidR="00982E5F" w:rsidRDefault="00982E5F">
            <w:pPr>
              <w:pStyle w:val="a0"/>
              <w:spacing w:line="320" w:lineRule="exact"/>
              <w:jc w:val="center"/>
              <w:rPr>
                <w:rFonts w:ascii="仿宋" w:eastAsia="仿宋" w:hAnsi="仿宋" w:cs="仿宋"/>
                <w:bCs/>
                <w:sz w:val="24"/>
                <w:szCs w:val="24"/>
              </w:rPr>
            </w:pPr>
          </w:p>
        </w:tc>
        <w:tc>
          <w:tcPr>
            <w:tcW w:w="155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其它专科医院</w:t>
            </w:r>
          </w:p>
        </w:tc>
        <w:tc>
          <w:tcPr>
            <w:tcW w:w="905" w:type="dxa"/>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80</w:t>
            </w:r>
          </w:p>
        </w:tc>
      </w:tr>
      <w:tr w:rsidR="00982E5F">
        <w:trPr>
          <w:trHeight w:val="359"/>
          <w:jc w:val="center"/>
        </w:trPr>
        <w:tc>
          <w:tcPr>
            <w:tcW w:w="1389" w:type="dxa"/>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二、基层医疗卫生机构</w:t>
            </w: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社区卫生服务中心（站）</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53</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53</w:t>
            </w: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138</w:t>
            </w:r>
          </w:p>
        </w:tc>
      </w:tr>
      <w:tr w:rsidR="00982E5F">
        <w:trPr>
          <w:trHeight w:val="408"/>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村卫生室</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29</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29</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trHeight w:val="285"/>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门诊部</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171</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171</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trHeight w:val="475"/>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诊所、卫生所、医务室等</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2565</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2565</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jc w:val="center"/>
        </w:trPr>
        <w:tc>
          <w:tcPr>
            <w:tcW w:w="138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三、专业公共卫生机构</w:t>
            </w: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采供血机构</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jc w:val="center"/>
        </w:trPr>
        <w:tc>
          <w:tcPr>
            <w:tcW w:w="1389" w:type="dxa"/>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四、其它卫生机构</w:t>
            </w: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体检中心</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消毒供应中心</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jc w:val="center"/>
        </w:trPr>
        <w:tc>
          <w:tcPr>
            <w:tcW w:w="1389" w:type="dxa"/>
            <w:vMerge/>
            <w:vAlign w:val="center"/>
          </w:tcPr>
          <w:p w:rsidR="00982E5F" w:rsidRDefault="00982E5F">
            <w:pPr>
              <w:pStyle w:val="a0"/>
              <w:spacing w:line="320" w:lineRule="exact"/>
              <w:jc w:val="center"/>
              <w:rPr>
                <w:rFonts w:ascii="仿宋" w:eastAsia="仿宋" w:hAnsi="仿宋" w:cs="仿宋"/>
                <w:bCs/>
                <w:sz w:val="24"/>
                <w:szCs w:val="24"/>
              </w:rPr>
            </w:pPr>
          </w:p>
        </w:tc>
        <w:tc>
          <w:tcPr>
            <w:tcW w:w="2693" w:type="dxa"/>
            <w:gridSpan w:val="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血液透析中心</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708" w:type="dxa"/>
            <w:vAlign w:val="center"/>
          </w:tcPr>
          <w:p w:rsidR="00982E5F" w:rsidRDefault="00982E5F">
            <w:pPr>
              <w:pStyle w:val="a0"/>
              <w:spacing w:line="320" w:lineRule="exact"/>
              <w:jc w:val="center"/>
              <w:rPr>
                <w:rFonts w:ascii="仿宋" w:eastAsia="仿宋" w:hAnsi="仿宋" w:cs="仿宋"/>
                <w:bCs/>
                <w:sz w:val="24"/>
                <w:szCs w:val="24"/>
              </w:rPr>
            </w:pPr>
          </w:p>
        </w:tc>
        <w:tc>
          <w:tcPr>
            <w:tcW w:w="709" w:type="dxa"/>
            <w:vAlign w:val="center"/>
          </w:tcPr>
          <w:p w:rsidR="00982E5F" w:rsidRDefault="00982E5F">
            <w:pPr>
              <w:pStyle w:val="a0"/>
              <w:spacing w:line="320" w:lineRule="exact"/>
              <w:jc w:val="center"/>
              <w:rPr>
                <w:rFonts w:ascii="仿宋" w:eastAsia="仿宋" w:hAnsi="仿宋" w:cs="仿宋"/>
                <w:bCs/>
                <w:sz w:val="24"/>
                <w:szCs w:val="24"/>
              </w:rPr>
            </w:pP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937" w:type="dxa"/>
            <w:vAlign w:val="center"/>
          </w:tcPr>
          <w:p w:rsidR="00982E5F" w:rsidRDefault="00982E5F">
            <w:pPr>
              <w:pStyle w:val="a0"/>
              <w:spacing w:line="320" w:lineRule="exact"/>
              <w:jc w:val="center"/>
              <w:rPr>
                <w:rFonts w:ascii="仿宋" w:eastAsia="仿宋" w:hAnsi="仿宋" w:cs="仿宋"/>
                <w:bCs/>
                <w:sz w:val="24"/>
                <w:szCs w:val="24"/>
              </w:rPr>
            </w:pPr>
          </w:p>
        </w:tc>
      </w:tr>
      <w:tr w:rsidR="00982E5F">
        <w:trPr>
          <w:jc w:val="center"/>
        </w:trPr>
        <w:tc>
          <w:tcPr>
            <w:tcW w:w="4082" w:type="dxa"/>
            <w:gridSpan w:val="3"/>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总数</w:t>
            </w:r>
          </w:p>
        </w:tc>
        <w:tc>
          <w:tcPr>
            <w:tcW w:w="905"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2906</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708"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24</w:t>
            </w:r>
          </w:p>
        </w:tc>
        <w:tc>
          <w:tcPr>
            <w:tcW w:w="709"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50</w:t>
            </w:r>
          </w:p>
        </w:tc>
        <w:tc>
          <w:tcPr>
            <w:tcW w:w="85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2828</w:t>
            </w:r>
          </w:p>
        </w:tc>
        <w:tc>
          <w:tcPr>
            <w:tcW w:w="937"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7550</w:t>
            </w:r>
          </w:p>
        </w:tc>
      </w:tr>
    </w:tbl>
    <w:p w:rsidR="00982E5F" w:rsidRDefault="00BC06AC">
      <w:pPr>
        <w:pStyle w:val="3"/>
        <w:spacing w:before="0" w:after="0" w:line="560" w:lineRule="exact"/>
        <w:ind w:firstLineChars="200" w:firstLine="640"/>
        <w:rPr>
          <w:rFonts w:ascii="仿宋" w:eastAsia="仿宋" w:hAnsi="仿宋" w:cs="仿宋"/>
          <w:b w:val="0"/>
        </w:rPr>
      </w:pPr>
      <w:bookmarkStart w:id="22" w:name="_Toc115100460"/>
      <w:bookmarkStart w:id="23" w:name="_Toc12568"/>
      <w:bookmarkStart w:id="24" w:name="_Toc119681255"/>
      <w:bookmarkStart w:id="25" w:name="_Toc26705"/>
      <w:r>
        <w:rPr>
          <w:rFonts w:ascii="仿宋" w:eastAsia="仿宋" w:hAnsi="仿宋" w:cs="仿宋" w:hint="eastAsia"/>
          <w:b w:val="0"/>
        </w:rPr>
        <w:t>（三）招商引资成效明显，服务体系不断完善</w:t>
      </w:r>
      <w:bookmarkEnd w:id="22"/>
      <w:bookmarkEnd w:id="23"/>
      <w:bookmarkEnd w:id="24"/>
      <w:bookmarkEnd w:id="25"/>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南宁市积极开展大健康医疗和管理产业招商引资活动，先后引进了泰康人寿、前海人寿、华润集团和云康集团等知名企业投资建设医疗机构、养老社区和第三方检查机构等项目。其中广西医大开元埌东医院、前海人寿广西医院、前海人寿南宁医院和广西美澳妇产医院等社会办医重大项目得到了落地建设，为社会办医整体水平的提升产生良好示范性</w:t>
      </w:r>
      <w:r>
        <w:rPr>
          <w:rFonts w:ascii="仿宋" w:eastAsia="仿宋" w:hAnsi="仿宋" w:cs="仿宋" w:hint="eastAsia"/>
          <w:bCs/>
          <w:sz w:val="32"/>
          <w:szCs w:val="32"/>
        </w:rPr>
        <w:lastRenderedPageBreak/>
        <w:t>作用，医疗卫生服务体系进一步完善。</w:t>
      </w:r>
    </w:p>
    <w:p w:rsidR="00982E5F" w:rsidRDefault="00BC06AC">
      <w:pPr>
        <w:pStyle w:val="3"/>
        <w:spacing w:before="0" w:after="0" w:line="560" w:lineRule="exact"/>
        <w:ind w:firstLineChars="200" w:firstLine="640"/>
        <w:rPr>
          <w:rFonts w:ascii="仿宋" w:eastAsia="仿宋" w:hAnsi="仿宋" w:cs="仿宋"/>
          <w:b w:val="0"/>
        </w:rPr>
      </w:pPr>
      <w:bookmarkStart w:id="26" w:name="_Toc30534"/>
      <w:bookmarkStart w:id="27" w:name="_Toc119681256"/>
      <w:bookmarkStart w:id="28" w:name="_Toc23721"/>
      <w:bookmarkStart w:id="29" w:name="_Toc115100461"/>
      <w:r>
        <w:rPr>
          <w:rFonts w:ascii="仿宋" w:eastAsia="仿宋" w:hAnsi="仿宋" w:cs="仿宋" w:hint="eastAsia"/>
          <w:b w:val="0"/>
        </w:rPr>
        <w:t>（四）体制机制逐步完善，医联体取得新进展</w:t>
      </w:r>
      <w:bookmarkEnd w:id="26"/>
      <w:bookmarkEnd w:id="27"/>
      <w:bookmarkEnd w:id="28"/>
      <w:bookmarkEnd w:id="29"/>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南宁市持续深化医药卫生体制改革，积极推进医联体建设，组建了以南宁市第一人民医院、南宁市第二人民医院为牵头单位的医疗集团，并依托医疗集团与基层医疗机构建立医联体，将社会办医疗机构纳入医联体建设范围，医师无需备案可在医联体内合理流动。通过医联体建设达到逐级帮扶，提高社会办医疗机构业务水平，有效提升了基层医疗机构的管理水平和技术服务质量。截至2020年，已有广西水电医院、南宁玉洞医院、南宁广济高峰医院、南宁中南医院等社会办医疗机构纳入医联体。</w:t>
      </w:r>
    </w:p>
    <w:p w:rsidR="00982E5F" w:rsidRDefault="00BC06AC">
      <w:pPr>
        <w:pStyle w:val="1"/>
        <w:spacing w:before="2" w:after="2" w:line="570" w:lineRule="exact"/>
        <w:ind w:firstLineChars="200" w:firstLine="640"/>
        <w:jc w:val="center"/>
        <w:rPr>
          <w:rFonts w:ascii="楷体" w:eastAsia="楷体" w:hAnsi="楷体" w:cs="楷体"/>
          <w:b w:val="0"/>
          <w:sz w:val="32"/>
          <w:szCs w:val="32"/>
        </w:rPr>
      </w:pPr>
      <w:bookmarkStart w:id="30" w:name="_Toc119681257"/>
      <w:bookmarkStart w:id="31" w:name="_Toc22795"/>
      <w:bookmarkStart w:id="32" w:name="_Toc115100462"/>
      <w:bookmarkStart w:id="33" w:name="_Toc30371"/>
      <w:r>
        <w:rPr>
          <w:rFonts w:ascii="楷体" w:eastAsia="楷体" w:hAnsi="楷体" w:cs="楷体" w:hint="eastAsia"/>
          <w:b w:val="0"/>
          <w:sz w:val="32"/>
          <w:szCs w:val="32"/>
        </w:rPr>
        <w:t>二、存在问题</w:t>
      </w:r>
      <w:bookmarkEnd w:id="30"/>
      <w:bookmarkEnd w:id="31"/>
      <w:bookmarkEnd w:id="32"/>
      <w:bookmarkEnd w:id="33"/>
    </w:p>
    <w:p w:rsidR="00982E5F" w:rsidRDefault="00BC06AC">
      <w:pPr>
        <w:pStyle w:val="3"/>
        <w:spacing w:before="0" w:after="0" w:line="560" w:lineRule="exact"/>
        <w:ind w:firstLineChars="200" w:firstLine="640"/>
        <w:rPr>
          <w:rFonts w:ascii="仿宋" w:eastAsia="仿宋" w:hAnsi="仿宋" w:cs="仿宋"/>
          <w:b w:val="0"/>
        </w:rPr>
      </w:pPr>
      <w:bookmarkStart w:id="34" w:name="_Toc119681258"/>
      <w:bookmarkStart w:id="35" w:name="_Toc13345"/>
      <w:bookmarkStart w:id="36" w:name="_Toc770"/>
      <w:bookmarkStart w:id="37" w:name="_Toc115100463"/>
      <w:bookmarkStart w:id="38" w:name="_Toc86682430"/>
      <w:r>
        <w:rPr>
          <w:rFonts w:ascii="仿宋" w:eastAsia="仿宋" w:hAnsi="仿宋" w:cs="仿宋" w:hint="eastAsia"/>
          <w:b w:val="0"/>
        </w:rPr>
        <w:t>（一）医疗资源分布不均，分级诊疗支撑不足</w:t>
      </w:r>
      <w:bookmarkEnd w:id="34"/>
      <w:bookmarkEnd w:id="35"/>
      <w:bookmarkEnd w:id="36"/>
      <w:bookmarkEnd w:id="37"/>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南宁市公立医院和社会办医以综合医院、中医医院为主，社会办医以补足公立医院医疗服务短板为主。公立医院和社会办医医院发展不平衡，全市公立医院（含妇幼保健院）77家，每千常住人口医疗卫生机构床位5.63张，公立医院主要分布在青秀区、兴宁区、西乡塘区，其他区域医院配置不足；社会办医规上企业20家，每千常住人口社会办医院床位仅为0.85张，社会办医主要集中在青秀区、西乡塘区，其他区域社会办医偏少，肿瘤专科医院、康复专科医院、精神专科医院、妇产医院、心脑血管专科医院、妇幼保健院、骨科医院、皮肤科医院等专科医院亟待发展。隆安县、马山县、上林县尚未有二级以上民营医疗机构，每千常住人口社</w:t>
      </w:r>
      <w:r>
        <w:rPr>
          <w:rFonts w:ascii="仿宋" w:eastAsia="仿宋" w:hAnsi="仿宋" w:cs="仿宋" w:hint="eastAsia"/>
          <w:bCs/>
          <w:sz w:val="32"/>
          <w:szCs w:val="32"/>
        </w:rPr>
        <w:lastRenderedPageBreak/>
        <w:t>会办医床位数偏低，无法满足群众日益增长的多元化健康需求。</w:t>
      </w:r>
    </w:p>
    <w:p w:rsidR="00982E5F" w:rsidRDefault="00BC06AC">
      <w:pPr>
        <w:pStyle w:val="a0"/>
        <w:jc w:val="center"/>
        <w:rPr>
          <w:rFonts w:ascii="仿宋_GB2312" w:eastAsia="仿宋_GB2312"/>
          <w:bCs/>
          <w:sz w:val="32"/>
          <w:szCs w:val="32"/>
        </w:rPr>
      </w:pPr>
      <w:r>
        <w:rPr>
          <w:bCs/>
          <w:noProof/>
        </w:rPr>
        <w:drawing>
          <wp:inline distT="0" distB="0" distL="0" distR="0" wp14:anchorId="34657F2B" wp14:editId="34CC664B">
            <wp:extent cx="5274310" cy="2290445"/>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2E5F" w:rsidRDefault="00BC06AC">
      <w:pPr>
        <w:pStyle w:val="a0"/>
        <w:spacing w:beforeLines="25" w:before="78" w:afterLines="25" w:after="78"/>
        <w:jc w:val="center"/>
        <w:rPr>
          <w:rFonts w:ascii="黑体" w:eastAsia="黑体" w:hAnsi="黑体" w:cs="黑体"/>
          <w:bCs/>
          <w:sz w:val="28"/>
          <w:szCs w:val="28"/>
        </w:rPr>
      </w:pPr>
      <w:r>
        <w:rPr>
          <w:rFonts w:ascii="黑体" w:eastAsia="黑体" w:hAnsi="黑体" w:cs="黑体" w:hint="eastAsia"/>
          <w:bCs/>
          <w:sz w:val="28"/>
          <w:szCs w:val="28"/>
        </w:rPr>
        <w:t>图1  2020年南宁市公立医院和社会办医院规上企业对比示意图</w:t>
      </w:r>
    </w:p>
    <w:p w:rsidR="00982E5F" w:rsidRDefault="00BC06AC">
      <w:pPr>
        <w:pStyle w:val="3"/>
        <w:numPr>
          <w:ilvl w:val="255"/>
          <w:numId w:val="0"/>
        </w:numPr>
        <w:spacing w:before="0" w:after="0" w:line="560" w:lineRule="exact"/>
        <w:ind w:firstLineChars="200" w:firstLine="640"/>
        <w:rPr>
          <w:rFonts w:ascii="仿宋" w:eastAsia="仿宋" w:hAnsi="仿宋" w:cs="仿宋"/>
          <w:b w:val="0"/>
        </w:rPr>
      </w:pPr>
      <w:bookmarkStart w:id="39" w:name="_Toc119681259"/>
      <w:bookmarkStart w:id="40" w:name="_Toc18453"/>
      <w:bookmarkStart w:id="41" w:name="_Toc4788"/>
      <w:bookmarkStart w:id="42" w:name="_Toc115100464"/>
      <w:r>
        <w:rPr>
          <w:rFonts w:ascii="仿宋" w:eastAsia="仿宋" w:hAnsi="仿宋" w:cs="仿宋" w:hint="eastAsia"/>
          <w:b w:val="0"/>
        </w:rPr>
        <w:t>（二）便民医疗发展较弱，社会办医用地偏低</w:t>
      </w:r>
      <w:bookmarkEnd w:id="39"/>
      <w:bookmarkEnd w:id="40"/>
    </w:p>
    <w:bookmarkEnd w:id="41"/>
    <w:bookmarkEnd w:id="42"/>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便民医疗发展较弱。目前，南宁市城市15分钟医疗服务圈总体发展不完善，家庭医生团队对社区内老年人健康体检项目的检查和治疗能力不足，家庭医生服务信息化落后。家庭医生签约服务管理平台尚未实现全市信息数据互联互通，服务工作效率偏低、准确率低，制约全市便民医疗体系的建立完善。社会办医用地偏低。当前，南宁市中心城区医疗机构用地紧张，新区、开发区新建社会医疗卫生设施所需用地计划指标申请困难，医疗场所配置不足。社会办医用地占比较公立医院明显偏低，与发达城市相比存在较大差距，土地要素供给不足，产业发展空间受限，社会办医用地效益有待提高。</w:t>
      </w:r>
    </w:p>
    <w:p w:rsidR="00982E5F" w:rsidRDefault="00BC06AC">
      <w:pPr>
        <w:pStyle w:val="3"/>
        <w:numPr>
          <w:ilvl w:val="255"/>
          <w:numId w:val="0"/>
        </w:numPr>
        <w:spacing w:before="0" w:after="0" w:line="560" w:lineRule="exact"/>
        <w:ind w:firstLineChars="200" w:firstLine="640"/>
        <w:rPr>
          <w:rFonts w:ascii="仿宋" w:eastAsia="仿宋" w:hAnsi="仿宋" w:cs="仿宋"/>
          <w:b w:val="0"/>
        </w:rPr>
      </w:pPr>
      <w:bookmarkStart w:id="43" w:name="_Toc6884"/>
      <w:bookmarkStart w:id="44" w:name="_Toc119681260"/>
      <w:r>
        <w:rPr>
          <w:rFonts w:ascii="仿宋" w:eastAsia="仿宋" w:hAnsi="仿宋" w:cs="仿宋" w:hint="eastAsia"/>
          <w:b w:val="0"/>
        </w:rPr>
        <w:t>（三）专科医院配置不足，社会办医有待加强</w:t>
      </w:r>
      <w:bookmarkEnd w:id="43"/>
      <w:bookmarkEnd w:id="44"/>
    </w:p>
    <w:p w:rsidR="00982E5F" w:rsidRDefault="00BC06AC">
      <w:pPr>
        <w:spacing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南宁市死因顺位前五的疾病分别是恶性肿瘤、心脏病、脑血管病、呼吸系统疾病、损伤和中毒外部伤害，亟需加强</w:t>
      </w:r>
      <w:r>
        <w:rPr>
          <w:rFonts w:ascii="仿宋" w:eastAsia="仿宋" w:hAnsi="仿宋" w:cs="仿宋" w:hint="eastAsia"/>
          <w:bCs/>
          <w:sz w:val="32"/>
          <w:szCs w:val="32"/>
          <w:shd w:val="clear" w:color="auto" w:fill="FFFFFF"/>
        </w:rPr>
        <w:lastRenderedPageBreak/>
        <w:t>肿瘤专科医院、心脑血管专科医院、精神专科医院、康复专科医院等专科医院建设。根据《南宁市国土空间总体规划（2021-2035年）草案公示》，到2035年，南宁市将建成千万人口大都市，从全国、广西乃至南宁市精神病发病率来看，每千万人口中将会有50万例精神病患者，在未来的规划建设中，精神专科医院要错位发展，大力引进规模较大的精神专科医院辐射周边县域。康复专科医院是社会办医的重要力量，目前，南宁市专业康复专科医院仅有南宁悦年华康复专科医院、南宁儿童康复中心，根据南宁市疾病发生图谱，高发疾病（如中风、肌肉骨骼疾病等）致残率较高，康复学科建设仍是南宁市卫生医疗服务体系的短板。</w:t>
      </w:r>
    </w:p>
    <w:p w:rsidR="00982E5F" w:rsidRDefault="00BC06AC">
      <w:pPr>
        <w:pStyle w:val="3"/>
        <w:spacing w:before="0" w:after="0" w:line="560" w:lineRule="exact"/>
        <w:ind w:firstLineChars="200" w:firstLine="640"/>
        <w:rPr>
          <w:rFonts w:ascii="仿宋" w:eastAsia="仿宋" w:hAnsi="仿宋" w:cs="仿宋"/>
          <w:b w:val="0"/>
        </w:rPr>
      </w:pPr>
      <w:bookmarkStart w:id="45" w:name="_Toc3906"/>
      <w:bookmarkStart w:id="46" w:name="_Toc23206"/>
      <w:bookmarkStart w:id="47" w:name="_Toc119681261"/>
      <w:bookmarkStart w:id="48" w:name="_Toc115100466"/>
      <w:r>
        <w:rPr>
          <w:rFonts w:ascii="仿宋" w:eastAsia="仿宋" w:hAnsi="仿宋" w:cs="仿宋" w:hint="eastAsia"/>
          <w:b w:val="0"/>
        </w:rPr>
        <w:t>（四）托育机构服务不足，一小建设能力不强</w:t>
      </w:r>
      <w:bookmarkEnd w:id="45"/>
      <w:bookmarkEnd w:id="46"/>
      <w:bookmarkEnd w:id="47"/>
      <w:bookmarkEnd w:id="48"/>
    </w:p>
    <w:p w:rsidR="00982E5F" w:rsidRDefault="00BC06AC">
      <w:pPr>
        <w:spacing w:line="56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随着《中共中央国务院关于优化生育政策促进人口长期均衡发展的决定》全面实施，0-3岁的一小发展较快。据统计，2021年南宁市3岁以下婴幼儿托位数23386个，每千人口拥有3岁以下婴幼儿托位数2.7个。根据国家发改委、国家卫健委等部门联合印发《“十四五”公共服务规划》的要求，到2025年，努力实现每千人口拥有3岁以下婴幼儿托位数达到4.5个，在一小建设中整体能力不强。</w:t>
      </w:r>
    </w:p>
    <w:p w:rsidR="00982E5F" w:rsidRDefault="00BC06AC">
      <w:pPr>
        <w:pStyle w:val="2"/>
        <w:spacing w:before="0" w:after="0" w:line="570" w:lineRule="exact"/>
        <w:jc w:val="center"/>
        <w:rPr>
          <w:rFonts w:ascii="楷体" w:eastAsia="楷体" w:hAnsi="楷体" w:cs="楷体"/>
          <w:b w:val="0"/>
        </w:rPr>
      </w:pPr>
      <w:bookmarkStart w:id="49" w:name="_Toc1605"/>
      <w:bookmarkStart w:id="50" w:name="_Toc32164"/>
      <w:bookmarkStart w:id="51" w:name="_Toc115100467"/>
      <w:bookmarkStart w:id="52" w:name="_Toc119681262"/>
      <w:r>
        <w:rPr>
          <w:rFonts w:ascii="楷体" w:eastAsia="楷体" w:hAnsi="楷体" w:cs="楷体" w:hint="eastAsia"/>
          <w:b w:val="0"/>
        </w:rPr>
        <w:t>三、发展环境</w:t>
      </w:r>
      <w:bookmarkEnd w:id="38"/>
      <w:bookmarkEnd w:id="49"/>
      <w:bookmarkEnd w:id="50"/>
      <w:bookmarkEnd w:id="51"/>
      <w:bookmarkEnd w:id="52"/>
    </w:p>
    <w:p w:rsidR="00982E5F" w:rsidRDefault="00BC06AC">
      <w:pPr>
        <w:spacing w:line="560" w:lineRule="exact"/>
        <w:ind w:firstLineChars="200" w:firstLine="640"/>
        <w:jc w:val="left"/>
        <w:rPr>
          <w:rFonts w:ascii="仿宋" w:eastAsia="仿宋" w:hAnsi="仿宋" w:cs="仿宋"/>
          <w:bCs/>
          <w:sz w:val="32"/>
          <w:szCs w:val="32"/>
        </w:rPr>
      </w:pPr>
      <w:bookmarkStart w:id="53" w:name="_Toc14652"/>
      <w:bookmarkStart w:id="54" w:name="_Toc115100468"/>
      <w:bookmarkStart w:id="55" w:name="_Toc119681263"/>
      <w:r>
        <w:rPr>
          <w:rFonts w:ascii="仿宋" w:eastAsia="仿宋" w:hAnsi="仿宋" w:cs="仿宋" w:hint="eastAsia"/>
          <w:bCs/>
          <w:sz w:val="32"/>
          <w:szCs w:val="32"/>
        </w:rPr>
        <w:t>（一）发展机遇</w:t>
      </w:r>
      <w:bookmarkEnd w:id="53"/>
      <w:bookmarkEnd w:id="54"/>
      <w:bookmarkEnd w:id="55"/>
    </w:p>
    <w:p w:rsidR="00982E5F" w:rsidRDefault="00BC06AC">
      <w:pPr>
        <w:spacing w:line="560" w:lineRule="exact"/>
        <w:ind w:firstLineChars="200" w:firstLine="640"/>
        <w:jc w:val="left"/>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“健康中国2030”为大健康医疗和管理产业发展带来新动能。健康中国战略的实施及《“健康中国2030”规划纲要》的制定体现了我国维护人民健康的坚定决心，进一步提升了</w:t>
      </w:r>
      <w:r>
        <w:rPr>
          <w:rFonts w:ascii="仿宋" w:eastAsia="仿宋" w:hAnsi="仿宋" w:cs="仿宋" w:hint="eastAsia"/>
          <w:bCs/>
          <w:sz w:val="32"/>
          <w:szCs w:val="32"/>
          <w:shd w:val="clear" w:color="auto" w:fill="FFFFFF"/>
        </w:rPr>
        <w:lastRenderedPageBreak/>
        <w:t>大健康医疗和管理产业的战略地位。近年来，广西以“全方位、全领域、全产业链、全生命周期”为维度，统筹全局全面推动大健康产业发展。先后召开全区大健康产业发展工作会议，举办大健康产业峰会，成立广西大健康和文旅产业工程指挥部，出台加快大健康产业发展系列政策文件，引入一批大健康产业重大项目，着力打造形成全国大健康产业发展新高地，大健康产业呈现出良好发展势头，为进一步加强顶层设计和规划引领，全面推动大健康产业高质量发展，积极培育经济发展带来新动能。</w:t>
      </w:r>
    </w:p>
    <w:p w:rsidR="00982E5F" w:rsidRDefault="00BC06AC">
      <w:pPr>
        <w:spacing w:line="560" w:lineRule="exact"/>
        <w:ind w:firstLineChars="200" w:firstLine="640"/>
        <w:jc w:val="left"/>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健康理念转变和收入水平提高为大健康医疗和管理产业发展提供新动力。我国进入新发展阶段，经济保持稳定增长，居民收入水平不断提高，人民健康需求不断提升。新冠肺炎疫情使得人们的健康意识明显增强，大健康医疗和管理产业战略价值凸显，为大健康医疗和管理产业发展提供了新的契机。随着经济社会发展，消费结构升级为发展健康服务不断创造广阔空间，相关制度更加成熟定型，为健康领域可持续发展构建强大保障。随着人口老龄化程度持续加深和预期寿命延长，人民群众对健康医疗的需求日益增加；健康理念和消费观念深入融合，健康消费意识增强，健康生活方式普及，健康消费活力迸发，为南宁大健康医疗和管理产业消费市场创造广阔的发展空间。</w:t>
      </w:r>
    </w:p>
    <w:p w:rsidR="00982E5F" w:rsidRDefault="00BC06AC">
      <w:pPr>
        <w:spacing w:line="560" w:lineRule="exact"/>
        <w:ind w:firstLineChars="200" w:firstLine="640"/>
        <w:jc w:val="left"/>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新一轮科技革命和产业变革深入发展为大健康医疗和管理产业带来新机遇。当前，新一轮科技革命和产业变革深入发展，以合成生物学、基因编辑、脑科学、再生医学等为</w:t>
      </w:r>
      <w:r>
        <w:rPr>
          <w:rFonts w:ascii="仿宋" w:eastAsia="仿宋" w:hAnsi="仿宋" w:cs="仿宋" w:hint="eastAsia"/>
          <w:bCs/>
          <w:sz w:val="32"/>
          <w:szCs w:val="32"/>
          <w:shd w:val="clear" w:color="auto" w:fill="FFFFFF"/>
        </w:rPr>
        <w:lastRenderedPageBreak/>
        <w:t>代表的生命科学领域孕育新的变革，特别是以大数据、云计算、移动互联网、物联网为代表的新一代信息技术与生命科学、生物技术的跨界融合，加速催生了基因检测、远程医疗、智慧医疗、个体化治疗等健康服务新业态和新模式，为人类健康需求提供了新手段、新途径，正加快重塑全球大健康医疗和管理产业价值链体系，南宁大健康医疗和管理产业将迎来新的战略机遇期。</w:t>
      </w:r>
    </w:p>
    <w:p w:rsidR="00982E5F" w:rsidRDefault="00BC06AC">
      <w:pPr>
        <w:spacing w:line="560" w:lineRule="exact"/>
        <w:ind w:firstLineChars="200" w:firstLine="640"/>
        <w:jc w:val="left"/>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强首府”战略为大健康医疗和管理产业提供新契机。“十四五”时期是全面实施“强首府”战略、着力构建“首府南宁医疗高地”空间战略布局的开局时期，南宁市作为自治区首府城市将承担大健康医疗和管理产业建设的重任，依托气候条件优越、生态环境优良、医疗医药资源丰富、区位优势突出、政策优势叠加等条件，把握大健康医疗和管理产业发展时代背景，抢抓机遇、积极作为，坚决贯彻落实中央和自治区关于发展大健康产业的重大决策部署，把大健康医疗和管理产业作为战略性重要产业，为南宁加快培育新业态新模式、新动能提供契机。</w:t>
      </w:r>
    </w:p>
    <w:p w:rsidR="00982E5F" w:rsidRDefault="00BC06AC">
      <w:pPr>
        <w:spacing w:line="560" w:lineRule="exact"/>
        <w:ind w:firstLineChars="200" w:firstLine="640"/>
        <w:jc w:val="left"/>
        <w:rPr>
          <w:rFonts w:ascii="仿宋" w:eastAsia="仿宋" w:hAnsi="仿宋" w:cs="仿宋"/>
          <w:bCs/>
          <w:sz w:val="32"/>
          <w:szCs w:val="32"/>
        </w:rPr>
      </w:pPr>
      <w:bookmarkStart w:id="56" w:name="_Toc119681264"/>
      <w:bookmarkStart w:id="57" w:name="_Toc1772"/>
      <w:bookmarkStart w:id="58" w:name="_Toc115100469"/>
      <w:r>
        <w:rPr>
          <w:rFonts w:ascii="仿宋" w:eastAsia="仿宋" w:hAnsi="仿宋" w:cs="仿宋" w:hint="eastAsia"/>
          <w:bCs/>
          <w:sz w:val="32"/>
          <w:szCs w:val="32"/>
        </w:rPr>
        <w:t>（二）面临挑战</w:t>
      </w:r>
      <w:bookmarkEnd w:id="56"/>
      <w:bookmarkEnd w:id="57"/>
      <w:bookmarkEnd w:id="58"/>
    </w:p>
    <w:p w:rsidR="00982E5F" w:rsidRDefault="00BC06AC">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资源区域竞争日趋激烈。江西、湖南、云南、贵州、四川、重庆等中西部地区竞相出台优惠政策，不断改善投资环境、优化营商环境、提升人才环境，周边地区省会城市将大健康医疗和管理产业作为引领未来经济发展的增长点，竞相开展大健康产业布局，抢占市场发展先机。地区之间竞争压力不断加大，抢企业、争项目、拼人才等竞争日趋激烈，开</w:t>
      </w:r>
      <w:r>
        <w:rPr>
          <w:rFonts w:ascii="仿宋" w:eastAsia="仿宋" w:hAnsi="仿宋" w:cs="仿宋" w:hint="eastAsia"/>
          <w:bCs/>
          <w:sz w:val="32"/>
          <w:szCs w:val="32"/>
        </w:rPr>
        <w:lastRenderedPageBreak/>
        <w:t>展招商引资难度进一步增大。</w:t>
      </w:r>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技术人才培育体系薄弱。目前大健康医疗和管理产业技术人才稀缺，大健康医疗和管理产业人才主要分布在北京、上海、广东、江苏等发达地区，广西作为后发展欠发达地区，尤其是南宁市大健康医疗和管理产业起步晚，教育水平相对落后，区内缺乏高端大健康医疗和管理产业人才，特别是高素质的复合型人才，且在人才培育引进问题上存在困境。</w:t>
      </w:r>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疫情倒逼产业提质升级。新冠疫情催生新业态倒逼健康经济发展革新，人民健康观念日益提高，对于健康体检、体医融合、健康养老、营养保健、健康管理、健康保险的需求日益旺盛。大健康产业的新技术和新模式得到快速发展，传统医疗健康格局在迅速改变，现有大健康医疗行业创新变革加速。与此同时，南宁大健康医疗和管理产业资源分散，产业缺乏竞争力，大多数大健康医疗企业规模较小，产业链分散和商业模式落后，严重制约大健康医疗和管理产业发展。</w:t>
      </w:r>
    </w:p>
    <w:p w:rsidR="00982E5F" w:rsidRDefault="00982E5F">
      <w:pPr>
        <w:pStyle w:val="a0"/>
        <w:spacing w:line="240" w:lineRule="exact"/>
        <w:rPr>
          <w:bCs/>
        </w:rPr>
      </w:pP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59" w:name="_Toc86682433"/>
      <w:bookmarkStart w:id="60" w:name="_Toc18535"/>
      <w:bookmarkStart w:id="61" w:name="_Toc7781"/>
      <w:bookmarkStart w:id="62" w:name="_Toc115100470"/>
      <w:bookmarkStart w:id="63" w:name="_Toc119681265"/>
      <w:r>
        <w:rPr>
          <w:rFonts w:ascii="方正黑体_GBK" w:eastAsia="方正黑体_GBK" w:hAnsi="方正黑体_GBK" w:cs="方正黑体_GBK" w:hint="eastAsia"/>
          <w:b w:val="0"/>
          <w:sz w:val="32"/>
          <w:szCs w:val="32"/>
        </w:rPr>
        <w:t>第二章  总体思路</w:t>
      </w:r>
      <w:bookmarkEnd w:id="59"/>
      <w:r>
        <w:rPr>
          <w:rFonts w:ascii="方正黑体_GBK" w:eastAsia="方正黑体_GBK" w:hAnsi="方正黑体_GBK" w:cs="方正黑体_GBK" w:hint="eastAsia"/>
          <w:b w:val="0"/>
          <w:sz w:val="32"/>
          <w:szCs w:val="32"/>
        </w:rPr>
        <w:t>和发展目标</w:t>
      </w:r>
      <w:bookmarkEnd w:id="60"/>
      <w:bookmarkEnd w:id="61"/>
      <w:bookmarkEnd w:id="62"/>
      <w:bookmarkEnd w:id="63"/>
    </w:p>
    <w:p w:rsidR="00982E5F" w:rsidRDefault="00BC06AC">
      <w:pPr>
        <w:pStyle w:val="2"/>
        <w:spacing w:before="0" w:after="0" w:line="570" w:lineRule="exact"/>
        <w:jc w:val="center"/>
        <w:rPr>
          <w:rFonts w:ascii="楷体" w:eastAsia="楷体" w:hAnsi="楷体" w:cs="楷体"/>
          <w:b w:val="0"/>
        </w:rPr>
      </w:pPr>
      <w:bookmarkStart w:id="64" w:name="_Toc119681266"/>
      <w:bookmarkStart w:id="65" w:name="_Toc115100471"/>
      <w:bookmarkStart w:id="66" w:name="_Toc4240"/>
      <w:bookmarkStart w:id="67" w:name="_Toc25075"/>
      <w:r>
        <w:rPr>
          <w:rFonts w:ascii="楷体" w:eastAsia="楷体" w:hAnsi="楷体" w:cs="楷体" w:hint="eastAsia"/>
          <w:b w:val="0"/>
        </w:rPr>
        <w:t>一、指导思想</w:t>
      </w:r>
      <w:bookmarkEnd w:id="64"/>
      <w:bookmarkEnd w:id="65"/>
      <w:bookmarkEnd w:id="66"/>
      <w:bookmarkEnd w:id="67"/>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以习近平新时代中国特色社会主义思想为指导，全面贯彻党的二十大和党的二十届一中全会精神，要认真学习贯彻习近平总书记会议期间对广西提出的“五个更大”重要要求，深入贯彻落实习近平总书记视察广西“4·27”重要讲话精神和对广西工作的系列重要指示要求，坚持把人民群众生命安全和身体健康放在第一位，以提高人民健康水平为核心，</w:t>
      </w:r>
      <w:r>
        <w:rPr>
          <w:rFonts w:ascii="仿宋_GB2312" w:eastAsia="仿宋_GB2312" w:hint="eastAsia"/>
          <w:bCs/>
          <w:sz w:val="32"/>
          <w:szCs w:val="32"/>
        </w:rPr>
        <w:lastRenderedPageBreak/>
        <w:t>以实施健康中国战略，推进健康南宁建设为统领，坚持新发展理念，以高质量发展为主题，围绕“医、管”等重点领域，深化供给侧结构性改革，以全方位全周期维护和保障人民健康为目标，以市场需求为牵引，积极创新医疗服务供给模式，支持社会力量提供多层次医疗服务，推进公立医院和社会办医分工协作、共同发展，努力为人民群众提供全方位全周期健康服务，培育经济发展新动能，满足群众多样化、差异化、个性化健康需求。</w:t>
      </w:r>
    </w:p>
    <w:p w:rsidR="00982E5F" w:rsidRDefault="00BC06AC">
      <w:pPr>
        <w:pStyle w:val="2"/>
        <w:spacing w:before="0" w:after="0" w:line="570" w:lineRule="exact"/>
        <w:jc w:val="center"/>
        <w:rPr>
          <w:rFonts w:ascii="楷体" w:eastAsia="楷体" w:hAnsi="楷体" w:cs="楷体"/>
          <w:b w:val="0"/>
        </w:rPr>
      </w:pPr>
      <w:bookmarkStart w:id="68" w:name="_Toc115100472"/>
      <w:bookmarkStart w:id="69" w:name="_Toc8636"/>
      <w:bookmarkStart w:id="70" w:name="_Toc10406"/>
      <w:bookmarkStart w:id="71" w:name="_Toc119681267"/>
      <w:r>
        <w:rPr>
          <w:rFonts w:ascii="楷体" w:eastAsia="楷体" w:hAnsi="楷体" w:cs="楷体" w:hint="eastAsia"/>
          <w:b w:val="0"/>
        </w:rPr>
        <w:t>二、基本原则</w:t>
      </w:r>
      <w:bookmarkEnd w:id="68"/>
      <w:bookmarkEnd w:id="69"/>
      <w:bookmarkEnd w:id="70"/>
      <w:bookmarkEnd w:id="71"/>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以人为本、统筹推进。把提升全民健康素质作为根本出发点和落脚点，利用全社会资源加快补齐医疗事业发展短板，坚持把社会效益放在首位，努力实现社会效益与经济效益相统一，切实维护人民群众健康权益。</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需求引领、供给升级。瞄准供需矛盾突出领域，以先进技术、特色服务、品牌质量为重点，充分释放社会办医潜力和活力，促进人才、资金、技术等要素合理流动、充分发展，推动社会办医服务创新、业态升级，与政府办医共同发展、有序竞争。</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放宽准入、优化服务。加大力度消除社会办医的体制机制障碍，降低准入门槛，简化审批流程，提高审批效率。对社会办医疗机构在准入、执业、监管等方面与公立医疗机构一视同仁，营造公平竞争环境，促进社会力量踊跃提供多层次多样化医疗服务。</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严格监管、有序发展。加快转变政府职能，把工作重心</w:t>
      </w:r>
      <w:r>
        <w:rPr>
          <w:rFonts w:ascii="仿宋_GB2312" w:eastAsia="仿宋_GB2312" w:hint="eastAsia"/>
          <w:bCs/>
          <w:sz w:val="32"/>
          <w:szCs w:val="32"/>
        </w:rPr>
        <w:lastRenderedPageBreak/>
        <w:t>从事前审批转到加强事中事后监管，强化政府在制度建设、标准制定、市场监管等方面职责，加强指导监督，严厉打击扰乱市场秩序的行为，促进社会办医守法诚信经营、规范健康发展。</w:t>
      </w:r>
    </w:p>
    <w:p w:rsidR="00982E5F" w:rsidRDefault="00BC06AC">
      <w:pPr>
        <w:pStyle w:val="2"/>
        <w:spacing w:before="0" w:after="0" w:line="570" w:lineRule="exact"/>
        <w:jc w:val="center"/>
        <w:rPr>
          <w:rFonts w:ascii="楷体" w:eastAsia="楷体" w:hAnsi="楷体" w:cs="楷体"/>
          <w:b w:val="0"/>
        </w:rPr>
      </w:pPr>
      <w:bookmarkStart w:id="72" w:name="_Toc16631"/>
      <w:bookmarkStart w:id="73" w:name="_Toc115100473"/>
      <w:bookmarkStart w:id="74" w:name="_Toc119681268"/>
      <w:bookmarkStart w:id="75" w:name="_Toc17116"/>
      <w:r>
        <w:rPr>
          <w:rFonts w:ascii="楷体" w:eastAsia="楷体" w:hAnsi="楷体" w:cs="楷体" w:hint="eastAsia"/>
          <w:b w:val="0"/>
        </w:rPr>
        <w:t>三、发展定位</w:t>
      </w:r>
      <w:bookmarkEnd w:id="72"/>
      <w:bookmarkEnd w:id="73"/>
      <w:bookmarkEnd w:id="74"/>
      <w:bookmarkEnd w:id="75"/>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西南大健康医疗和管理产业区域中心。以贯彻落实“强首府”战略为契机，依托广西医大开元</w:t>
      </w:r>
      <w:r>
        <w:rPr>
          <w:rFonts w:ascii="仿宋" w:eastAsia="仿宋" w:hAnsi="仿宋" w:cs="微软雅黑" w:hint="eastAsia"/>
          <w:bCs/>
          <w:sz w:val="32"/>
          <w:szCs w:val="32"/>
        </w:rPr>
        <w:t>埌</w:t>
      </w:r>
      <w:r>
        <w:rPr>
          <w:rFonts w:ascii="仿宋_GB2312" w:eastAsia="仿宋_GB2312" w:hAnsi="仿宋_GB2312" w:cs="仿宋_GB2312" w:hint="eastAsia"/>
          <w:bCs/>
          <w:sz w:val="32"/>
          <w:szCs w:val="32"/>
        </w:rPr>
        <w:t>东</w:t>
      </w:r>
      <w:r>
        <w:rPr>
          <w:rFonts w:ascii="仿宋_GB2312" w:eastAsia="仿宋_GB2312" w:hAnsi="微软雅黑" w:cs="微软雅黑" w:hint="eastAsia"/>
          <w:bCs/>
          <w:sz w:val="32"/>
          <w:szCs w:val="32"/>
        </w:rPr>
        <w:t>医院、</w:t>
      </w:r>
      <w:r>
        <w:rPr>
          <w:rFonts w:ascii="仿宋_GB2312" w:eastAsia="仿宋_GB2312" w:hint="eastAsia"/>
          <w:bCs/>
          <w:sz w:val="32"/>
          <w:szCs w:val="32"/>
        </w:rPr>
        <w:t>广西美澳妇产医院和前海人寿广西（南宁）医院等社会办医疗机构全方位提升全周期健康服务与保障能力，加大国内外高端医疗资源引进力度，提升医疗服务水平，加快推进优质医疗资源均衡布局，推进落实高水平医院资源下沉，全面提升医疗服务质量，构建西南大健康医疗和管理产业区域中心。</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区域性国际大健康医疗和管理产业高地。以建设中国（广西）自由贸易试验区南宁片区为契机，充分发挥南宁与东盟国家陆海相接的独特优势，坚持高水平“引进来”，高质量“走出去”，促进大健康医疗和管理产业融入“一带一路”、成渝地区双城经济圈、珠江—西江经济带、粤港澳大湾区等国内国际双循环产业体系，助力广西构建“南向、北联、东融、西合”全方位开放发展新格局，打造特色鲜明、面向东盟、服务“一带一路”的区域性国际大健康医疗和管理产业高地。</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中高端大健康医疗和管理产业集聚区。以“健康中国2030”为发展机遇，以普及健康生活、优化健康服务、完善健康保障、建设健康环境、发展健康产业为重点，加快转变</w:t>
      </w:r>
      <w:r>
        <w:rPr>
          <w:rFonts w:ascii="仿宋_GB2312" w:eastAsia="仿宋_GB2312" w:hint="eastAsia"/>
          <w:bCs/>
          <w:sz w:val="32"/>
          <w:szCs w:val="32"/>
        </w:rPr>
        <w:lastRenderedPageBreak/>
        <w:t>健康领域发展方式，全方位、全周期维护和保障人民健康，大幅提高健康水平，积极推进社会办医，吸引一批国际、国内高端医疗产业机构落户，发展前沿医疗，提供多元化服务，提升大健康医疗和管理产业战略地位，打造中高端大健康医疗和管理产业集聚区。</w:t>
      </w:r>
    </w:p>
    <w:p w:rsidR="00982E5F" w:rsidRDefault="00BC06AC">
      <w:pPr>
        <w:pStyle w:val="2"/>
        <w:spacing w:before="0" w:after="0" w:line="570" w:lineRule="exact"/>
        <w:jc w:val="center"/>
        <w:rPr>
          <w:rFonts w:ascii="楷体" w:eastAsia="楷体" w:hAnsi="楷体" w:cs="楷体"/>
          <w:b w:val="0"/>
        </w:rPr>
      </w:pPr>
      <w:bookmarkStart w:id="76" w:name="_Toc119681269"/>
      <w:bookmarkStart w:id="77" w:name="_Toc32388"/>
      <w:bookmarkStart w:id="78" w:name="_Toc32626"/>
      <w:bookmarkStart w:id="79" w:name="_Toc115100474"/>
      <w:r>
        <w:rPr>
          <w:rFonts w:ascii="楷体" w:eastAsia="楷体" w:hAnsi="楷体" w:cs="楷体" w:hint="eastAsia"/>
          <w:b w:val="0"/>
        </w:rPr>
        <w:t>四、发展目标</w:t>
      </w:r>
      <w:bookmarkEnd w:id="76"/>
      <w:bookmarkEnd w:id="77"/>
      <w:bookmarkEnd w:id="78"/>
      <w:bookmarkEnd w:id="79"/>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到2025年，社会资本进入医疗卫生领域取得重大阶段性成效，建成和形成一批有一定规模、一定社会影响和一定品牌特色的社会办医疗机构，基本形成多元办医格局，提高医疗资源总量，优化医疗资源配置结构，增强医疗服务供给，提高医疗服务整体效率。</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产业规模不断壮大。产业规模总量进一步壮大提升，社会办医能力显著增强。到2025年，大健康医疗和管理产业规模以上企业达到2</w:t>
      </w:r>
      <w:r>
        <w:rPr>
          <w:rFonts w:ascii="仿宋_GB2312" w:eastAsia="仿宋_GB2312"/>
          <w:bCs/>
          <w:sz w:val="32"/>
          <w:szCs w:val="32"/>
        </w:rPr>
        <w:t>5</w:t>
      </w:r>
      <w:r>
        <w:rPr>
          <w:rFonts w:ascii="仿宋_GB2312" w:eastAsia="仿宋_GB2312" w:hint="eastAsia"/>
          <w:bCs/>
          <w:sz w:val="32"/>
          <w:szCs w:val="32"/>
        </w:rPr>
        <w:t>家。</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机构能力明显增强。激发医疗领域社会投资活力，调动社会办医积极性，支持社会力量提供多层次多样化医疗服务。到2025年，力争社会办医能力明显增强，医疗技术、服务品质、品牌美誉度显著提高，打造一批有较强服务竞争力的社会办医疗机构，服务供给基本满足市场需求。</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服务能力显著提升。社会办医疗机构成规模、上水平发展，提供基本医疗服务、高端医疗服务和康复、老年护理等紧缺服务，与公立医院形成有序竞争，成为重要医疗卫生服务补充。到2025年，每千名常住人口社会办医床位数达到1.1张，社会办医疗机构床位数达到11187张左右，新增床</w:t>
      </w:r>
      <w:r>
        <w:rPr>
          <w:rFonts w:ascii="仿宋_GB2312" w:eastAsia="仿宋_GB2312" w:hint="eastAsia"/>
          <w:bCs/>
          <w:sz w:val="32"/>
          <w:szCs w:val="32"/>
        </w:rPr>
        <w:lastRenderedPageBreak/>
        <w:t>位数3637张左右，占公立医院床位比重达到1</w:t>
      </w:r>
      <w:r>
        <w:rPr>
          <w:rFonts w:ascii="仿宋_GB2312" w:eastAsia="仿宋_GB2312"/>
          <w:bCs/>
          <w:sz w:val="32"/>
          <w:szCs w:val="32"/>
        </w:rPr>
        <w:t>8.54</w:t>
      </w:r>
      <w:r>
        <w:rPr>
          <w:rFonts w:ascii="仿宋_GB2312" w:eastAsia="仿宋_GB2312" w:hint="eastAsia"/>
          <w:bCs/>
          <w:sz w:val="32"/>
          <w:szCs w:val="32"/>
        </w:rPr>
        <w:t>%，床位使用率达到5</w:t>
      </w:r>
      <w:r>
        <w:rPr>
          <w:rFonts w:ascii="仿宋_GB2312" w:eastAsia="仿宋_GB2312"/>
          <w:bCs/>
          <w:sz w:val="32"/>
          <w:szCs w:val="32"/>
        </w:rPr>
        <w:t>5.63</w:t>
      </w:r>
      <w:r>
        <w:rPr>
          <w:rFonts w:ascii="仿宋_GB2312" w:eastAsia="仿宋_GB2312" w:hint="eastAsia"/>
          <w:bCs/>
          <w:sz w:val="32"/>
          <w:szCs w:val="32"/>
        </w:rPr>
        <w:t>%。新建二级以上社会办医疗机构达到</w:t>
      </w:r>
      <w:r>
        <w:rPr>
          <w:rFonts w:ascii="仿宋_GB2312" w:eastAsia="仿宋_GB2312"/>
          <w:bCs/>
          <w:sz w:val="32"/>
          <w:szCs w:val="32"/>
        </w:rPr>
        <w:t>105</w:t>
      </w:r>
      <w:r>
        <w:rPr>
          <w:rFonts w:ascii="仿宋_GB2312" w:eastAsia="仿宋_GB2312" w:hint="eastAsia"/>
          <w:bCs/>
          <w:sz w:val="32"/>
          <w:szCs w:val="32"/>
        </w:rPr>
        <w:t>家。</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行业监管不断完善。进一步强化行业监管，完善诚信体系建设，促进社会办医疗机构服务更加规范，为人民群众提供更加优质、更加放心的医疗服务。</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展望目标。到</w:t>
      </w:r>
      <w:r>
        <w:rPr>
          <w:rFonts w:ascii="仿宋_GB2312" w:eastAsia="仿宋_GB2312"/>
          <w:bCs/>
          <w:sz w:val="32"/>
          <w:szCs w:val="32"/>
        </w:rPr>
        <w:t>2035</w:t>
      </w:r>
      <w:r>
        <w:rPr>
          <w:rFonts w:ascii="仿宋_GB2312" w:eastAsia="仿宋_GB2312" w:hint="eastAsia"/>
          <w:bCs/>
          <w:sz w:val="32"/>
          <w:szCs w:val="32"/>
        </w:rPr>
        <w:t>年，社会办医疗机构达到150家，床位数达到17500张。</w:t>
      </w:r>
      <w:r>
        <w:rPr>
          <w:rFonts w:ascii="仿宋_GB2312" w:eastAsia="仿宋_GB2312" w:hint="eastAsia"/>
          <w:bCs/>
          <w:sz w:val="32"/>
          <w:szCs w:val="32"/>
          <w:lang w:val="en"/>
        </w:rPr>
        <w:t>全市社会办医能力明显增强，专业人才、健康保险、医药技术等支撑进一步夯实，行业发展环境全面优化。</w:t>
      </w:r>
      <w:r>
        <w:rPr>
          <w:rFonts w:ascii="仿宋_GB2312" w:eastAsia="仿宋_GB2312" w:hint="eastAsia"/>
          <w:bCs/>
          <w:sz w:val="32"/>
          <w:szCs w:val="32"/>
        </w:rPr>
        <w:t>着力</w:t>
      </w:r>
      <w:r>
        <w:rPr>
          <w:rFonts w:ascii="仿宋_GB2312" w:eastAsia="仿宋_GB2312" w:hint="eastAsia"/>
          <w:bCs/>
          <w:sz w:val="32"/>
          <w:szCs w:val="32"/>
          <w:lang w:val="en"/>
        </w:rPr>
        <w:t>打造一批具有服务竞争力的社会办医疗机构，健康服务产业组织形态和集聚模式更加丰富，形成全国知名的高端医疗产业集群，</w:t>
      </w:r>
      <w:r>
        <w:rPr>
          <w:rFonts w:ascii="仿宋_GB2312" w:eastAsia="仿宋_GB2312" w:hint="eastAsia"/>
          <w:bCs/>
          <w:sz w:val="32"/>
          <w:szCs w:val="32"/>
        </w:rPr>
        <w:t>多层次多样化医疗服务格局全面形成。</w:t>
      </w:r>
    </w:p>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表2  “十四五”期间南宁市大健康医疗和管理产业发展目标</w:t>
      </w:r>
    </w:p>
    <w:tbl>
      <w:tblPr>
        <w:tblStyle w:val="ad"/>
        <w:tblW w:w="4998" w:type="pct"/>
        <w:jc w:val="center"/>
        <w:tblLook w:val="04A0" w:firstRow="1" w:lastRow="0" w:firstColumn="1" w:lastColumn="0" w:noHBand="0" w:noVBand="1"/>
      </w:tblPr>
      <w:tblGrid>
        <w:gridCol w:w="688"/>
        <w:gridCol w:w="4908"/>
        <w:gridCol w:w="1269"/>
        <w:gridCol w:w="1654"/>
      </w:tblGrid>
      <w:tr w:rsidR="00982E5F">
        <w:trPr>
          <w:trHeight w:val="555"/>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序号</w:t>
            </w:r>
          </w:p>
        </w:tc>
        <w:tc>
          <w:tcPr>
            <w:tcW w:w="2879"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指标名称</w:t>
            </w:r>
          </w:p>
        </w:tc>
        <w:tc>
          <w:tcPr>
            <w:tcW w:w="745"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2020年</w:t>
            </w:r>
          </w:p>
        </w:tc>
        <w:tc>
          <w:tcPr>
            <w:tcW w:w="971"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2025年</w:t>
            </w:r>
          </w:p>
        </w:tc>
      </w:tr>
      <w:tr w:rsidR="00982E5F">
        <w:trPr>
          <w:trHeight w:val="555"/>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1</w:t>
            </w:r>
          </w:p>
        </w:tc>
        <w:tc>
          <w:tcPr>
            <w:tcW w:w="2879"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社会办医院（家）</w:t>
            </w:r>
          </w:p>
        </w:tc>
        <w:tc>
          <w:tcPr>
            <w:tcW w:w="745"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80</w:t>
            </w:r>
          </w:p>
        </w:tc>
        <w:tc>
          <w:tcPr>
            <w:tcW w:w="971"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105</w:t>
            </w:r>
          </w:p>
        </w:tc>
      </w:tr>
      <w:tr w:rsidR="00982E5F">
        <w:trPr>
          <w:trHeight w:val="500"/>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2</w:t>
            </w:r>
          </w:p>
        </w:tc>
        <w:tc>
          <w:tcPr>
            <w:tcW w:w="2879"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每千常住人口社会办医床位数（张）</w:t>
            </w:r>
          </w:p>
        </w:tc>
        <w:tc>
          <w:tcPr>
            <w:tcW w:w="74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0.85</w:t>
            </w:r>
          </w:p>
        </w:tc>
        <w:tc>
          <w:tcPr>
            <w:tcW w:w="97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1.1</w:t>
            </w:r>
          </w:p>
        </w:tc>
      </w:tr>
      <w:tr w:rsidR="00982E5F">
        <w:trPr>
          <w:trHeight w:val="500"/>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3</w:t>
            </w:r>
          </w:p>
        </w:tc>
        <w:tc>
          <w:tcPr>
            <w:tcW w:w="2879"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社会办医疗机构床位数（张）</w:t>
            </w:r>
          </w:p>
        </w:tc>
        <w:tc>
          <w:tcPr>
            <w:tcW w:w="745" w:type="pct"/>
            <w:vAlign w:val="center"/>
          </w:tcPr>
          <w:p w:rsidR="00982E5F" w:rsidRDefault="00BC06AC">
            <w:pPr>
              <w:widowControl/>
              <w:spacing w:line="320" w:lineRule="exact"/>
              <w:jc w:val="center"/>
              <w:textAlignment w:val="center"/>
              <w:rPr>
                <w:rFonts w:ascii="仿宋" w:eastAsia="仿宋" w:hAnsi="仿宋" w:cs="仿宋"/>
                <w:bCs/>
                <w:kern w:val="0"/>
                <w:sz w:val="24"/>
                <w:szCs w:val="24"/>
                <w:lang w:bidi="ar"/>
              </w:rPr>
            </w:pPr>
            <w:r>
              <w:rPr>
                <w:rFonts w:ascii="仿宋" w:eastAsia="仿宋" w:hAnsi="仿宋" w:cs="仿宋" w:hint="eastAsia"/>
                <w:bCs/>
                <w:kern w:val="0"/>
                <w:sz w:val="24"/>
                <w:szCs w:val="24"/>
                <w:lang w:bidi="ar"/>
              </w:rPr>
              <w:t>7550</w:t>
            </w:r>
          </w:p>
        </w:tc>
        <w:tc>
          <w:tcPr>
            <w:tcW w:w="971" w:type="pct"/>
            <w:vAlign w:val="center"/>
          </w:tcPr>
          <w:p w:rsidR="00982E5F" w:rsidRDefault="00BC06AC">
            <w:pPr>
              <w:widowControl/>
              <w:spacing w:line="320" w:lineRule="exact"/>
              <w:jc w:val="center"/>
              <w:textAlignment w:val="center"/>
              <w:rPr>
                <w:rFonts w:ascii="仿宋" w:eastAsia="仿宋" w:hAnsi="仿宋" w:cs="仿宋"/>
                <w:bCs/>
                <w:kern w:val="0"/>
                <w:sz w:val="24"/>
                <w:szCs w:val="24"/>
                <w:lang w:bidi="ar"/>
              </w:rPr>
            </w:pPr>
            <w:r>
              <w:rPr>
                <w:rFonts w:ascii="仿宋" w:eastAsia="仿宋" w:hAnsi="仿宋" w:cs="仿宋" w:hint="eastAsia"/>
                <w:bCs/>
                <w:kern w:val="0"/>
                <w:sz w:val="24"/>
                <w:szCs w:val="24"/>
                <w:lang w:bidi="ar"/>
              </w:rPr>
              <w:t>11187</w:t>
            </w:r>
          </w:p>
        </w:tc>
      </w:tr>
      <w:tr w:rsidR="00982E5F">
        <w:trPr>
          <w:trHeight w:val="500"/>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4</w:t>
            </w:r>
          </w:p>
        </w:tc>
        <w:tc>
          <w:tcPr>
            <w:tcW w:w="2879"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社会办医床位占公立医院床位比重（%）</w:t>
            </w:r>
          </w:p>
        </w:tc>
        <w:tc>
          <w:tcPr>
            <w:tcW w:w="745" w:type="pct"/>
            <w:vAlign w:val="center"/>
          </w:tcPr>
          <w:p w:rsidR="00982E5F" w:rsidRDefault="00BC06AC">
            <w:pPr>
              <w:widowControl/>
              <w:spacing w:line="320" w:lineRule="exact"/>
              <w:jc w:val="center"/>
              <w:textAlignment w:val="center"/>
              <w:rPr>
                <w:rFonts w:ascii="仿宋" w:eastAsia="仿宋" w:hAnsi="仿宋" w:cs="仿宋"/>
                <w:bCs/>
                <w:kern w:val="0"/>
                <w:sz w:val="24"/>
                <w:szCs w:val="24"/>
                <w:lang w:bidi="ar"/>
              </w:rPr>
            </w:pPr>
            <w:r>
              <w:rPr>
                <w:rFonts w:ascii="仿宋" w:eastAsia="仿宋" w:hAnsi="仿宋" w:cs="仿宋" w:hint="eastAsia"/>
                <w:bCs/>
                <w:kern w:val="0"/>
                <w:sz w:val="24"/>
                <w:szCs w:val="24"/>
                <w:lang w:bidi="ar"/>
              </w:rPr>
              <w:t>15.35</w:t>
            </w:r>
          </w:p>
        </w:tc>
        <w:tc>
          <w:tcPr>
            <w:tcW w:w="971" w:type="pct"/>
            <w:vAlign w:val="center"/>
          </w:tcPr>
          <w:p w:rsidR="00982E5F" w:rsidRDefault="00BC06AC">
            <w:pPr>
              <w:widowControl/>
              <w:spacing w:line="320" w:lineRule="exact"/>
              <w:jc w:val="center"/>
              <w:textAlignment w:val="center"/>
              <w:rPr>
                <w:rFonts w:ascii="仿宋" w:eastAsia="仿宋" w:hAnsi="仿宋" w:cs="仿宋"/>
                <w:bCs/>
                <w:kern w:val="0"/>
                <w:sz w:val="24"/>
                <w:szCs w:val="24"/>
                <w:lang w:bidi="ar"/>
              </w:rPr>
            </w:pPr>
            <w:r>
              <w:rPr>
                <w:rFonts w:ascii="仿宋" w:eastAsia="仿宋" w:hAnsi="仿宋" w:cs="仿宋" w:hint="eastAsia"/>
                <w:bCs/>
                <w:kern w:val="0"/>
                <w:sz w:val="24"/>
                <w:szCs w:val="24"/>
                <w:lang w:bidi="ar"/>
              </w:rPr>
              <w:t>18.54</w:t>
            </w:r>
          </w:p>
        </w:tc>
      </w:tr>
      <w:tr w:rsidR="00982E5F">
        <w:trPr>
          <w:trHeight w:val="500"/>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5</w:t>
            </w:r>
          </w:p>
        </w:tc>
        <w:tc>
          <w:tcPr>
            <w:tcW w:w="2879"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社会办医床位使用率（%）</w:t>
            </w:r>
          </w:p>
        </w:tc>
        <w:tc>
          <w:tcPr>
            <w:tcW w:w="74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50.88</w:t>
            </w:r>
          </w:p>
        </w:tc>
        <w:tc>
          <w:tcPr>
            <w:tcW w:w="97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55.63</w:t>
            </w:r>
          </w:p>
        </w:tc>
      </w:tr>
      <w:tr w:rsidR="00982E5F">
        <w:trPr>
          <w:trHeight w:val="500"/>
          <w:jc w:val="center"/>
        </w:trPr>
        <w:tc>
          <w:tcPr>
            <w:tcW w:w="403" w:type="pct"/>
            <w:vAlign w:val="center"/>
          </w:tcPr>
          <w:p w:rsidR="00982E5F" w:rsidRDefault="00BC06AC">
            <w:pPr>
              <w:spacing w:line="320" w:lineRule="exact"/>
              <w:jc w:val="center"/>
              <w:rPr>
                <w:rFonts w:ascii="仿宋" w:eastAsia="仿宋" w:hAnsi="仿宋" w:cs="仿宋"/>
                <w:bCs/>
                <w:sz w:val="24"/>
                <w:szCs w:val="24"/>
              </w:rPr>
            </w:pPr>
            <w:r>
              <w:rPr>
                <w:rFonts w:ascii="仿宋" w:eastAsia="仿宋" w:hAnsi="仿宋" w:cs="仿宋" w:hint="eastAsia"/>
                <w:bCs/>
                <w:sz w:val="24"/>
                <w:szCs w:val="24"/>
              </w:rPr>
              <w:t>6</w:t>
            </w:r>
          </w:p>
        </w:tc>
        <w:tc>
          <w:tcPr>
            <w:tcW w:w="2879"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大健康医疗和管理产业规模以上企业（家）</w:t>
            </w:r>
          </w:p>
        </w:tc>
        <w:tc>
          <w:tcPr>
            <w:tcW w:w="74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20</w:t>
            </w:r>
          </w:p>
        </w:tc>
        <w:tc>
          <w:tcPr>
            <w:tcW w:w="97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sz w:val="24"/>
                <w:szCs w:val="24"/>
              </w:rPr>
              <w:t>25</w:t>
            </w:r>
          </w:p>
        </w:tc>
      </w:tr>
    </w:tbl>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80" w:name="_Toc115100475"/>
      <w:bookmarkStart w:id="81" w:name="_Toc1962"/>
      <w:bookmarkStart w:id="82" w:name="_Toc86682439"/>
      <w:bookmarkStart w:id="83" w:name="_Toc119681270"/>
      <w:bookmarkStart w:id="84" w:name="_Toc22434"/>
      <w:r>
        <w:rPr>
          <w:rFonts w:ascii="方正黑体_GBK" w:eastAsia="方正黑体_GBK" w:hAnsi="方正黑体_GBK" w:cs="方正黑体_GBK" w:hint="eastAsia"/>
          <w:b w:val="0"/>
          <w:sz w:val="32"/>
          <w:szCs w:val="32"/>
        </w:rPr>
        <w:lastRenderedPageBreak/>
        <w:t>第三章  构建产业新体系</w:t>
      </w:r>
      <w:bookmarkEnd w:id="80"/>
      <w:bookmarkEnd w:id="81"/>
      <w:bookmarkEnd w:id="82"/>
      <w:bookmarkEnd w:id="83"/>
      <w:bookmarkEnd w:id="84"/>
    </w:p>
    <w:p w:rsidR="00982E5F" w:rsidRDefault="00BC06AC">
      <w:pPr>
        <w:pStyle w:val="2"/>
        <w:spacing w:before="0" w:after="0" w:line="570" w:lineRule="exact"/>
        <w:jc w:val="center"/>
        <w:rPr>
          <w:rFonts w:ascii="楷体" w:eastAsia="楷体" w:hAnsi="楷体" w:cs="楷体"/>
          <w:b w:val="0"/>
        </w:rPr>
      </w:pPr>
      <w:bookmarkStart w:id="85" w:name="_Toc11380"/>
      <w:bookmarkStart w:id="86" w:name="_Toc115100476"/>
      <w:bookmarkStart w:id="87" w:name="_Toc119681271"/>
      <w:bookmarkStart w:id="88" w:name="_Toc22077"/>
      <w:r>
        <w:rPr>
          <w:rFonts w:ascii="楷体" w:eastAsia="楷体" w:hAnsi="楷体" w:cs="楷体" w:hint="eastAsia"/>
          <w:b w:val="0"/>
        </w:rPr>
        <w:t>一、突出发展以“医”为核心的健康医疗产业</w:t>
      </w:r>
      <w:bookmarkEnd w:id="85"/>
      <w:bookmarkEnd w:id="86"/>
      <w:bookmarkEnd w:id="87"/>
      <w:bookmarkEnd w:id="88"/>
    </w:p>
    <w:p w:rsidR="00982E5F" w:rsidRDefault="00BC06AC">
      <w:pPr>
        <w:pStyle w:val="3"/>
        <w:spacing w:before="0" w:after="0" w:line="560" w:lineRule="exact"/>
        <w:ind w:firstLineChars="200" w:firstLine="640"/>
        <w:rPr>
          <w:rFonts w:ascii="仿宋" w:eastAsia="仿宋" w:hAnsi="仿宋" w:cs="仿宋"/>
          <w:b w:val="0"/>
        </w:rPr>
      </w:pPr>
      <w:bookmarkStart w:id="89" w:name="_Toc119681272"/>
      <w:bookmarkStart w:id="90" w:name="_Toc24128"/>
      <w:bookmarkStart w:id="91" w:name="_Toc115100477"/>
      <w:bookmarkStart w:id="92" w:name="_Toc16424"/>
      <w:r>
        <w:rPr>
          <w:rFonts w:ascii="仿宋" w:eastAsia="仿宋" w:hAnsi="仿宋" w:cs="仿宋" w:hint="eastAsia"/>
          <w:b w:val="0"/>
        </w:rPr>
        <w:t>（一）康复医疗服务</w:t>
      </w:r>
      <w:bookmarkEnd w:id="89"/>
      <w:bookmarkEnd w:id="90"/>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强康复医疗服务体系建设，加快推动康复医疗服务高质量发展，逐步满足群众多样化、差异化的康复医疗服务需求，合理规划社会办康复医疗医院，支持和引导社会力量举办规模化、连锁化的康复医疗中心，增加辖区内提供康复医疗服务的医疗机构数量。鼓励各县（市、区）结合实际将康复医疗服务作为补短板强弱项的重点领域予以加强，切实提升康复医疗服务水平。重点引进社会办综合医院康复医学科、中医医院康复科、运动康复科和康复专科医院，根据不同人群的疾病特点和康复医疗服务迫切需求，积极推动神经康复、骨科康复、心肺康复、肿瘤康复、儿童康复、老年康复、疼痛康复、重症康复、中医康复、心理康复等康复医学亚专科建设，开展亚专科细化的康复评定、康复治疗、康复指导和康复随访等服务。鼓励有条件的社会办医医疗机构创新开展康复医疗与外科、神经科、骨科、心血管、呼吸、重症、中医等临床相关学科紧密合作模式，推动康复医疗相关产业发展。</w:t>
      </w:r>
    </w:p>
    <w:p w:rsidR="00982E5F" w:rsidRDefault="00BC06AC">
      <w:pPr>
        <w:pStyle w:val="3"/>
        <w:spacing w:before="0" w:after="0" w:line="560" w:lineRule="exact"/>
        <w:ind w:firstLineChars="200" w:firstLine="640"/>
        <w:rPr>
          <w:rFonts w:ascii="仿宋" w:eastAsia="仿宋" w:hAnsi="仿宋" w:cs="仿宋"/>
          <w:b w:val="0"/>
        </w:rPr>
      </w:pPr>
      <w:bookmarkStart w:id="93" w:name="_Toc11953"/>
      <w:bookmarkStart w:id="94" w:name="_Toc119681273"/>
      <w:r>
        <w:rPr>
          <w:rFonts w:ascii="仿宋" w:eastAsia="仿宋" w:hAnsi="仿宋" w:cs="仿宋" w:hint="eastAsia"/>
          <w:b w:val="0"/>
        </w:rPr>
        <w:t>（二）精神专科服务</w:t>
      </w:r>
      <w:bookmarkEnd w:id="93"/>
      <w:bookmarkEnd w:id="94"/>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强精神专科医疗服务体系建设，重点支持县（市、区）社会办精神专科医院、综合医院精神科建设。统筹社会办精神专科医疗资源规划布局，合理设置精神专科医院床位数，鼓励中医医疗机构加强神志病科、中医心理科、心身医学科</w:t>
      </w:r>
      <w:r>
        <w:rPr>
          <w:rFonts w:ascii="仿宋" w:eastAsia="仿宋" w:hAnsi="仿宋" w:cs="仿宋" w:hint="eastAsia"/>
          <w:bCs/>
          <w:sz w:val="32"/>
          <w:szCs w:val="32"/>
        </w:rPr>
        <w:lastRenderedPageBreak/>
        <w:t>等精神类临床科室建设。加快推进社会办区域精神医疗中心建设，提升精神专科领域医疗、教学、科研等综合能力，培养精神专科师资力量和骨干人才。加强社会办医县（市、区）级精神专科医疗服务能力建设，补齐部分县（市、区）精神专科医疗服务空白。鼓励符合条件的精神科医师，全职或者兼职开办精神专科诊所，成立适宜规模的合伙制医生集团，举办精神科医师联合诊所，增加基层优质医疗资源。根据患者看病就医需求，重点加强老年、孕产妇、儿童等重点人群，以及严重精神障碍、康复、进食障碍、睡眠、物质依赖、儿童心理行为发育异常等特殊领域的亚专科建设与发展，提升精神专科整体医疗服务能力。鼓励精神专科医院针对疑难复杂疾病开设多学科诊疗门诊，吸纳康复、中医、药学等团队参与。积极引进精神疾病领域先进治疗技术，丰富治疗手段，提升治疗水平，改善疾病预后。加快推进“互联网+”、远程医疗等信息化服务模式，利用信息化手段引导优质医疗资源下沉，便捷患者就医，提升医疗服务整体效率。</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专栏1  精神专科建设重点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加强精神科医师培养。加强精神科住院医师规范化培训，注重临床诊疗能力的培养。加强精神科学科带头人、骨干医师的引进与培养，强化精神科医务人员培养与培训，形成稳定、合理的精神科专业人才梯队。依托有条件的精神专科医院和综合性医院精神专科形成应对重大灾害、重大疫情等突发公共卫生事件心理救援专业队伍，强化应急演练、物资储备，提升精神专科领域突发公共卫生事件应急处置、心理康复与心理疏导能力。</w:t>
            </w:r>
          </w:p>
          <w:p w:rsidR="00982E5F" w:rsidRDefault="00BC06AC">
            <w:pPr>
              <w:pStyle w:val="a0"/>
              <w:spacing w:line="320" w:lineRule="exact"/>
              <w:ind w:firstLineChars="200" w:firstLine="480"/>
              <w:rPr>
                <w:rFonts w:ascii="仿宋" w:eastAsia="仿宋" w:hAnsi="仿宋" w:cs="仿宋"/>
                <w:bCs/>
                <w:sz w:val="21"/>
                <w:szCs w:val="21"/>
              </w:rPr>
            </w:pPr>
            <w:r>
              <w:rPr>
                <w:rFonts w:ascii="仿宋" w:eastAsia="仿宋" w:hAnsi="仿宋" w:cs="仿宋" w:hint="eastAsia"/>
                <w:bCs/>
                <w:sz w:val="24"/>
                <w:szCs w:val="24"/>
              </w:rPr>
              <w:t>逐步完善基础设施建设。改善就医环境，更新和添置必要的医疗仪器设备（如无抽搐电休克治疗仪、心电图机、心理测评系统等）。随着老年精神障碍患者不断增多，加快设立老年病房、康复病房等。</w:t>
            </w:r>
          </w:p>
        </w:tc>
      </w:tr>
    </w:tbl>
    <w:p w:rsidR="00982E5F" w:rsidRDefault="00BC06AC">
      <w:pPr>
        <w:pStyle w:val="3"/>
        <w:spacing w:before="0" w:after="0" w:line="560" w:lineRule="exact"/>
        <w:ind w:firstLineChars="200" w:firstLine="640"/>
        <w:rPr>
          <w:rFonts w:ascii="仿宋" w:eastAsia="仿宋" w:hAnsi="仿宋" w:cs="仿宋"/>
          <w:b w:val="0"/>
        </w:rPr>
      </w:pPr>
      <w:bookmarkStart w:id="95" w:name="_Toc30948"/>
      <w:bookmarkStart w:id="96" w:name="_Toc119681274"/>
      <w:r>
        <w:rPr>
          <w:rFonts w:ascii="仿宋" w:eastAsia="仿宋" w:hAnsi="仿宋" w:cs="仿宋" w:hint="eastAsia"/>
          <w:b w:val="0"/>
        </w:rPr>
        <w:t>（三）恶性肿瘤服务</w:t>
      </w:r>
      <w:bookmarkEnd w:id="91"/>
      <w:bookmarkEnd w:id="92"/>
      <w:bookmarkEnd w:id="95"/>
      <w:bookmarkEnd w:id="96"/>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加快推动恶性肿瘤诊疗服务，重点推进社会办恶性肿瘤</w:t>
      </w:r>
      <w:r>
        <w:rPr>
          <w:rFonts w:ascii="仿宋" w:eastAsia="仿宋" w:hAnsi="仿宋" w:cs="仿宋" w:hint="eastAsia"/>
          <w:bCs/>
          <w:sz w:val="32"/>
          <w:szCs w:val="32"/>
        </w:rPr>
        <w:lastRenderedPageBreak/>
        <w:t>专科医院建设，合理设置肿瘤科、病理科、检验科、放射科、影像诊断科、核医学科等相关科室，使科室布局、设备配备、技术水平等与开展的肿瘤诊疗工作相适应。加快推进在非小细胞肺癌、头颈肿瘤、乳腺癌、原发性肝癌等肿瘤的综合治疗技术。统筹全市诊疗资源，明确社会办综合医院、专科医院、医学影像诊断中心、病理诊断中心、康复医疗机构、安宁疗护机构等功能定位，提升医疗机构诊疗能力，建立完善覆盖肿瘤诊疗全周期、全过程的医疗服务体系，形成技术指导、上下联通、分级诊疗、分工协作、中西医协同的服务机制。广泛开展培训和科普宣传，提高肿瘤早期识别能力和机会性筛查水平，促进早诊早治。</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专栏2  恶性肿瘤建设重点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肿瘤化疗方向：以肿瘤化疗为主体，主要实施恶性肿瘤化疗、内分泌治疗、靶向治疗及联合体其他治疗手段的综合治疗；引进输液泵、化疗泵、PICC等先进技术及设备。</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肿瘤外科治疗方向：大力开展肿瘤腔镜切除手术；需引进电子腔镜及大量配套手术器械。</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肿瘤放疗方向：以A45放射动力免疫治疗为主吸引肿瘤患者，亦开展常规施行、调强肿瘤放疗，主要实施恶性肿瘤的放射治疗及与化疗、靶向、内分泌、手术联合的综合治疗；可引进更高级的放疗定位及计划系统。</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肿瘤姑息治疗方向：以晚期恶性肿瘤姑息治疗为主要研究方向，研究探索姑息治疗在各种肿瘤中应用以及综合治疗手段的实施。配合安宁养护病房，开展临终关怀业务等。</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肿瘤介入放射方向：利用数字减影血管造影机（DSA）经导管动脉内化疗栓塞治疗对晚期肝癌、胃癌、直肠癌具有较高的应用价值；需引进DSA设备，该设备在冠脉造影、支架、脑动脉瘤栓塞等心脑血管疾病及妇产科应用、静脉取栓等均有重要作用；它具有创伤小、效果明显、副作用小、并发症少，全身状况恢复快，准确性高等优点；对其他综合科室发展有重要支持作用。</w:t>
            </w:r>
          </w:p>
          <w:p w:rsidR="00982E5F" w:rsidRDefault="00BC06AC">
            <w:pPr>
              <w:pStyle w:val="a0"/>
              <w:spacing w:line="320" w:lineRule="exact"/>
              <w:ind w:firstLineChars="200" w:firstLine="480"/>
              <w:rPr>
                <w:rFonts w:ascii="仿宋" w:eastAsia="仿宋" w:hAnsi="仿宋" w:cs="仿宋"/>
                <w:bCs/>
                <w:sz w:val="21"/>
                <w:szCs w:val="21"/>
              </w:rPr>
            </w:pPr>
            <w:r>
              <w:rPr>
                <w:rFonts w:ascii="仿宋" w:eastAsia="仿宋" w:hAnsi="仿宋" w:cs="仿宋" w:hint="eastAsia"/>
                <w:bCs/>
                <w:sz w:val="24"/>
                <w:szCs w:val="24"/>
              </w:rPr>
              <w:t>肿瘤微创治疗方向：主要应用微创治疗手段对恶性肿瘤进行治疗同时联合其他措施的综合治疗。主要包括粒子植入、肿瘤消融治疗等；需引进粒子植入计划系统、射频/微波消融设备等。</w:t>
            </w:r>
          </w:p>
        </w:tc>
      </w:tr>
    </w:tbl>
    <w:p w:rsidR="00982E5F" w:rsidRDefault="00982E5F">
      <w:pPr>
        <w:pStyle w:val="a0"/>
        <w:spacing w:line="240" w:lineRule="exact"/>
        <w:ind w:firstLineChars="200" w:firstLine="360"/>
        <w:rPr>
          <w:rFonts w:ascii="仿宋_GB2312" w:eastAsia="仿宋_GB2312"/>
          <w:bCs/>
        </w:rPr>
      </w:pPr>
    </w:p>
    <w:p w:rsidR="00982E5F" w:rsidRDefault="00BC06AC">
      <w:pPr>
        <w:pStyle w:val="3"/>
        <w:spacing w:before="0" w:after="0" w:line="560" w:lineRule="exact"/>
        <w:ind w:firstLineChars="200" w:firstLine="640"/>
        <w:rPr>
          <w:rFonts w:ascii="仿宋" w:eastAsia="仿宋" w:hAnsi="仿宋" w:cs="仿宋"/>
          <w:b w:val="0"/>
        </w:rPr>
      </w:pPr>
      <w:bookmarkStart w:id="97" w:name="_Toc30336"/>
      <w:bookmarkStart w:id="98" w:name="_Toc115100478"/>
      <w:bookmarkStart w:id="99" w:name="_Toc18664"/>
      <w:bookmarkStart w:id="100" w:name="_Toc119681275"/>
      <w:r>
        <w:rPr>
          <w:rFonts w:ascii="仿宋" w:eastAsia="仿宋" w:hAnsi="仿宋" w:cs="仿宋" w:hint="eastAsia"/>
          <w:b w:val="0"/>
        </w:rPr>
        <w:lastRenderedPageBreak/>
        <w:t>（四）心脑血管服务</w:t>
      </w:r>
      <w:bookmarkEnd w:id="97"/>
      <w:bookmarkEnd w:id="98"/>
      <w:bookmarkEnd w:id="99"/>
      <w:bookmarkEnd w:id="100"/>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大力引进社会办心脑血管专科医院，合理规划心脑血管专科医院，建立科学的急性心脑血管疾病区域协同医疗救治体系，提高急性心脑血管疾病救治成功率，降低病死率、致残率，有效降低疾病负担，不断提升急性心脑血管疾病医疗救治能力。加强心血管内科、心脏大血管外科、神经内科、神经外科、介入放射学专业等临床专科建设，提升心脑血管疾病医疗技术水平和医疗救治能力。以推动健康中国行动心脑血管疾病防治行动为契机，加强健康教育与健康促进，倡导在公共场所设立自助检测点，推动扩大心脑血管疾病高危人群筛查干预覆盖面，在医院就诊人群中开展心脑血管疾病机会性筛查，促进疾病早发现、早诊断、早治疗。完善优化心脑血管疾病及其危险因素监测体系，加强数据集成，利用大数据、互联网等技术，做好心脑血管疾病的监测预警。整合资源，引导社会力量参与心脑血管疾病防治工作，为群众提供差异化、个性化的健康服务。</w:t>
      </w:r>
    </w:p>
    <w:p w:rsidR="00982E5F" w:rsidRDefault="00BC06AC">
      <w:pPr>
        <w:pStyle w:val="3"/>
        <w:spacing w:before="0" w:after="0" w:line="560" w:lineRule="exact"/>
        <w:ind w:firstLineChars="200" w:firstLine="640"/>
        <w:rPr>
          <w:rFonts w:ascii="仿宋" w:eastAsia="仿宋" w:hAnsi="仿宋" w:cs="仿宋"/>
          <w:b w:val="0"/>
        </w:rPr>
      </w:pPr>
      <w:bookmarkStart w:id="101" w:name="_Toc31228"/>
      <w:bookmarkStart w:id="102" w:name="_Toc26999"/>
      <w:bookmarkStart w:id="103" w:name="_Toc119681276"/>
      <w:bookmarkStart w:id="104" w:name="_Toc115100481"/>
      <w:r>
        <w:rPr>
          <w:rFonts w:ascii="仿宋" w:eastAsia="仿宋" w:hAnsi="仿宋" w:cs="仿宋" w:hint="eastAsia"/>
          <w:b w:val="0"/>
        </w:rPr>
        <w:t>（五）医养结合服务</w:t>
      </w:r>
      <w:bookmarkEnd w:id="101"/>
      <w:bookmarkEnd w:id="102"/>
      <w:bookmarkEnd w:id="103"/>
      <w:bookmarkEnd w:id="104"/>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完善医养结合保障制度、管理机制、服务体系。鼓励医养结合机构提供个性化、专业化、多元化、品质化、智能化健康养老服务。支持社区日间照料中心、社区养老服务中心嵌入医疗康复、托养护理、长期照护等医养结合服务，发展为街道嵌入式养老机构。推动基层医疗卫生服务与社区居家养老服务相协同。鼓励社会资本兴办医康养结合机构，培育一批技术成熟、服务规范、信誉良好的中医药康养保健企业。</w:t>
      </w:r>
      <w:r>
        <w:rPr>
          <w:rFonts w:ascii="仿宋" w:eastAsia="仿宋" w:hAnsi="仿宋" w:cs="仿宋" w:hint="eastAsia"/>
          <w:bCs/>
          <w:sz w:val="32"/>
          <w:szCs w:val="32"/>
        </w:rPr>
        <w:lastRenderedPageBreak/>
        <w:t>将符合条件养老机构内设医疗机构纳入医保定点协议管理范围，按医保规定结算相关医疗费用。医疗机构内设养老机构符合条件的，享受养老机构相关建设补贴、运营补贴和其他政策；养老机构内设医疗机构属于社会办医的，按国家相关规定享受政策扶持。推动中医药与养老融合发展，支持中医医疗机构拓展养老服务；鼓励社会资本投资建设以中医药与健康养老相结合的护理院、疗养院。鼓励商业保险公司开发相应保险产品和服务，发展与长期护理社会保险相衔接的商业护理保险，满足多样化、多层次的长期护理保障需求。</w:t>
      </w:r>
    </w:p>
    <w:p w:rsidR="00982E5F" w:rsidRDefault="00BC06AC">
      <w:pPr>
        <w:pStyle w:val="3"/>
        <w:spacing w:before="0" w:after="0" w:line="560" w:lineRule="exact"/>
        <w:ind w:firstLineChars="200" w:firstLine="640"/>
        <w:rPr>
          <w:rFonts w:ascii="仿宋" w:eastAsia="仿宋" w:hAnsi="仿宋" w:cs="仿宋"/>
          <w:b w:val="0"/>
        </w:rPr>
      </w:pPr>
      <w:bookmarkStart w:id="105" w:name="_Toc119681277"/>
      <w:bookmarkStart w:id="106" w:name="_Toc115100482"/>
      <w:bookmarkStart w:id="107" w:name="_Toc16551"/>
      <w:bookmarkStart w:id="108" w:name="_Toc8232"/>
      <w:r>
        <w:rPr>
          <w:rFonts w:ascii="仿宋" w:eastAsia="仿宋" w:hAnsi="仿宋" w:cs="仿宋" w:hint="eastAsia"/>
          <w:b w:val="0"/>
        </w:rPr>
        <w:t>（六）体医融合服务</w:t>
      </w:r>
      <w:bookmarkEnd w:id="105"/>
      <w:bookmarkEnd w:id="106"/>
      <w:bookmarkEnd w:id="107"/>
      <w:bookmarkEnd w:id="108"/>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倡导“运动是良医”的理念，发挥全民健身在健康促进、慢性病预防和康复方面的积极作用。指导居民进行科学健身、合理健身，建立不同人群、身体状况数据库，形成体医融合疾病管理与健康服务模式。建立和完善体医融合服务机构和组织网络，健全体医融合服务体系。加强县（市、区）国民体质监测中心和监测站点建设。加快建设体医融合健康服务中心和服务站点，建立运动健康和康复专科门诊，加强体育与医疗设施融合。加快推进体医组织融合，建设体医融合人才队伍，丰富体医融合服务科学体系。通过开展国民体质监测活动、建立国民体质数据库、研发推广运动处方、开展健身运动赛事活动、城乡居民健康干预活动等体医融合的疾病管理和健康服务模式。完善体医融合协作管理机制，加快体医融合发展机制保障，着力打造“互联网+体医融合健康服务”智能化平台。</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lastRenderedPageBreak/>
              <w:t>专栏3  体医融合建设重点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发布体育健身活动指南，建立完善针对不同人群、不同身体状况的运动处方库，推动形成体医结合的疾病管理与健康服务模式，发挥全民科学健身在健康促进、慢性病预防和康复等方面的积极作用。加强全民健身科技创新平台和科学健身指导服务站点建设。开展市民体质测试，完善体质健康监测体系，开发应用市民体质健康监测大数据，开展运动风险评估。</w:t>
            </w:r>
          </w:p>
        </w:tc>
      </w:tr>
    </w:tbl>
    <w:p w:rsidR="00982E5F" w:rsidRDefault="00BC06AC">
      <w:pPr>
        <w:pStyle w:val="3"/>
        <w:spacing w:before="0" w:after="0" w:line="560" w:lineRule="exact"/>
        <w:ind w:firstLineChars="200" w:firstLine="640"/>
        <w:rPr>
          <w:rFonts w:ascii="仿宋" w:eastAsia="仿宋" w:hAnsi="仿宋" w:cs="仿宋"/>
          <w:b w:val="0"/>
        </w:rPr>
      </w:pPr>
      <w:bookmarkStart w:id="109" w:name="_Toc4202"/>
      <w:bookmarkStart w:id="110" w:name="_Toc12335"/>
      <w:bookmarkStart w:id="111" w:name="_Toc115100483"/>
      <w:bookmarkStart w:id="112" w:name="_Toc119681278"/>
      <w:r>
        <w:rPr>
          <w:rFonts w:ascii="仿宋" w:eastAsia="仿宋" w:hAnsi="仿宋" w:cs="仿宋" w:hint="eastAsia"/>
          <w:b w:val="0"/>
        </w:rPr>
        <w:t>（七）智慧医疗服务</w:t>
      </w:r>
      <w:bookmarkEnd w:id="109"/>
      <w:bookmarkEnd w:id="110"/>
      <w:bookmarkEnd w:id="111"/>
      <w:bookmarkEnd w:id="112"/>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研发基于人工智能的临床诊疗决策支持系统，开展智能医学影像识别、病理分型和多学科会诊及多种医疗健康场景下的智能语音技术应用。探索依托5G等技术，开展远程多学科会诊（MDT）、远程病理诊断、远程超声诊断、远程手术指导、远程医学教育培训等服务，将远程医疗协作与医疗集团、县域医共体和跨区域专科联盟等有机融合，有效支撑分级诊疗，推动优质医疗资源下沉。支持研发医疗健康相关的人工智能技术、医用机器人、大型医疗设备、应急救援医疗设备、生物三维打印技术和可穿戴设备，大力发展互联网+医疗健康，全面建设面向未来的互联网医院或智慧医院。支持一批传统医疗企业和医院转型升级，积极引进和培育互联网医疗企业，建设互联网医疗产业基地，推动传统医疗企业与互联网融合发展。依托“健康南宁”全链条、多业态、平台型数字经济产业生态集群战略，支持大健康医疗和管理产业重构与创新。探索支持符合条件的社会办医疗机构按规定利用移动互联网、可穿戴设备、智能健康电子产品等为签约居民提供健康信息收集及慢性病药品配送等服务。</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专栏4  智慧医疗建设重点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大力发展互联网+医疗服务。全面建设智慧医院，利用互联网等信息技术为患者提供分时段预约诊疗、导医分诊、就诊提醒、检查检验结果查询、移动支付、</w:t>
            </w:r>
            <w:r>
              <w:rPr>
                <w:rFonts w:ascii="仿宋" w:eastAsia="仿宋" w:hAnsi="仿宋" w:cs="仿宋" w:hint="eastAsia"/>
                <w:bCs/>
                <w:sz w:val="24"/>
                <w:szCs w:val="24"/>
              </w:rPr>
              <w:lastRenderedPageBreak/>
              <w:t>诊间结算、床旁结算、信息推送、智能配药发药等线上便捷服务。积极推进远程医疗和互联网诊疗服务规范有序发展，促进优质医疗资源下沉。认真贯彻落实《互联网医院管理办法（试行）》，允许依托医疗机构发展互联网医院，医疗机构可以使用互联网医院作为第二名称，在实体医院基础上，运用互联网技术提供安全适宜的医疗服务，允许注册或者备案的执业医师在线开展部分常见病、慢性病复诊，允许掌握患者病历资料后，在线开具部分常见病、慢性病处方。</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大力发展医疗云端服务平台。实施县（市、区）乡医疗一体化服务提升工程，依托基层医疗卫生机构管理信息系统，建立县域影像、心电、病理、检验等中心和远程医疗中心，逐步实现预约诊疗、双向转诊、远程医疗等服务功能，推动优质医疗资源向基层下沉，提升基层医疗卫生机构服务能力。建立人工智能研究院，推进全医学数据共享和成果转化。</w:t>
            </w:r>
          </w:p>
          <w:p w:rsidR="00982E5F" w:rsidRDefault="00BC06AC">
            <w:pPr>
              <w:pStyle w:val="a0"/>
              <w:spacing w:line="320" w:lineRule="exact"/>
              <w:ind w:firstLineChars="200" w:firstLine="480"/>
              <w:rPr>
                <w:rFonts w:ascii="仿宋" w:eastAsia="仿宋" w:hAnsi="仿宋" w:cs="仿宋"/>
                <w:bCs/>
                <w:sz w:val="21"/>
                <w:szCs w:val="21"/>
              </w:rPr>
            </w:pPr>
            <w:r>
              <w:rPr>
                <w:rFonts w:ascii="仿宋" w:eastAsia="仿宋" w:hAnsi="仿宋" w:cs="仿宋" w:hint="eastAsia"/>
                <w:bCs/>
                <w:sz w:val="24"/>
                <w:szCs w:val="24"/>
              </w:rPr>
              <w:t>大力发展健康医疗大数据中心。建设南宁健康云平台，加快推进统一权威、互联互通的南宁全民健康信息平台建设，市级统筹制定标准规范和评估体系，强化安全保障，实现信息资源集约化、扁平化，夯实南宁健康云基础。对接联通国家、自治区全民健康信息平台，畅通部门、区域、行业之间数据共享通道，强化区域大数据应用，创新便民惠民服务和业务协同服务，实现健康南宁和“数字南宁”全面融通。</w:t>
            </w:r>
          </w:p>
        </w:tc>
      </w:tr>
    </w:tbl>
    <w:p w:rsidR="00982E5F" w:rsidRDefault="00982E5F">
      <w:pPr>
        <w:rPr>
          <w:bCs/>
        </w:rPr>
      </w:pPr>
    </w:p>
    <w:p w:rsidR="00982E5F" w:rsidRDefault="00BC06AC">
      <w:pPr>
        <w:pStyle w:val="3"/>
        <w:spacing w:before="0" w:after="0" w:line="560" w:lineRule="exact"/>
        <w:ind w:firstLineChars="200" w:firstLine="640"/>
        <w:rPr>
          <w:rFonts w:ascii="仿宋" w:eastAsia="仿宋" w:hAnsi="仿宋" w:cs="仿宋"/>
          <w:b w:val="0"/>
        </w:rPr>
      </w:pPr>
      <w:bookmarkStart w:id="113" w:name="_Toc119681279"/>
      <w:bookmarkStart w:id="114" w:name="_Toc13029"/>
      <w:bookmarkStart w:id="115" w:name="_Toc24922"/>
      <w:bookmarkStart w:id="116" w:name="_Toc115100484"/>
      <w:r>
        <w:rPr>
          <w:rFonts w:ascii="仿宋" w:eastAsia="仿宋" w:hAnsi="仿宋" w:cs="仿宋" w:hint="eastAsia"/>
          <w:b w:val="0"/>
        </w:rPr>
        <w:t>（八）前沿医疗服务</w:t>
      </w:r>
      <w:bookmarkEnd w:id="113"/>
      <w:bookmarkEnd w:id="114"/>
      <w:bookmarkEnd w:id="115"/>
      <w:bookmarkEnd w:id="116"/>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鼓励有实力的社会办医疗机构瞄准医学前沿，组建优势学科团队，提供以先进医疗技术为特色的医疗服务。适应生命科学纵深发展、生物新技术广泛应用和融合创新的新趋势，稳妥有序推动精准医疗等服务发展。推动经依法依规批准的新型个体化生物治疗产品标准化规范化应用。鼓励社会办医与医学院校、科研机构合作，推进重大疾病精准诊断治疗技术的联合攻关，搭建“产、学、研”医学新技术、新服务转化平台，建立精准医疗示范基地，积极推广精准诊疗方案。引导社会办医建立医学伦理委员会，对医院开展的创新技术和项目进行伦理审查。支持有资质的三甲医院与符合条件的社会力量合作申报和开展干细胞临床研究工作。引进一批一流高层次医学人才和医疗服务团队，依托高端医疗技术、医疗设备和医学专业人才，打造专科特色鲜明的国际性医疗中</w:t>
      </w:r>
      <w:r>
        <w:rPr>
          <w:rFonts w:ascii="仿宋" w:eastAsia="仿宋" w:hAnsi="仿宋" w:cs="仿宋" w:hint="eastAsia"/>
          <w:bCs/>
          <w:sz w:val="32"/>
          <w:szCs w:val="32"/>
        </w:rPr>
        <w:lastRenderedPageBreak/>
        <w:t>心。支持社会力量提供第三方医学检测、干细胞与再生医学、免疫与基因治疗等前沿医疗服务，开展细胞治疗技术创新发展试点，稳妥有序推动精准医疗、个性化医疗等服务发展。</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专栏5  前沿医疗建设重点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深入推进高质专科建设。依照“大专科、小综合”方针，引进社会资本优先投建肿瘤、乳腺、脑科和康复等各类高层次专科医疗机构；依托市内优质医院心血管科、生殖科、血液内科、医学检验科、医学影像科、皮肤性病科等优势/重点专科，引进知名品牌专科医院、医疗集团等相关主体，投资建设集诊疗培训、疗法研发、医疗服务等于一体的专科医疗/医学中心；加大财政扶持力度，引进外部社会资本投建骨科、传染病、皮肤科、妇产科、肛肠科等高需、稀缺专科医院医疗机构。</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建设国内先进专科医疗服务体系。加强南宁市临床重点专科建设，重点引进一批一流的国际国内高层次医学人才和医疗服务团队，利用高端医疗技术、医疗设备、医学专业人才，建设若干特色鲜明的区域专科医疗中心，扩大南宁大健康医疗和管理产业服务资源，打造国内一流的专科医疗平台。</w:t>
            </w:r>
          </w:p>
          <w:p w:rsidR="00982E5F" w:rsidRDefault="00BC06AC">
            <w:pPr>
              <w:pStyle w:val="a0"/>
              <w:spacing w:line="320" w:lineRule="exact"/>
              <w:ind w:firstLineChars="200" w:firstLine="480"/>
              <w:rPr>
                <w:rFonts w:ascii="仿宋" w:eastAsia="仿宋" w:hAnsi="仿宋" w:cs="仿宋"/>
                <w:bCs/>
                <w:sz w:val="32"/>
                <w:szCs w:val="32"/>
              </w:rPr>
            </w:pPr>
            <w:r>
              <w:rPr>
                <w:rFonts w:ascii="仿宋" w:eastAsia="仿宋" w:hAnsi="仿宋" w:cs="仿宋" w:hint="eastAsia"/>
                <w:bCs/>
                <w:sz w:val="24"/>
                <w:szCs w:val="24"/>
              </w:rPr>
              <w:t>培育一批区域一流的精准医疗科技创新企业。鼓励企业与医疗机构、科研机构合作，优化医疗新技术临床应用管理，加快精准医疗服务临床质控体系建设。应用地中海贫血等遗传检测技术和新生儿遗传性疾病早筛技术，降低出生缺陷。</w:t>
            </w:r>
          </w:p>
        </w:tc>
      </w:tr>
    </w:tbl>
    <w:p w:rsidR="00982E5F" w:rsidRDefault="00982E5F">
      <w:pPr>
        <w:pStyle w:val="a0"/>
        <w:spacing w:line="240" w:lineRule="exact"/>
        <w:rPr>
          <w:rFonts w:ascii="仿宋_GB2312" w:eastAsia="仿宋_GB2312"/>
          <w:bCs/>
          <w:sz w:val="32"/>
          <w:szCs w:val="32"/>
        </w:rPr>
      </w:pPr>
    </w:p>
    <w:p w:rsidR="00982E5F" w:rsidRDefault="00BC06AC">
      <w:pPr>
        <w:pStyle w:val="3"/>
        <w:spacing w:before="0" w:after="0" w:line="560" w:lineRule="exact"/>
        <w:ind w:firstLineChars="200" w:firstLine="640"/>
        <w:rPr>
          <w:rFonts w:ascii="仿宋" w:eastAsia="仿宋" w:hAnsi="仿宋" w:cs="仿宋"/>
          <w:b w:val="0"/>
        </w:rPr>
      </w:pPr>
      <w:bookmarkStart w:id="117" w:name="_Toc115100485"/>
      <w:bookmarkStart w:id="118" w:name="_Toc11600"/>
      <w:bookmarkStart w:id="119" w:name="_Toc119681280"/>
      <w:bookmarkStart w:id="120" w:name="_Toc8975"/>
      <w:r>
        <w:rPr>
          <w:rFonts w:ascii="仿宋" w:eastAsia="仿宋" w:hAnsi="仿宋" w:cs="仿宋" w:hint="eastAsia"/>
          <w:b w:val="0"/>
        </w:rPr>
        <w:t>（九）第三方医疗服务</w:t>
      </w:r>
      <w:bookmarkEnd w:id="117"/>
      <w:bookmarkEnd w:id="118"/>
      <w:bookmarkEnd w:id="119"/>
      <w:bookmarkEnd w:id="120"/>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依托医技类第三方医疗服务机构，通过专业设备提供诊断和检验等辅助性医疗服务，以医学影像诊断中心、医学检验实验室、病理诊断实验室和消毒供应中心为重点；依托临床类第三方医疗服务机构，重点提供治疗和康复等直接影响患者健康的医疗服务，以血液透析中心、安宁疗护中心、康复医疗中心、护理中心和中小型眼科医院为重点。加快建设一批高水平医疗检验、影像诊断、病理诊断、医疗消毒等第三方专业机构。扶持发展高端医疗、康复疗养、老年护理、婴幼托育、智慧医疗等第三方专业机构。</w:t>
      </w:r>
    </w:p>
    <w:p w:rsidR="00982E5F" w:rsidRDefault="00BC06AC">
      <w:pPr>
        <w:pStyle w:val="3"/>
        <w:spacing w:before="0" w:after="0" w:line="560" w:lineRule="exact"/>
        <w:ind w:firstLineChars="200" w:firstLine="640"/>
        <w:rPr>
          <w:rFonts w:ascii="仿宋" w:eastAsia="仿宋" w:hAnsi="仿宋" w:cs="仿宋"/>
          <w:b w:val="0"/>
        </w:rPr>
      </w:pPr>
      <w:bookmarkStart w:id="121" w:name="_Toc30626"/>
      <w:bookmarkStart w:id="122" w:name="_Toc119681281"/>
      <w:bookmarkStart w:id="123" w:name="_Toc115100486"/>
      <w:bookmarkStart w:id="124" w:name="_Toc20177"/>
      <w:r>
        <w:rPr>
          <w:rFonts w:ascii="仿宋" w:eastAsia="仿宋" w:hAnsi="仿宋" w:cs="仿宋" w:hint="eastAsia"/>
          <w:b w:val="0"/>
        </w:rPr>
        <w:t>（十）共享医疗服务</w:t>
      </w:r>
      <w:bookmarkEnd w:id="121"/>
      <w:bookmarkEnd w:id="122"/>
      <w:bookmarkEnd w:id="123"/>
      <w:bookmarkEnd w:id="124"/>
    </w:p>
    <w:p w:rsidR="00982E5F" w:rsidRDefault="00BC06AC">
      <w:pPr>
        <w:pStyle w:val="a0"/>
        <w:spacing w:line="560" w:lineRule="exact"/>
        <w:ind w:firstLineChars="200" w:firstLine="640"/>
        <w:rPr>
          <w:rFonts w:ascii="仿宋_GB2312" w:eastAsia="仿宋_GB2312"/>
          <w:bCs/>
          <w:sz w:val="32"/>
          <w:szCs w:val="32"/>
        </w:rPr>
      </w:pPr>
      <w:r>
        <w:rPr>
          <w:rFonts w:ascii="仿宋" w:eastAsia="仿宋" w:hAnsi="仿宋" w:cs="仿宋" w:hint="eastAsia"/>
          <w:bCs/>
          <w:sz w:val="32"/>
          <w:szCs w:val="32"/>
        </w:rPr>
        <w:t>以商医联合和综合医疗为典型，鼓励医美、眼科和耳科</w:t>
      </w:r>
      <w:r>
        <w:rPr>
          <w:rFonts w:ascii="仿宋" w:eastAsia="仿宋" w:hAnsi="仿宋" w:cs="仿宋" w:hint="eastAsia"/>
          <w:bCs/>
          <w:sz w:val="32"/>
          <w:szCs w:val="32"/>
        </w:rPr>
        <w:lastRenderedPageBreak/>
        <w:t>等小精民营专科医疗机构入驻商场大楼等商业地产，双方共享用地、水电等基础设施，客源互促逐渐形成产业集聚集群；加强同类竞争，以市场化手段逐步淘汰运营不规范、不标准、服务差、收费乱的民营医疗机构，促进行业规范有序发展。探索医疗综合体发展模式，通过各类优惠政策优先引进合规国际化大型医疗、地产等相关企业投建医疗综合体，与专业医疗运营、诊断等相关企业合资成立运营公司，并与三级以上医院合作设立门诊部为入驻诊所提供各类通用共享医疗设施，引进业内知名小精民营专科入驻，形成带动效应。</w:t>
      </w:r>
    </w:p>
    <w:p w:rsidR="00982E5F" w:rsidRDefault="00BC06AC">
      <w:pPr>
        <w:pStyle w:val="2"/>
        <w:spacing w:before="0" w:after="0" w:line="570" w:lineRule="exact"/>
        <w:jc w:val="center"/>
        <w:rPr>
          <w:rFonts w:ascii="楷体" w:eastAsia="楷体" w:hAnsi="楷体" w:cs="楷体"/>
          <w:b w:val="0"/>
        </w:rPr>
      </w:pPr>
      <w:bookmarkStart w:id="125" w:name="_Toc115100487"/>
      <w:bookmarkStart w:id="126" w:name="_Toc8425"/>
      <w:bookmarkStart w:id="127" w:name="_Toc21783"/>
      <w:bookmarkStart w:id="128" w:name="_Toc119681282"/>
      <w:r>
        <w:rPr>
          <w:rFonts w:ascii="楷体" w:eastAsia="楷体" w:hAnsi="楷体" w:cs="楷体" w:hint="eastAsia"/>
          <w:b w:val="0"/>
        </w:rPr>
        <w:t>二、大力发展以“管”为支撑的健康管理产业</w:t>
      </w:r>
      <w:bookmarkEnd w:id="125"/>
      <w:bookmarkEnd w:id="126"/>
      <w:bookmarkEnd w:id="127"/>
      <w:bookmarkEnd w:id="128"/>
    </w:p>
    <w:p w:rsidR="00982E5F" w:rsidRDefault="00BC06AC">
      <w:pPr>
        <w:pStyle w:val="3"/>
        <w:spacing w:before="0" w:after="0" w:line="560" w:lineRule="exact"/>
        <w:ind w:firstLineChars="200" w:firstLine="640"/>
        <w:rPr>
          <w:rFonts w:ascii="仿宋" w:eastAsia="仿宋" w:hAnsi="仿宋" w:cs="仿宋"/>
          <w:b w:val="0"/>
        </w:rPr>
      </w:pPr>
      <w:bookmarkStart w:id="129" w:name="_Toc119681283"/>
      <w:bookmarkStart w:id="130" w:name="_Toc20758"/>
      <w:bookmarkStart w:id="131" w:name="_Toc115100488"/>
      <w:bookmarkStart w:id="132" w:name="_Toc11650"/>
      <w:r>
        <w:rPr>
          <w:rFonts w:ascii="仿宋" w:eastAsia="仿宋" w:hAnsi="仿宋" w:cs="仿宋" w:hint="eastAsia"/>
          <w:b w:val="0"/>
        </w:rPr>
        <w:t>（一）个性化健康管理</w:t>
      </w:r>
      <w:bookmarkEnd w:id="129"/>
      <w:bookmarkEnd w:id="130"/>
      <w:bookmarkEnd w:id="131"/>
      <w:bookmarkEnd w:id="132"/>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面向社会公众日益增长的多层次、个性化健康管理需求，探索集预防、评估、跟踪、随访、干预、指导、教育与促进为一体的新型健康管理服务模式，加快发展以家庭医生、个性化体检、疾病筛查、保健指导、健康干预、慢性病管理、心理健康咨询等为主体的健康管理服务产业，支持建设月子中心、母婴照料、托婴托育等机构，开展第三方妇幼健康检测评价及咨询服务。引导健康体检机构向专业健康管理中心发展，加快慢病防治、康复保健技术成果应用推广。支持各类健康养生、健康养老、健身康体基地建设一批健康评估中心等场所，针对不同消费个体提出个性化的健康管理方案。鼓励社会办医疗机构建立方便快捷的就医流程，营造舒适温馨的就医环境，为有需求的患者提供远程会诊、专人导医陪护、家庭病房等多种个性化的增值、辅助服务，全面提高服</w:t>
      </w:r>
      <w:r>
        <w:rPr>
          <w:rFonts w:ascii="仿宋" w:eastAsia="仿宋" w:hAnsi="仿宋" w:cs="仿宋" w:hint="eastAsia"/>
          <w:bCs/>
          <w:sz w:val="32"/>
          <w:szCs w:val="32"/>
        </w:rPr>
        <w:lastRenderedPageBreak/>
        <w:t>务品质。积极探索诊疗、护理、康复、心理关怀等连续整合服务，进一步提升就医体验，多方位满足患者身心健康需要。</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专栏6  健康管理建设重点</w:t>
            </w:r>
          </w:p>
        </w:tc>
      </w:tr>
      <w:tr w:rsidR="00982E5F">
        <w:tc>
          <w:tcPr>
            <w:tcW w:w="8522" w:type="dxa"/>
          </w:tcPr>
          <w:p w:rsidR="00982E5F" w:rsidRDefault="00BC06AC">
            <w:pPr>
              <w:adjustRightInd w:val="0"/>
              <w:snapToGrid w:val="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大力发展老年健康管理服务。坚持医养结合，支持举办全科诊所、鼓励发展家庭医生集团，开展上门诊疗、护理、看护、康复等居家服务，支持建设老年医学专科医院、区域老年医疗中心。鼓励社会力量进入老年医疗、护理、康复等领域，鼓励品牌化发展。完善老年医疗护理服务标准和规范，建立老年医疗护理从业人员登记和诚信管理机制，优化护理机构审批管理，简化准入审批流程。</w:t>
            </w:r>
          </w:p>
          <w:p w:rsidR="00982E5F" w:rsidRDefault="00BC06AC">
            <w:pPr>
              <w:adjustRightInd w:val="0"/>
              <w:snapToGrid w:val="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大力发展妇幼健康管理服务。引导社会组织、社会资金开展妇幼健康管理服务，建立多渠道妇女儿童健康筹资机制。鼓励开展第三方妇幼健康检测评价及咨询服务。支持社会资本和社会组织参与母婴照料服务，发展适应不同人群需求的备孕调理、生产全程护理、孕妇产后康复、母婴专业营养饮食、新生儿早期智力开发等新业态、新模式。</w:t>
            </w:r>
          </w:p>
          <w:p w:rsidR="00982E5F" w:rsidRDefault="00BC06AC">
            <w:pPr>
              <w:adjustRightInd w:val="0"/>
              <w:snapToGrid w:val="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大力发展慢性病健康管理服务。健全健康管理网络服务平台，鼓励基层健康管理机构与保险机构、互联网公司、科技公司开展合作。推动科技成果转化和适宜技术应用，加强慢性病防治基础研究、应用研究、转化医学研究，遴选成熟有效的慢性病预防、诊疗、康复保健适宜技术开展慢性病综合防控示范区建设，加快健康管理服务的集团化发展，集中资源优势建立一批市级健康管理区域中心。</w:t>
            </w:r>
          </w:p>
          <w:p w:rsidR="00982E5F" w:rsidRDefault="00BC06AC">
            <w:pPr>
              <w:adjustRightInd w:val="0"/>
              <w:snapToGrid w:val="0"/>
              <w:spacing w:line="320" w:lineRule="exact"/>
              <w:ind w:firstLineChars="200" w:firstLine="480"/>
              <w:rPr>
                <w:rFonts w:ascii="仿宋" w:eastAsia="仿宋" w:hAnsi="仿宋" w:cs="仿宋"/>
                <w:bCs/>
                <w:sz w:val="28"/>
                <w:szCs w:val="28"/>
              </w:rPr>
            </w:pPr>
            <w:r>
              <w:rPr>
                <w:rFonts w:ascii="仿宋" w:eastAsia="仿宋" w:hAnsi="仿宋" w:cs="仿宋" w:hint="eastAsia"/>
                <w:bCs/>
                <w:sz w:val="24"/>
                <w:szCs w:val="24"/>
              </w:rPr>
              <w:t>大力发展职业病健康管理服务。加快发展心理健康服务，培育专业化、规范化的心理咨询、辅导机构。支持精神障碍康复、心理治疗、健康体检、疾病早期筛查等机构建设。以创建职业健康促进示范企业为抓手，积极推进以“安全─健康─环境”为中心的工矿企业职业健康促进工作。</w:t>
            </w:r>
          </w:p>
        </w:tc>
      </w:tr>
    </w:tbl>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3"/>
        <w:spacing w:before="0" w:after="0" w:line="560" w:lineRule="exact"/>
        <w:ind w:firstLineChars="200" w:firstLine="640"/>
        <w:rPr>
          <w:rFonts w:ascii="仿宋" w:eastAsia="仿宋" w:hAnsi="仿宋" w:cs="仿宋"/>
          <w:b w:val="0"/>
        </w:rPr>
      </w:pPr>
      <w:bookmarkStart w:id="133" w:name="_Toc115100489"/>
      <w:bookmarkStart w:id="134" w:name="_Toc119681284"/>
      <w:bookmarkStart w:id="135" w:name="_Toc789"/>
      <w:bookmarkStart w:id="136" w:name="_Toc13852"/>
      <w:r>
        <w:rPr>
          <w:rFonts w:ascii="仿宋" w:eastAsia="仿宋" w:hAnsi="仿宋" w:cs="仿宋" w:hint="eastAsia"/>
          <w:b w:val="0"/>
        </w:rPr>
        <w:t>（二）智慧健康管理</w:t>
      </w:r>
      <w:bookmarkEnd w:id="133"/>
      <w:bookmarkEnd w:id="134"/>
      <w:bookmarkEnd w:id="135"/>
      <w:bookmarkEnd w:id="136"/>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大力发展互联网+医疗健康，全面建设面向未来的互联网医院或智慧医院，积极开发智慧健康、3D体检等智慧健康应用系统，发展智慧健康服务、远程健康服务、个性化健康服务等新型健康服务业态。支持一批传统医疗企业和医院转型升级，积极引进和培育互联网医疗企业，建设全国领先的互联网医疗产业基地，推动传统医疗企业与互联网融合发展。大力发展健康医疗大数据，建设南宁健康云平台和南宁大健康医疗和管理产业产品监管追溯平台，加快推进统一权威、互联互通的全民健康信息平台建设，实现健康南宁和“数字</w:t>
      </w:r>
      <w:r>
        <w:rPr>
          <w:rFonts w:ascii="仿宋" w:eastAsia="仿宋" w:hAnsi="仿宋" w:cs="仿宋" w:hint="eastAsia"/>
          <w:bCs/>
          <w:sz w:val="32"/>
          <w:szCs w:val="32"/>
        </w:rPr>
        <w:lastRenderedPageBreak/>
        <w:t>南宁”全面融通。大力发展智慧健康服务体系，推动大数据、人工智能在医学影像、病理分析、医疗辅助诊断领域的应用，加快发展医疗人工智能辅助决策系统和智能诊断设备。依法合理开发个人健康数据、移动终端、智能终端设备等增值服务产品，发挥大数据的管理价值。</w:t>
      </w:r>
    </w:p>
    <w:tbl>
      <w:tblPr>
        <w:tblStyle w:val="ad"/>
        <w:tblW w:w="0" w:type="auto"/>
        <w:tblLook w:val="04A0" w:firstRow="1" w:lastRow="0" w:firstColumn="1" w:lastColumn="0" w:noHBand="0" w:noVBand="1"/>
      </w:tblPr>
      <w:tblGrid>
        <w:gridCol w:w="8522"/>
      </w:tblGrid>
      <w:tr w:rsidR="00982E5F">
        <w:tc>
          <w:tcPr>
            <w:tcW w:w="8522"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专栏7  智慧健康建设重点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32"/>
                <w:szCs w:val="32"/>
              </w:rPr>
            </w:pPr>
            <w:r>
              <w:rPr>
                <w:rFonts w:ascii="仿宋" w:eastAsia="仿宋" w:hAnsi="仿宋" w:cs="仿宋" w:hint="eastAsia"/>
                <w:bCs/>
                <w:sz w:val="24"/>
                <w:szCs w:val="24"/>
              </w:rPr>
              <w:t>大力发展智慧健康服务体系。鼓励发展智慧化、个性化健康管理服务，培育一批移动医疗服务品牌。推动大数据、人工智能在医学影像、病理分析、医疗辅助诊断领域的应用，加快发展医疗人工智能辅助决策系统和智能诊断设备。推动健康大数据和医疗人工智能在社区的应用。围绕数字化健康产品的研发设计、软件开发、信息系统集成、数据处理、数字内容服务等，打造健康信息产业集群。</w:t>
            </w:r>
          </w:p>
        </w:tc>
      </w:tr>
    </w:tbl>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3"/>
        <w:spacing w:before="0" w:after="0" w:line="560" w:lineRule="exact"/>
        <w:ind w:firstLineChars="200" w:firstLine="640"/>
        <w:rPr>
          <w:rFonts w:ascii="仿宋" w:eastAsia="仿宋" w:hAnsi="仿宋" w:cs="仿宋"/>
          <w:b w:val="0"/>
        </w:rPr>
      </w:pPr>
      <w:bookmarkStart w:id="137" w:name="_Toc31245"/>
      <w:bookmarkStart w:id="138" w:name="_Toc17369"/>
      <w:bookmarkStart w:id="139" w:name="_Toc115100490"/>
      <w:bookmarkStart w:id="140" w:name="_Toc119681285"/>
      <w:r>
        <w:rPr>
          <w:rFonts w:ascii="仿宋" w:eastAsia="仿宋" w:hAnsi="仿宋" w:cs="仿宋" w:hint="eastAsia"/>
          <w:b w:val="0"/>
        </w:rPr>
        <w:t>（三）妇幼健康产业管理</w:t>
      </w:r>
      <w:bookmarkEnd w:id="137"/>
      <w:bookmarkEnd w:id="138"/>
      <w:bookmarkEnd w:id="139"/>
      <w:bookmarkEnd w:id="140"/>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强能力建设，提升妇幼健康服务水平。强化孕产妇管理，保障母婴安全；控制出生缺陷，进一步提高出生人口素质；强化重大基本公共卫生项目管理，规范开展妇女保健、儿童保健、婚育保健，在原有专科特色的基础上，开设儿童康复科、中医科、乳腺科。全面推进县域医共体和妇幼保健专科联盟建设。根据医共体业务需要，派出业务骨干到乡（镇）卫生院驻点帮扶，提高受援卫生院的综合服务能力；继续争取市妇幼保健院医联体牵头单位的技术帮扶。</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7"/>
      </w:tblGrid>
      <w:tr w:rsidR="00982E5F">
        <w:trPr>
          <w:trHeight w:val="440"/>
          <w:jc w:val="center"/>
        </w:trPr>
        <w:tc>
          <w:tcPr>
            <w:tcW w:w="8367" w:type="dxa"/>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专栏8  妇幼健康服务体系建设重点</w:t>
            </w:r>
          </w:p>
        </w:tc>
      </w:tr>
      <w:tr w:rsidR="00982E5F">
        <w:trPr>
          <w:trHeight w:val="727"/>
          <w:jc w:val="center"/>
        </w:trPr>
        <w:tc>
          <w:tcPr>
            <w:tcW w:w="8367" w:type="dxa"/>
          </w:tcPr>
          <w:p w:rsidR="00982E5F" w:rsidRDefault="00BC06AC">
            <w:pPr>
              <w:adjustRightInd w:val="0"/>
              <w:snapToGrid w:val="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妇幼健康保障工程。统筹规划妇幼保健机构资源，合理设置综合性医院妇产科、儿科普惠型床位，支持民办机构建设高品质、修个性化服务资源。改善妇女儿童就医服务条件。推进二级妇幼保健院开展等级医院复评审及条件成熟的二级妇幼保健院创建三级妇幼保健院，规范妇幼保健机构内部设置与管理。推进县（市、区）妇幼保健院和妇女儿童医院等项目建设，实施县域儿科服务能力提升工程。加快推进婴幼儿照护服务指导中心项目建设，项目新增婴幼儿照护托位300个，为规范全市婴幼儿照护提供示范。</w:t>
            </w:r>
          </w:p>
          <w:p w:rsidR="00982E5F" w:rsidRDefault="00BC06AC">
            <w:pPr>
              <w:adjustRightInd w:val="0"/>
              <w:snapToGrid w:val="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妇幼健康促进活动。大力推进母婴安全、妇女儿童健康促进行动计划。开</w:t>
            </w:r>
            <w:r>
              <w:rPr>
                <w:rFonts w:ascii="仿宋" w:eastAsia="仿宋" w:hAnsi="仿宋" w:cs="仿宋" w:hint="eastAsia"/>
                <w:bCs/>
                <w:sz w:val="24"/>
                <w:szCs w:val="24"/>
              </w:rPr>
              <w:lastRenderedPageBreak/>
              <w:t>展中医妇幼服务、儿童早期发育行为诊治、干预儿童早期贫血、儿童重大疾病和重大传染病防治项目。</w:t>
            </w:r>
          </w:p>
        </w:tc>
      </w:tr>
    </w:tbl>
    <w:p w:rsidR="00982E5F" w:rsidRDefault="00982E5F">
      <w:pPr>
        <w:pStyle w:val="a0"/>
        <w:ind w:firstLine="420"/>
        <w:rPr>
          <w:bCs/>
        </w:rPr>
      </w:pPr>
    </w:p>
    <w:p w:rsidR="00982E5F" w:rsidRDefault="00BC06AC">
      <w:pPr>
        <w:pStyle w:val="3"/>
        <w:spacing w:before="0" w:after="0" w:line="560" w:lineRule="exact"/>
        <w:ind w:firstLineChars="200" w:firstLine="640"/>
        <w:rPr>
          <w:rFonts w:ascii="仿宋" w:eastAsia="仿宋" w:hAnsi="仿宋" w:cs="仿宋"/>
          <w:b w:val="0"/>
        </w:rPr>
      </w:pPr>
      <w:bookmarkStart w:id="141" w:name="_Toc115100491"/>
      <w:bookmarkStart w:id="142" w:name="_Toc119681286"/>
      <w:bookmarkStart w:id="143" w:name="_Toc6701"/>
      <w:bookmarkStart w:id="144" w:name="_Toc25402"/>
      <w:r>
        <w:rPr>
          <w:rFonts w:ascii="仿宋" w:eastAsia="仿宋" w:hAnsi="仿宋" w:cs="仿宋" w:hint="eastAsia"/>
          <w:b w:val="0"/>
        </w:rPr>
        <w:t>（四）家庭医生签约服务</w:t>
      </w:r>
      <w:bookmarkEnd w:id="141"/>
      <w:bookmarkEnd w:id="142"/>
      <w:bookmarkEnd w:id="143"/>
      <w:bookmarkEnd w:id="144"/>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培育与国际接轨、商业健康保险支撑的家庭医生服务市场。以提升居民签约家庭医生服务为核心，组建有全科医生、中医师、公共卫生医师、家庭护士、健康管理师、心理、运动防护、运动康复治疗、体能和体验保健专业人才等构成健康管理服务团队，为签约对象提供个性化健康管理服务，着重家庭医生签约服务内涵建设和签约后服务质量，推动社会医疗卫生机构转变服务模式，重在提质增效，做实做细家庭医生签约服务工作。鼓励社会办全科诊所进入社区卫生服务中心平台的管理与支持体系，允许平台按照有关规定，购买诊所提供的家庭医生服务。支持全科诊所提供家庭病床服务。鼓励开发覆盖家庭医生服务的商业健康保险产品，推广个性化的家庭医生服务包，支持上门诊疗、护理、康复等居家服务。以老年人、慢性病患者、严重精神障碍患者、孕产妇、儿童、残疾人等特殊人群为签约服务重点，开展便捷的健康咨询互动，不断拓展健康管理、社区医疗和双向转诊、家庭病床和远程健康管理服务。到2025年，全面实现家庭医生签约服务制度全覆盖，探索建立以家庭医生团队为责任主体的居民健康和医保费用“守门人”制度。</w:t>
      </w:r>
    </w:p>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145" w:name="_Toc115100492"/>
      <w:bookmarkStart w:id="146" w:name="_Toc119681287"/>
      <w:bookmarkStart w:id="147" w:name="_Toc28220"/>
      <w:bookmarkStart w:id="148" w:name="_Toc9831"/>
      <w:r>
        <w:rPr>
          <w:rFonts w:ascii="方正黑体_GBK" w:eastAsia="方正黑体_GBK" w:hAnsi="方正黑体_GBK" w:cs="方正黑体_GBK" w:hint="eastAsia"/>
          <w:b w:val="0"/>
          <w:sz w:val="32"/>
          <w:szCs w:val="32"/>
        </w:rPr>
        <w:t>第四章  优化空间布局</w:t>
      </w:r>
      <w:bookmarkEnd w:id="145"/>
      <w:bookmarkEnd w:id="146"/>
      <w:bookmarkEnd w:id="147"/>
      <w:bookmarkEnd w:id="148"/>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深入落实区域协调发展战略，按照集聚发展、产城融合、良性互动的原则，依托资源优势，在关键区域、资源富集区</w:t>
      </w:r>
      <w:r>
        <w:rPr>
          <w:rFonts w:ascii="仿宋_GB2312" w:eastAsia="仿宋_GB2312" w:hint="eastAsia"/>
          <w:bCs/>
          <w:sz w:val="32"/>
          <w:szCs w:val="32"/>
        </w:rPr>
        <w:lastRenderedPageBreak/>
        <w:t>域布局大健康医疗和管理产业，促进资源高效利用，注重与现有医药、健康养生、中药材种植等充分衔接，实现统筹协调发展，构建大健康医疗和管理产业“一核两带两重点”新格局。</w:t>
      </w:r>
    </w:p>
    <w:tbl>
      <w:tblPr>
        <w:tblStyle w:val="ad"/>
        <w:tblW w:w="8897" w:type="dxa"/>
        <w:jc w:val="center"/>
        <w:tblLook w:val="04A0" w:firstRow="1" w:lastRow="0" w:firstColumn="1" w:lastColumn="0" w:noHBand="0" w:noVBand="1"/>
      </w:tblPr>
      <w:tblGrid>
        <w:gridCol w:w="1101"/>
        <w:gridCol w:w="7796"/>
      </w:tblGrid>
      <w:tr w:rsidR="00982E5F">
        <w:trPr>
          <w:jc w:val="center"/>
        </w:trPr>
        <w:tc>
          <w:tcPr>
            <w:tcW w:w="8897" w:type="dxa"/>
            <w:gridSpan w:val="2"/>
          </w:tcPr>
          <w:p w:rsidR="00982E5F" w:rsidRDefault="00BC06AC">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专栏9  加快实施差异化社会办医发展策略</w:t>
            </w:r>
          </w:p>
        </w:tc>
      </w:tr>
      <w:tr w:rsidR="00982E5F">
        <w:trPr>
          <w:jc w:val="center"/>
        </w:trPr>
        <w:tc>
          <w:tcPr>
            <w:tcW w:w="110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一类地区</w:t>
            </w:r>
          </w:p>
        </w:tc>
        <w:tc>
          <w:tcPr>
            <w:tcW w:w="7796" w:type="dxa"/>
          </w:tcPr>
          <w:p w:rsidR="00982E5F" w:rsidRDefault="00BC06AC">
            <w:pPr>
              <w:pStyle w:val="a0"/>
              <w:spacing w:line="320" w:lineRule="exact"/>
              <w:rPr>
                <w:rFonts w:ascii="仿宋" w:eastAsia="仿宋" w:hAnsi="仿宋" w:cs="仿宋"/>
                <w:bCs/>
                <w:sz w:val="24"/>
                <w:szCs w:val="24"/>
              </w:rPr>
            </w:pPr>
            <w:r>
              <w:rPr>
                <w:rFonts w:ascii="仿宋" w:eastAsia="仿宋" w:hAnsi="仿宋" w:cs="仿宋" w:hint="eastAsia"/>
                <w:bCs/>
                <w:sz w:val="24"/>
                <w:szCs w:val="24"/>
              </w:rPr>
              <w:t>青秀区、西乡塘区原则上不再新设置审批政府举办的各级各类医疗机构，社会办医除外，自治区、南宁市办优质医院不在中心城区增加床位，重点在东部产业新城（伶俐—六景）和医疗资源较为缺乏的区域开展社会办医，预留社会办医面积。</w:t>
            </w:r>
          </w:p>
        </w:tc>
      </w:tr>
      <w:tr w:rsidR="00982E5F">
        <w:trPr>
          <w:jc w:val="center"/>
        </w:trPr>
        <w:tc>
          <w:tcPr>
            <w:tcW w:w="110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二类地区</w:t>
            </w:r>
          </w:p>
        </w:tc>
        <w:tc>
          <w:tcPr>
            <w:tcW w:w="7796" w:type="dxa"/>
          </w:tcPr>
          <w:p w:rsidR="00982E5F" w:rsidRDefault="00BC06AC">
            <w:pPr>
              <w:pStyle w:val="a0"/>
              <w:spacing w:line="320" w:lineRule="exact"/>
              <w:rPr>
                <w:rFonts w:ascii="仿宋" w:eastAsia="仿宋" w:hAnsi="仿宋" w:cs="仿宋"/>
                <w:bCs/>
                <w:sz w:val="24"/>
                <w:szCs w:val="24"/>
              </w:rPr>
            </w:pPr>
            <w:r>
              <w:rPr>
                <w:rFonts w:ascii="仿宋" w:eastAsia="仿宋" w:hAnsi="仿宋" w:cs="仿宋" w:hint="eastAsia"/>
                <w:bCs/>
                <w:sz w:val="24"/>
                <w:szCs w:val="24"/>
              </w:rPr>
              <w:t>兴宁区、江南区、良庆区、邕宁区、武鸣区根据医疗服务的需求实际，遵循均衡布局的原则，适当设置社会办综合医院、中医医院、中西医医院、专科医院等。</w:t>
            </w:r>
          </w:p>
        </w:tc>
      </w:tr>
      <w:tr w:rsidR="00982E5F">
        <w:trPr>
          <w:jc w:val="center"/>
        </w:trPr>
        <w:tc>
          <w:tcPr>
            <w:tcW w:w="1101" w:type="dxa"/>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三类地区</w:t>
            </w:r>
          </w:p>
        </w:tc>
        <w:tc>
          <w:tcPr>
            <w:tcW w:w="7796" w:type="dxa"/>
          </w:tcPr>
          <w:p w:rsidR="00982E5F" w:rsidRDefault="00BC06AC">
            <w:pPr>
              <w:pStyle w:val="a0"/>
              <w:spacing w:line="320" w:lineRule="exact"/>
              <w:rPr>
                <w:rFonts w:ascii="仿宋" w:eastAsia="仿宋" w:hAnsi="仿宋" w:cs="仿宋"/>
                <w:bCs/>
                <w:sz w:val="24"/>
                <w:szCs w:val="24"/>
              </w:rPr>
            </w:pPr>
            <w:r>
              <w:rPr>
                <w:rFonts w:ascii="仿宋" w:eastAsia="仿宋" w:hAnsi="仿宋" w:cs="仿宋" w:hint="eastAsia"/>
                <w:bCs/>
                <w:sz w:val="24"/>
                <w:szCs w:val="24"/>
              </w:rPr>
              <w:t>横州市、宾阳县、上林县、马山县、隆安县在已设医疗机构的基础上，积极引进社会办专科医院，参照二级标准的综合医院1-2家，提倡建设提供老年病、康复、精神、心血管病、口腔、恶性肿瘤等特殊医疗服务的高水平专科医院。</w:t>
            </w:r>
          </w:p>
        </w:tc>
      </w:tr>
    </w:tbl>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2"/>
        <w:spacing w:before="0" w:after="0" w:line="570" w:lineRule="exact"/>
        <w:jc w:val="center"/>
        <w:rPr>
          <w:rFonts w:ascii="楷体" w:eastAsia="楷体" w:hAnsi="楷体" w:cs="楷体"/>
          <w:b w:val="0"/>
        </w:rPr>
      </w:pPr>
      <w:bookmarkStart w:id="149" w:name="_Toc115100493"/>
      <w:bookmarkStart w:id="150" w:name="_Toc10034"/>
      <w:bookmarkStart w:id="151" w:name="_Toc119681288"/>
      <w:bookmarkStart w:id="152" w:name="_Toc27286"/>
      <w:r>
        <w:rPr>
          <w:rFonts w:ascii="楷体" w:eastAsia="楷体" w:hAnsi="楷体" w:cs="楷体" w:hint="eastAsia"/>
          <w:b w:val="0"/>
        </w:rPr>
        <w:t>一、一核：大健康医疗和管理产业创新引领核心区</w:t>
      </w:r>
      <w:bookmarkEnd w:id="149"/>
      <w:bookmarkEnd w:id="150"/>
      <w:bookmarkEnd w:id="151"/>
      <w:bookmarkEnd w:id="152"/>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依托南宁市优质医疗资源，以青秀区、兴宁区、西乡塘区、江南区、良庆区、邕宁区为大健康医疗和管理产业创新引领核心区。突出中心城区在大健康医疗和管理产业的核心引领地位，加快城市功能完善与传统医疗产业的有机更新，加强各类服务平台建设，促进高端要素集聚和产业链条延伸。重点发挥核心区域自治区级、市级优质医疗资源集聚优势，自贸区南宁片区政策优势，以及中心城区一线优质的医疗资源、人文资源优势，强化国际医学合作，定向引进国内外高端健康医疗服务项目，培育一批高水平、有特色的社会办医品牌，以国际化、集聚化、特色化、高质量、高水平为方向，打造以前沿医疗、共享医疗、慢性病/职业病管理等为特色</w:t>
      </w:r>
      <w:r>
        <w:rPr>
          <w:rFonts w:ascii="仿宋_GB2312" w:eastAsia="仿宋_GB2312" w:hint="eastAsia"/>
          <w:bCs/>
          <w:sz w:val="32"/>
          <w:szCs w:val="32"/>
        </w:rPr>
        <w:lastRenderedPageBreak/>
        <w:t>的高端医疗服务集聚区。</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青秀区。到2</w:t>
      </w:r>
      <w:r>
        <w:rPr>
          <w:rFonts w:ascii="仿宋_GB2312" w:eastAsia="仿宋_GB2312"/>
          <w:bCs/>
          <w:sz w:val="32"/>
          <w:szCs w:val="32"/>
        </w:rPr>
        <w:t>025</w:t>
      </w:r>
      <w:r>
        <w:rPr>
          <w:rFonts w:ascii="仿宋_GB2312" w:eastAsia="仿宋_GB2312" w:hint="eastAsia"/>
          <w:bCs/>
          <w:sz w:val="32"/>
          <w:szCs w:val="32"/>
        </w:rPr>
        <w:t>年力争建设2家社会办专科医院，床位数达到200张，建设预留社会办医面积35亩。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兴宁区。到2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3</w:t>
      </w:r>
      <w:r>
        <w:rPr>
          <w:rFonts w:ascii="仿宋_GB2312" w:eastAsia="仿宋_GB2312" w:hint="eastAsia"/>
          <w:bCs/>
          <w:sz w:val="32"/>
          <w:szCs w:val="32"/>
        </w:rPr>
        <w:t>家社会办专科医院，床位数达到349张，建设预留社会办医面积52亩。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西乡塘区。到2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2</w:t>
      </w:r>
      <w:r>
        <w:rPr>
          <w:rFonts w:ascii="仿宋_GB2312" w:eastAsia="仿宋_GB2312" w:hint="eastAsia"/>
          <w:bCs/>
          <w:sz w:val="32"/>
          <w:szCs w:val="32"/>
        </w:rPr>
        <w:t>家社会办专科医院，床位数达到249张，建设预留社会办医面积38亩。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江南区。到2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3</w:t>
      </w:r>
      <w:r>
        <w:rPr>
          <w:rFonts w:ascii="仿宋_GB2312" w:eastAsia="仿宋_GB2312" w:hint="eastAsia"/>
          <w:bCs/>
          <w:sz w:val="32"/>
          <w:szCs w:val="32"/>
        </w:rPr>
        <w:t>家社会办综合医院、专科医院，床位数达到700张，建设预留社会办医面积108亩。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良庆区。到2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3</w:t>
      </w:r>
      <w:r>
        <w:rPr>
          <w:rFonts w:ascii="仿宋_GB2312" w:eastAsia="仿宋_GB2312" w:hint="eastAsia"/>
          <w:bCs/>
          <w:sz w:val="32"/>
          <w:szCs w:val="32"/>
        </w:rPr>
        <w:t>家社会专科医院，床位数达到349张，建设预留社会办医面积59亩。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邕宁区。到2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3</w:t>
      </w:r>
      <w:r>
        <w:rPr>
          <w:rFonts w:ascii="仿宋_GB2312" w:eastAsia="仿宋_GB2312" w:hint="eastAsia"/>
          <w:bCs/>
          <w:sz w:val="32"/>
          <w:szCs w:val="32"/>
        </w:rPr>
        <w:t>家社会办综合医院、专科医院，床位数达到540张，建设预留社会办医面积81亩。</w:t>
      </w:r>
    </w:p>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 xml:space="preserve">表3  </w:t>
      </w:r>
      <w:bookmarkStart w:id="153" w:name="_Hlk102508112"/>
      <w:r>
        <w:rPr>
          <w:rFonts w:ascii="黑体" w:eastAsia="黑体" w:hAnsi="黑体" w:cs="黑体" w:hint="eastAsia"/>
          <w:bCs/>
          <w:sz w:val="28"/>
          <w:szCs w:val="28"/>
        </w:rPr>
        <w:t>2025年大健康医疗和管理产业创新引领核心区</w:t>
      </w:r>
      <w:bookmarkEnd w:id="153"/>
      <w:r>
        <w:rPr>
          <w:rFonts w:ascii="黑体" w:eastAsia="黑体" w:hAnsi="黑体" w:cs="黑体" w:hint="eastAsia"/>
          <w:bCs/>
          <w:sz w:val="28"/>
          <w:szCs w:val="28"/>
        </w:rPr>
        <w:t>社会办医建设</w:t>
      </w:r>
    </w:p>
    <w:tbl>
      <w:tblPr>
        <w:tblStyle w:val="ad"/>
        <w:tblW w:w="4999" w:type="pct"/>
        <w:tblLook w:val="04A0" w:firstRow="1" w:lastRow="0" w:firstColumn="1" w:lastColumn="0" w:noHBand="0" w:noVBand="1"/>
      </w:tblPr>
      <w:tblGrid>
        <w:gridCol w:w="1003"/>
        <w:gridCol w:w="626"/>
        <w:gridCol w:w="696"/>
        <w:gridCol w:w="572"/>
        <w:gridCol w:w="608"/>
        <w:gridCol w:w="625"/>
        <w:gridCol w:w="608"/>
        <w:gridCol w:w="641"/>
        <w:gridCol w:w="625"/>
        <w:gridCol w:w="625"/>
        <w:gridCol w:w="625"/>
        <w:gridCol w:w="624"/>
        <w:gridCol w:w="642"/>
      </w:tblGrid>
      <w:tr w:rsidR="00982E5F">
        <w:tc>
          <w:tcPr>
            <w:tcW w:w="588"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区域</w:t>
            </w:r>
          </w:p>
        </w:tc>
        <w:tc>
          <w:tcPr>
            <w:tcW w:w="4411" w:type="pct"/>
            <w:gridSpan w:val="12"/>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机构分类</w:t>
            </w:r>
          </w:p>
        </w:tc>
      </w:tr>
      <w:tr w:rsidR="00982E5F">
        <w:tc>
          <w:tcPr>
            <w:tcW w:w="588"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67"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综合</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408"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中医</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35"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中西医医院</w:t>
            </w:r>
          </w:p>
        </w:tc>
        <w:tc>
          <w:tcPr>
            <w:tcW w:w="3300" w:type="pct"/>
            <w:gridSpan w:val="9"/>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专科医院</w:t>
            </w:r>
          </w:p>
        </w:tc>
      </w:tr>
      <w:tr w:rsidR="00982E5F">
        <w:tc>
          <w:tcPr>
            <w:tcW w:w="588"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67" w:type="pct"/>
            <w:vMerge/>
            <w:vAlign w:val="center"/>
          </w:tcPr>
          <w:p w:rsidR="00982E5F" w:rsidRDefault="00982E5F">
            <w:pPr>
              <w:pStyle w:val="a0"/>
              <w:spacing w:line="320" w:lineRule="exact"/>
              <w:jc w:val="center"/>
              <w:rPr>
                <w:rFonts w:ascii="仿宋" w:eastAsia="仿宋" w:hAnsi="仿宋" w:cs="仿宋"/>
                <w:bCs/>
                <w:sz w:val="24"/>
                <w:szCs w:val="24"/>
              </w:rPr>
            </w:pPr>
          </w:p>
        </w:tc>
        <w:tc>
          <w:tcPr>
            <w:tcW w:w="408"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35"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口腔</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整形外科医院</w:t>
            </w:r>
          </w:p>
        </w:tc>
        <w:tc>
          <w:tcPr>
            <w:tcW w:w="35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美容</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7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康复</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眼科</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妇产医院</w:t>
            </w: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心脑血管专科医院</w:t>
            </w:r>
          </w:p>
        </w:tc>
        <w:tc>
          <w:tcPr>
            <w:tcW w:w="36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精神专科医院</w:t>
            </w:r>
          </w:p>
        </w:tc>
        <w:tc>
          <w:tcPr>
            <w:tcW w:w="372"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互联网医院</w:t>
            </w:r>
          </w:p>
        </w:tc>
      </w:tr>
      <w:tr w:rsidR="00982E5F">
        <w:tc>
          <w:tcPr>
            <w:tcW w:w="58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青秀区</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408" w:type="pct"/>
            <w:vAlign w:val="center"/>
          </w:tcPr>
          <w:p w:rsidR="00982E5F" w:rsidRDefault="00982E5F">
            <w:pPr>
              <w:pStyle w:val="a0"/>
              <w:spacing w:line="320" w:lineRule="exact"/>
              <w:jc w:val="center"/>
              <w:rPr>
                <w:rFonts w:ascii="仿宋" w:eastAsia="仿宋" w:hAnsi="仿宋" w:cs="仿宋"/>
                <w:bCs/>
                <w:sz w:val="24"/>
                <w:szCs w:val="24"/>
              </w:rPr>
            </w:pPr>
          </w:p>
        </w:tc>
        <w:tc>
          <w:tcPr>
            <w:tcW w:w="335"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76"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72"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r>
      <w:tr w:rsidR="00982E5F">
        <w:tc>
          <w:tcPr>
            <w:tcW w:w="58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兴宁区</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408" w:type="pct"/>
            <w:vAlign w:val="center"/>
          </w:tcPr>
          <w:p w:rsidR="00982E5F" w:rsidRDefault="00982E5F">
            <w:pPr>
              <w:pStyle w:val="a0"/>
              <w:spacing w:line="320" w:lineRule="exact"/>
              <w:jc w:val="center"/>
              <w:rPr>
                <w:rFonts w:ascii="仿宋" w:eastAsia="仿宋" w:hAnsi="仿宋" w:cs="仿宋"/>
                <w:bCs/>
                <w:sz w:val="24"/>
                <w:szCs w:val="24"/>
              </w:rPr>
            </w:pPr>
          </w:p>
        </w:tc>
        <w:tc>
          <w:tcPr>
            <w:tcW w:w="335"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7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6" w:type="pct"/>
            <w:vAlign w:val="center"/>
          </w:tcPr>
          <w:p w:rsidR="00982E5F" w:rsidRDefault="00982E5F">
            <w:pPr>
              <w:pStyle w:val="a0"/>
              <w:spacing w:line="320" w:lineRule="exact"/>
              <w:jc w:val="center"/>
              <w:rPr>
                <w:rFonts w:ascii="仿宋" w:eastAsia="仿宋" w:hAnsi="仿宋" w:cs="仿宋"/>
                <w:bCs/>
                <w:sz w:val="24"/>
                <w:szCs w:val="24"/>
              </w:rPr>
            </w:pPr>
          </w:p>
        </w:tc>
        <w:tc>
          <w:tcPr>
            <w:tcW w:w="372" w:type="pct"/>
          </w:tcPr>
          <w:p w:rsidR="00982E5F" w:rsidRDefault="00982E5F">
            <w:pPr>
              <w:pStyle w:val="a0"/>
              <w:spacing w:line="320" w:lineRule="exact"/>
              <w:jc w:val="center"/>
              <w:rPr>
                <w:rFonts w:ascii="仿宋" w:eastAsia="仿宋" w:hAnsi="仿宋" w:cs="仿宋"/>
                <w:bCs/>
                <w:sz w:val="24"/>
                <w:szCs w:val="24"/>
              </w:rPr>
            </w:pPr>
          </w:p>
        </w:tc>
      </w:tr>
      <w:tr w:rsidR="00982E5F">
        <w:tc>
          <w:tcPr>
            <w:tcW w:w="58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西乡塘区</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408" w:type="pct"/>
            <w:vAlign w:val="center"/>
          </w:tcPr>
          <w:p w:rsidR="00982E5F" w:rsidRDefault="00982E5F">
            <w:pPr>
              <w:pStyle w:val="a0"/>
              <w:spacing w:line="320" w:lineRule="exact"/>
              <w:jc w:val="center"/>
              <w:rPr>
                <w:rFonts w:ascii="仿宋" w:eastAsia="仿宋" w:hAnsi="仿宋" w:cs="仿宋"/>
                <w:bCs/>
                <w:sz w:val="24"/>
                <w:szCs w:val="24"/>
              </w:rPr>
            </w:pPr>
          </w:p>
        </w:tc>
        <w:tc>
          <w:tcPr>
            <w:tcW w:w="335"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7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6" w:type="pct"/>
            <w:vAlign w:val="center"/>
          </w:tcPr>
          <w:p w:rsidR="00982E5F" w:rsidRDefault="00982E5F">
            <w:pPr>
              <w:pStyle w:val="a0"/>
              <w:spacing w:line="320" w:lineRule="exact"/>
              <w:jc w:val="center"/>
              <w:rPr>
                <w:rFonts w:ascii="仿宋" w:eastAsia="仿宋" w:hAnsi="仿宋" w:cs="仿宋"/>
                <w:bCs/>
                <w:sz w:val="24"/>
                <w:szCs w:val="24"/>
              </w:rPr>
            </w:pPr>
          </w:p>
        </w:tc>
        <w:tc>
          <w:tcPr>
            <w:tcW w:w="372" w:type="pct"/>
          </w:tcPr>
          <w:p w:rsidR="00982E5F" w:rsidRDefault="00982E5F">
            <w:pPr>
              <w:pStyle w:val="a0"/>
              <w:spacing w:line="320" w:lineRule="exact"/>
              <w:jc w:val="center"/>
              <w:rPr>
                <w:rFonts w:ascii="仿宋" w:eastAsia="仿宋" w:hAnsi="仿宋" w:cs="仿宋"/>
                <w:bCs/>
                <w:sz w:val="24"/>
                <w:szCs w:val="24"/>
              </w:rPr>
            </w:pPr>
          </w:p>
        </w:tc>
      </w:tr>
      <w:tr w:rsidR="00982E5F">
        <w:tc>
          <w:tcPr>
            <w:tcW w:w="58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江南区</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408" w:type="pct"/>
            <w:vAlign w:val="center"/>
          </w:tcPr>
          <w:p w:rsidR="00982E5F" w:rsidRDefault="00982E5F">
            <w:pPr>
              <w:pStyle w:val="a0"/>
              <w:spacing w:line="320" w:lineRule="exact"/>
              <w:jc w:val="center"/>
              <w:rPr>
                <w:rFonts w:ascii="仿宋" w:eastAsia="仿宋" w:hAnsi="仿宋" w:cs="仿宋"/>
                <w:bCs/>
                <w:sz w:val="24"/>
                <w:szCs w:val="24"/>
              </w:rPr>
            </w:pPr>
          </w:p>
        </w:tc>
        <w:tc>
          <w:tcPr>
            <w:tcW w:w="335"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7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72" w:type="pct"/>
          </w:tcPr>
          <w:p w:rsidR="00982E5F" w:rsidRDefault="00982E5F">
            <w:pPr>
              <w:pStyle w:val="a0"/>
              <w:spacing w:line="320" w:lineRule="exact"/>
              <w:jc w:val="center"/>
              <w:rPr>
                <w:rFonts w:ascii="仿宋" w:eastAsia="仿宋" w:hAnsi="仿宋" w:cs="仿宋"/>
                <w:bCs/>
                <w:sz w:val="24"/>
                <w:szCs w:val="24"/>
              </w:rPr>
            </w:pPr>
          </w:p>
        </w:tc>
      </w:tr>
      <w:tr w:rsidR="00982E5F">
        <w:tc>
          <w:tcPr>
            <w:tcW w:w="58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良庆区</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408" w:type="pct"/>
            <w:vAlign w:val="center"/>
          </w:tcPr>
          <w:p w:rsidR="00982E5F" w:rsidRDefault="00982E5F">
            <w:pPr>
              <w:pStyle w:val="a0"/>
              <w:spacing w:line="320" w:lineRule="exact"/>
              <w:jc w:val="center"/>
              <w:rPr>
                <w:rFonts w:ascii="仿宋" w:eastAsia="仿宋" w:hAnsi="仿宋" w:cs="仿宋"/>
                <w:bCs/>
                <w:sz w:val="24"/>
                <w:szCs w:val="24"/>
              </w:rPr>
            </w:pPr>
          </w:p>
        </w:tc>
        <w:tc>
          <w:tcPr>
            <w:tcW w:w="335"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76"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72" w:type="pct"/>
          </w:tcPr>
          <w:p w:rsidR="00982E5F" w:rsidRDefault="00982E5F">
            <w:pPr>
              <w:pStyle w:val="a0"/>
              <w:spacing w:line="320" w:lineRule="exact"/>
              <w:jc w:val="center"/>
              <w:rPr>
                <w:rFonts w:ascii="仿宋" w:eastAsia="仿宋" w:hAnsi="仿宋" w:cs="仿宋"/>
                <w:bCs/>
                <w:sz w:val="24"/>
                <w:szCs w:val="24"/>
              </w:rPr>
            </w:pPr>
          </w:p>
        </w:tc>
      </w:tr>
      <w:tr w:rsidR="00982E5F">
        <w:tc>
          <w:tcPr>
            <w:tcW w:w="58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lastRenderedPageBreak/>
              <w:t>邕宁区</w:t>
            </w: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408" w:type="pct"/>
            <w:vAlign w:val="center"/>
          </w:tcPr>
          <w:p w:rsidR="00982E5F" w:rsidRDefault="00982E5F">
            <w:pPr>
              <w:pStyle w:val="a0"/>
              <w:spacing w:line="320" w:lineRule="exact"/>
              <w:jc w:val="center"/>
              <w:rPr>
                <w:rFonts w:ascii="仿宋" w:eastAsia="仿宋" w:hAnsi="仿宋" w:cs="仿宋"/>
                <w:bCs/>
                <w:sz w:val="24"/>
                <w:szCs w:val="24"/>
              </w:rPr>
            </w:pPr>
          </w:p>
        </w:tc>
        <w:tc>
          <w:tcPr>
            <w:tcW w:w="335"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57" w:type="pct"/>
            <w:vAlign w:val="center"/>
          </w:tcPr>
          <w:p w:rsidR="00982E5F" w:rsidRDefault="00982E5F">
            <w:pPr>
              <w:pStyle w:val="a0"/>
              <w:spacing w:line="320" w:lineRule="exact"/>
              <w:jc w:val="center"/>
              <w:rPr>
                <w:rFonts w:ascii="仿宋" w:eastAsia="仿宋" w:hAnsi="仿宋" w:cs="仿宋"/>
                <w:bCs/>
                <w:sz w:val="24"/>
                <w:szCs w:val="24"/>
              </w:rPr>
            </w:pPr>
          </w:p>
        </w:tc>
        <w:tc>
          <w:tcPr>
            <w:tcW w:w="37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7" w:type="pct"/>
            <w:vAlign w:val="center"/>
          </w:tcPr>
          <w:p w:rsidR="00982E5F" w:rsidRDefault="00982E5F">
            <w:pPr>
              <w:pStyle w:val="a0"/>
              <w:spacing w:line="320" w:lineRule="exact"/>
              <w:jc w:val="center"/>
              <w:rPr>
                <w:rFonts w:ascii="仿宋" w:eastAsia="仿宋" w:hAnsi="仿宋" w:cs="仿宋"/>
                <w:bCs/>
                <w:sz w:val="24"/>
                <w:szCs w:val="24"/>
              </w:rPr>
            </w:pPr>
          </w:p>
        </w:tc>
        <w:tc>
          <w:tcPr>
            <w:tcW w:w="366" w:type="pct"/>
            <w:vAlign w:val="center"/>
          </w:tcPr>
          <w:p w:rsidR="00982E5F" w:rsidRDefault="00982E5F">
            <w:pPr>
              <w:pStyle w:val="a0"/>
              <w:spacing w:line="320" w:lineRule="exact"/>
              <w:jc w:val="center"/>
              <w:rPr>
                <w:rFonts w:ascii="仿宋" w:eastAsia="仿宋" w:hAnsi="仿宋" w:cs="仿宋"/>
                <w:bCs/>
                <w:sz w:val="24"/>
                <w:szCs w:val="24"/>
              </w:rPr>
            </w:pPr>
          </w:p>
          <w:p w:rsidR="00982E5F" w:rsidRDefault="00982E5F">
            <w:pPr>
              <w:spacing w:line="320" w:lineRule="exact"/>
              <w:rPr>
                <w:rFonts w:ascii="仿宋" w:eastAsia="仿宋" w:hAnsi="仿宋" w:cs="仿宋"/>
                <w:bCs/>
                <w:sz w:val="24"/>
                <w:szCs w:val="24"/>
              </w:rPr>
            </w:pPr>
          </w:p>
        </w:tc>
        <w:tc>
          <w:tcPr>
            <w:tcW w:w="372" w:type="pct"/>
          </w:tcPr>
          <w:p w:rsidR="00982E5F" w:rsidRDefault="00982E5F">
            <w:pPr>
              <w:pStyle w:val="a0"/>
              <w:spacing w:line="320" w:lineRule="exact"/>
              <w:jc w:val="center"/>
              <w:rPr>
                <w:rFonts w:ascii="仿宋" w:eastAsia="仿宋" w:hAnsi="仿宋" w:cs="仿宋"/>
                <w:bCs/>
                <w:sz w:val="24"/>
                <w:szCs w:val="24"/>
              </w:rPr>
            </w:pPr>
          </w:p>
        </w:tc>
      </w:tr>
    </w:tbl>
    <w:p w:rsidR="00982E5F" w:rsidRDefault="00BC06AC">
      <w:pPr>
        <w:pStyle w:val="a0"/>
        <w:spacing w:line="360" w:lineRule="exact"/>
        <w:rPr>
          <w:rFonts w:ascii="仿宋" w:eastAsia="仿宋" w:hAnsi="仿宋" w:cs="仿宋"/>
          <w:bCs/>
          <w:sz w:val="21"/>
          <w:szCs w:val="21"/>
        </w:rPr>
      </w:pPr>
      <w:r>
        <w:rPr>
          <w:rFonts w:ascii="仿宋" w:eastAsia="仿宋" w:hAnsi="仿宋" w:cs="仿宋" w:hint="eastAsia"/>
          <w:bCs/>
          <w:sz w:val="21"/>
          <w:szCs w:val="21"/>
        </w:rPr>
        <w:t>注：“√”为南宁市规划社会办医。</w:t>
      </w:r>
    </w:p>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a0"/>
        <w:spacing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依据广西壮族自治区建设用地控制指标，为加强南宁市大健康医疗和管理产业建设用地管理，促进社会办医建设用地节约集约和高效利用，根据大健康医疗和管理产业创新引领核心区城区人口规模和辖区面积，到2</w:t>
      </w:r>
      <w:r>
        <w:rPr>
          <w:rFonts w:ascii="仿宋_GB2312" w:eastAsia="仿宋_GB2312"/>
          <w:bCs/>
          <w:sz w:val="32"/>
          <w:szCs w:val="32"/>
        </w:rPr>
        <w:t>025</w:t>
      </w:r>
      <w:r>
        <w:rPr>
          <w:rFonts w:ascii="仿宋_GB2312" w:eastAsia="仿宋_GB2312" w:hint="eastAsia"/>
          <w:bCs/>
          <w:sz w:val="32"/>
          <w:szCs w:val="32"/>
        </w:rPr>
        <w:t>年力争建设社会办医院16家，社会办医疗机构床位数2387张，预留社会办医面积292亩。</w:t>
      </w:r>
    </w:p>
    <w:tbl>
      <w:tblPr>
        <w:tblStyle w:val="ad"/>
        <w:tblW w:w="5000" w:type="pct"/>
        <w:jc w:val="center"/>
        <w:tblLook w:val="04A0" w:firstRow="1" w:lastRow="0" w:firstColumn="1" w:lastColumn="0" w:noHBand="0" w:noVBand="1"/>
      </w:tblPr>
      <w:tblGrid>
        <w:gridCol w:w="1519"/>
        <w:gridCol w:w="1537"/>
        <w:gridCol w:w="2729"/>
        <w:gridCol w:w="2737"/>
      </w:tblGrid>
      <w:tr w:rsidR="00982E5F">
        <w:trPr>
          <w:trHeight w:val="531"/>
          <w:jc w:val="center"/>
        </w:trPr>
        <w:tc>
          <w:tcPr>
            <w:tcW w:w="5000" w:type="pct"/>
            <w:gridSpan w:val="4"/>
            <w:tcBorders>
              <w:top w:val="nil"/>
              <w:left w:val="nil"/>
              <w:bottom w:val="single" w:sz="4" w:space="0" w:color="auto"/>
              <w:right w:val="nil"/>
            </w:tcBorders>
            <w:vAlign w:val="center"/>
          </w:tcPr>
          <w:p w:rsidR="00982E5F" w:rsidRDefault="00BC06AC">
            <w:pPr>
              <w:pStyle w:val="a0"/>
              <w:jc w:val="center"/>
              <w:rPr>
                <w:rFonts w:ascii="仿宋" w:eastAsia="仿宋" w:hAnsi="仿宋" w:cs="仿宋"/>
                <w:bCs/>
                <w:sz w:val="21"/>
                <w:szCs w:val="21"/>
              </w:rPr>
            </w:pPr>
            <w:r>
              <w:rPr>
                <w:rFonts w:ascii="黑体" w:eastAsia="黑体" w:hAnsi="黑体" w:cs="黑体" w:hint="eastAsia"/>
                <w:bCs/>
                <w:sz w:val="28"/>
                <w:szCs w:val="28"/>
              </w:rPr>
              <w:t>表4  大健康医疗和管理产业创新引领核心区社会办医床位数及预留面积</w:t>
            </w:r>
          </w:p>
        </w:tc>
      </w:tr>
      <w:tr w:rsidR="00982E5F">
        <w:trPr>
          <w:jc w:val="center"/>
        </w:trPr>
        <w:tc>
          <w:tcPr>
            <w:tcW w:w="891" w:type="pct"/>
            <w:tcBorders>
              <w:top w:val="single" w:sz="4" w:space="0" w:color="auto"/>
            </w:tcBorders>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城区</w:t>
            </w:r>
          </w:p>
        </w:tc>
        <w:tc>
          <w:tcPr>
            <w:tcW w:w="901" w:type="pct"/>
            <w:tcBorders>
              <w:top w:val="single" w:sz="4" w:space="0" w:color="auto"/>
            </w:tcBorders>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面积（km²）</w:t>
            </w:r>
          </w:p>
        </w:tc>
        <w:tc>
          <w:tcPr>
            <w:tcW w:w="1601" w:type="pct"/>
            <w:tcBorders>
              <w:top w:val="single" w:sz="4" w:space="0" w:color="auto"/>
            </w:tcBorders>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2020—2025年社会办医疗机构床位数（张）</w:t>
            </w:r>
          </w:p>
        </w:tc>
        <w:tc>
          <w:tcPr>
            <w:tcW w:w="1605" w:type="pct"/>
            <w:tcBorders>
              <w:top w:val="single" w:sz="4" w:space="0" w:color="auto"/>
            </w:tcBorders>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2020—2025年社会办医</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预留面积（亩）</w:t>
            </w:r>
          </w:p>
        </w:tc>
      </w:tr>
      <w:tr w:rsidR="00982E5F">
        <w:trPr>
          <w:jc w:val="center"/>
        </w:trPr>
        <w:tc>
          <w:tcPr>
            <w:tcW w:w="89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青秀区</w:t>
            </w:r>
          </w:p>
        </w:tc>
        <w:tc>
          <w:tcPr>
            <w:tcW w:w="90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872</w:t>
            </w:r>
          </w:p>
        </w:tc>
        <w:tc>
          <w:tcPr>
            <w:tcW w:w="1601"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200</w:t>
            </w:r>
          </w:p>
        </w:tc>
        <w:tc>
          <w:tcPr>
            <w:tcW w:w="1605"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35</w:t>
            </w:r>
          </w:p>
        </w:tc>
      </w:tr>
      <w:tr w:rsidR="00982E5F">
        <w:trPr>
          <w:jc w:val="center"/>
        </w:trPr>
        <w:tc>
          <w:tcPr>
            <w:tcW w:w="89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兴宁区</w:t>
            </w:r>
          </w:p>
        </w:tc>
        <w:tc>
          <w:tcPr>
            <w:tcW w:w="90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751</w:t>
            </w:r>
          </w:p>
        </w:tc>
        <w:tc>
          <w:tcPr>
            <w:tcW w:w="1601"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349</w:t>
            </w:r>
          </w:p>
        </w:tc>
        <w:tc>
          <w:tcPr>
            <w:tcW w:w="1605"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52</w:t>
            </w:r>
          </w:p>
        </w:tc>
      </w:tr>
      <w:tr w:rsidR="00982E5F">
        <w:trPr>
          <w:jc w:val="center"/>
        </w:trPr>
        <w:tc>
          <w:tcPr>
            <w:tcW w:w="89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西乡塘区</w:t>
            </w:r>
          </w:p>
        </w:tc>
        <w:tc>
          <w:tcPr>
            <w:tcW w:w="90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1118</w:t>
            </w:r>
          </w:p>
        </w:tc>
        <w:tc>
          <w:tcPr>
            <w:tcW w:w="1601"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249</w:t>
            </w:r>
          </w:p>
        </w:tc>
        <w:tc>
          <w:tcPr>
            <w:tcW w:w="1605"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38</w:t>
            </w:r>
          </w:p>
        </w:tc>
      </w:tr>
      <w:tr w:rsidR="00982E5F">
        <w:trPr>
          <w:jc w:val="center"/>
        </w:trPr>
        <w:tc>
          <w:tcPr>
            <w:tcW w:w="89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江南区</w:t>
            </w:r>
          </w:p>
        </w:tc>
        <w:tc>
          <w:tcPr>
            <w:tcW w:w="90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1154</w:t>
            </w:r>
          </w:p>
        </w:tc>
        <w:tc>
          <w:tcPr>
            <w:tcW w:w="1601"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700</w:t>
            </w:r>
          </w:p>
        </w:tc>
        <w:tc>
          <w:tcPr>
            <w:tcW w:w="1605"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108</w:t>
            </w:r>
          </w:p>
        </w:tc>
      </w:tr>
      <w:tr w:rsidR="00982E5F">
        <w:trPr>
          <w:jc w:val="center"/>
        </w:trPr>
        <w:tc>
          <w:tcPr>
            <w:tcW w:w="89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良庆区</w:t>
            </w:r>
          </w:p>
        </w:tc>
        <w:tc>
          <w:tcPr>
            <w:tcW w:w="90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1369</w:t>
            </w:r>
          </w:p>
        </w:tc>
        <w:tc>
          <w:tcPr>
            <w:tcW w:w="1601"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349</w:t>
            </w:r>
          </w:p>
        </w:tc>
        <w:tc>
          <w:tcPr>
            <w:tcW w:w="1605"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59</w:t>
            </w:r>
          </w:p>
        </w:tc>
      </w:tr>
      <w:tr w:rsidR="00982E5F">
        <w:trPr>
          <w:jc w:val="center"/>
        </w:trPr>
        <w:tc>
          <w:tcPr>
            <w:tcW w:w="89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邕宁区</w:t>
            </w:r>
          </w:p>
        </w:tc>
        <w:tc>
          <w:tcPr>
            <w:tcW w:w="901"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1295</w:t>
            </w:r>
          </w:p>
        </w:tc>
        <w:tc>
          <w:tcPr>
            <w:tcW w:w="1601"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540</w:t>
            </w:r>
          </w:p>
        </w:tc>
        <w:tc>
          <w:tcPr>
            <w:tcW w:w="1605" w:type="pct"/>
            <w:vAlign w:val="center"/>
          </w:tcPr>
          <w:p w:rsidR="00982E5F" w:rsidRDefault="00BC06AC">
            <w:pPr>
              <w:widowControl/>
              <w:spacing w:line="320" w:lineRule="exact"/>
              <w:jc w:val="center"/>
              <w:rPr>
                <w:rFonts w:ascii="仿宋" w:eastAsia="仿宋" w:hAnsi="仿宋" w:cs="仿宋"/>
                <w:bCs/>
                <w:sz w:val="24"/>
                <w:szCs w:val="24"/>
              </w:rPr>
            </w:pPr>
            <w:r>
              <w:rPr>
                <w:rFonts w:ascii="仿宋" w:eastAsia="仿宋" w:hAnsi="仿宋" w:cs="仿宋" w:hint="eastAsia"/>
                <w:bCs/>
                <w:kern w:val="0"/>
                <w:sz w:val="24"/>
                <w:szCs w:val="24"/>
                <w:lang w:bidi="ar"/>
              </w:rPr>
              <w:t>81</w:t>
            </w:r>
          </w:p>
        </w:tc>
      </w:tr>
      <w:tr w:rsidR="00982E5F">
        <w:trPr>
          <w:jc w:val="center"/>
        </w:trPr>
        <w:tc>
          <w:tcPr>
            <w:tcW w:w="1793" w:type="pct"/>
            <w:gridSpan w:val="2"/>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总数</w:t>
            </w:r>
          </w:p>
        </w:tc>
        <w:tc>
          <w:tcPr>
            <w:tcW w:w="1601"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2387</w:t>
            </w:r>
          </w:p>
        </w:tc>
        <w:tc>
          <w:tcPr>
            <w:tcW w:w="1605"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373</w:t>
            </w:r>
          </w:p>
        </w:tc>
      </w:tr>
    </w:tbl>
    <w:p w:rsidR="00982E5F" w:rsidRDefault="00982E5F">
      <w:pPr>
        <w:pStyle w:val="a0"/>
        <w:spacing w:line="240" w:lineRule="exact"/>
        <w:ind w:firstLineChars="200" w:firstLine="640"/>
        <w:rPr>
          <w:rFonts w:ascii="仿宋_GB2312" w:eastAsia="仿宋_GB2312"/>
          <w:bCs/>
          <w:sz w:val="32"/>
          <w:szCs w:val="32"/>
        </w:rPr>
      </w:pPr>
    </w:p>
    <w:p w:rsidR="00982E5F" w:rsidRDefault="00BC06AC">
      <w:pPr>
        <w:pStyle w:val="2"/>
        <w:spacing w:before="0" w:after="0" w:line="570" w:lineRule="exact"/>
        <w:jc w:val="center"/>
        <w:rPr>
          <w:rFonts w:ascii="楷体" w:eastAsia="楷体" w:hAnsi="楷体" w:cs="楷体"/>
          <w:b w:val="0"/>
        </w:rPr>
      </w:pPr>
      <w:bookmarkStart w:id="154" w:name="_Toc5988"/>
      <w:bookmarkStart w:id="155" w:name="_Toc115100494"/>
      <w:bookmarkStart w:id="156" w:name="_Toc28172"/>
      <w:bookmarkStart w:id="157" w:name="_Toc119681289"/>
      <w:r>
        <w:rPr>
          <w:rFonts w:ascii="楷体" w:eastAsia="楷体" w:hAnsi="楷体" w:cs="楷体" w:hint="eastAsia"/>
          <w:b w:val="0"/>
        </w:rPr>
        <w:t>二、两带：环大明山大健康医疗和管理产业带、百里秀美邕江大健康医疗和管理产业带</w:t>
      </w:r>
      <w:bookmarkEnd w:id="154"/>
      <w:bookmarkEnd w:id="155"/>
      <w:bookmarkEnd w:id="156"/>
      <w:bookmarkEnd w:id="157"/>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环大明山大健康医疗和管理产业带。依托广西大明山国家级自然保护区，以武鸣区、上林县、马山县和宾阳县为环大明山大健康医疗和管理产业带，打造大健康医疗和管理产业发展重要承载地、南宁市大健康医疗和管理产业集聚区。立足现有二级以上医院医疗机构分布，重点引进社会办医医疗机构对公立医院进行补充完善，将大健康医疗和管理产业与“医、养、管、食、游、动”等关联产业培育相融合，深</w:t>
      </w:r>
      <w:r>
        <w:rPr>
          <w:rFonts w:ascii="仿宋_GB2312" w:eastAsia="仿宋_GB2312" w:hint="eastAsia"/>
          <w:bCs/>
          <w:sz w:val="32"/>
          <w:szCs w:val="32"/>
        </w:rPr>
        <w:lastRenderedPageBreak/>
        <w:t>入挖掘山水生态、中医药、绿色食品、休闲农业、体育运动等资源优势，大力发展医养、医旅、医体等融合产业，打造“中国</w:t>
      </w:r>
      <w:r>
        <w:rPr>
          <w:rFonts w:ascii="微软雅黑" w:eastAsia="微软雅黑" w:hAnsi="微软雅黑" w:cs="微软雅黑" w:hint="eastAsia"/>
          <w:bCs/>
          <w:sz w:val="32"/>
          <w:szCs w:val="32"/>
        </w:rPr>
        <w:t>•</w:t>
      </w:r>
      <w:r>
        <w:rPr>
          <w:rFonts w:ascii="仿宋_GB2312" w:eastAsia="仿宋_GB2312" w:hAnsi="仿宋_GB2312" w:cs="仿宋_GB2312" w:hint="eastAsia"/>
          <w:bCs/>
          <w:sz w:val="32"/>
          <w:szCs w:val="32"/>
        </w:rPr>
        <w:t>大明山健康养生之都”</w:t>
      </w:r>
      <w:r>
        <w:rPr>
          <w:rFonts w:ascii="仿宋_GB2312" w:eastAsia="仿宋_GB2312" w:hint="eastAsia"/>
          <w:bCs/>
          <w:sz w:val="32"/>
          <w:szCs w:val="32"/>
        </w:rPr>
        <w:t>医养健康小镇、医体健康小镇等，着力构建环大明山大健康医疗和管理产业带。</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武鸣区。到2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2</w:t>
      </w:r>
      <w:r>
        <w:rPr>
          <w:rFonts w:ascii="仿宋_GB2312" w:eastAsia="仿宋_GB2312" w:hint="eastAsia"/>
          <w:bCs/>
          <w:sz w:val="32"/>
          <w:szCs w:val="32"/>
        </w:rPr>
        <w:t>家社会办专科医院，床位数达到400张，建设预留社会办医面积63亩。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上林县。到2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1</w:t>
      </w:r>
      <w:r>
        <w:rPr>
          <w:rFonts w:ascii="仿宋_GB2312" w:eastAsia="仿宋_GB2312" w:hint="eastAsia"/>
          <w:bCs/>
          <w:sz w:val="32"/>
          <w:szCs w:val="32"/>
        </w:rPr>
        <w:t>家社会办专科医院，床位数达到100张，建设预留社会办医面积18亩。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马山县。到2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1</w:t>
      </w:r>
      <w:r>
        <w:rPr>
          <w:rFonts w:ascii="仿宋_GB2312" w:eastAsia="仿宋_GB2312" w:hint="eastAsia"/>
          <w:bCs/>
          <w:sz w:val="32"/>
          <w:szCs w:val="32"/>
        </w:rPr>
        <w:t>家社会办专科医院，床位数达到100张，建设预留社会办医面积14亩。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宾阳县。到2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1</w:t>
      </w:r>
      <w:r>
        <w:rPr>
          <w:rFonts w:ascii="仿宋_GB2312" w:eastAsia="仿宋_GB2312" w:hint="eastAsia"/>
          <w:bCs/>
          <w:sz w:val="32"/>
          <w:szCs w:val="32"/>
        </w:rPr>
        <w:t>家社会办专科医院，床位数达到100张，建设预留社会办医面积14亩。</w:t>
      </w:r>
    </w:p>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表5  2025年环大明山大健康医疗和管理产业带社会办医建设</w:t>
      </w:r>
    </w:p>
    <w:tbl>
      <w:tblPr>
        <w:tblStyle w:val="ad"/>
        <w:tblW w:w="4999" w:type="pct"/>
        <w:tblLook w:val="04A0" w:firstRow="1" w:lastRow="0" w:firstColumn="1" w:lastColumn="0" w:noHBand="0" w:noVBand="1"/>
      </w:tblPr>
      <w:tblGrid>
        <w:gridCol w:w="1077"/>
        <w:gridCol w:w="673"/>
        <w:gridCol w:w="658"/>
        <w:gridCol w:w="709"/>
        <w:gridCol w:w="658"/>
        <w:gridCol w:w="675"/>
        <w:gridCol w:w="658"/>
        <w:gridCol w:w="692"/>
        <w:gridCol w:w="675"/>
        <w:gridCol w:w="675"/>
        <w:gridCol w:w="675"/>
        <w:gridCol w:w="675"/>
        <w:gridCol w:w="20"/>
      </w:tblGrid>
      <w:tr w:rsidR="00982E5F">
        <w:tc>
          <w:tcPr>
            <w:tcW w:w="632"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县（区）</w:t>
            </w:r>
          </w:p>
        </w:tc>
        <w:tc>
          <w:tcPr>
            <w:tcW w:w="4367" w:type="pct"/>
            <w:gridSpan w:val="12"/>
            <w:vAlign w:val="center"/>
          </w:tcPr>
          <w:p w:rsidR="00982E5F" w:rsidRDefault="00BC06AC">
            <w:pPr>
              <w:pStyle w:val="a0"/>
              <w:spacing w:line="320" w:lineRule="exact"/>
              <w:jc w:val="center"/>
              <w:rPr>
                <w:rFonts w:ascii="仿宋" w:eastAsia="仿宋" w:hAnsi="仿宋" w:cs="仿宋"/>
                <w:bCs/>
                <w:sz w:val="24"/>
                <w:szCs w:val="24"/>
                <w:highlight w:val="yellow"/>
              </w:rPr>
            </w:pPr>
            <w:r>
              <w:rPr>
                <w:rFonts w:ascii="仿宋" w:eastAsia="仿宋" w:hAnsi="仿宋" w:cs="仿宋" w:hint="eastAsia"/>
                <w:bCs/>
                <w:sz w:val="24"/>
                <w:szCs w:val="24"/>
              </w:rPr>
              <w:t>机构分类</w:t>
            </w:r>
          </w:p>
        </w:tc>
      </w:tr>
      <w:tr w:rsidR="00982E5F">
        <w:tc>
          <w:tcPr>
            <w:tcW w:w="632"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95"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综合</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86"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中医</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416"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中西医医院</w:t>
            </w:r>
          </w:p>
        </w:tc>
        <w:tc>
          <w:tcPr>
            <w:tcW w:w="3169" w:type="pct"/>
            <w:gridSpan w:val="9"/>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专科医院</w:t>
            </w:r>
          </w:p>
        </w:tc>
      </w:tr>
      <w:tr w:rsidR="00982E5F">
        <w:trPr>
          <w:gridAfter w:val="1"/>
          <w:wAfter w:w="11" w:type="pct"/>
        </w:trPr>
        <w:tc>
          <w:tcPr>
            <w:tcW w:w="632"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95"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86" w:type="pct"/>
            <w:vMerge/>
            <w:vAlign w:val="center"/>
          </w:tcPr>
          <w:p w:rsidR="00982E5F" w:rsidRDefault="00982E5F">
            <w:pPr>
              <w:pStyle w:val="a0"/>
              <w:spacing w:line="320" w:lineRule="exact"/>
              <w:jc w:val="center"/>
              <w:rPr>
                <w:rFonts w:ascii="仿宋" w:eastAsia="仿宋" w:hAnsi="仿宋" w:cs="仿宋"/>
                <w:bCs/>
                <w:sz w:val="24"/>
                <w:szCs w:val="24"/>
              </w:rPr>
            </w:pPr>
          </w:p>
        </w:tc>
        <w:tc>
          <w:tcPr>
            <w:tcW w:w="416"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口腔</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整形外科医院</w:t>
            </w:r>
          </w:p>
        </w:tc>
        <w:tc>
          <w:tcPr>
            <w:tcW w:w="38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美容</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40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康复</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眼科</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妇产医院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心脑血管专科医院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精神专科医院</w:t>
            </w:r>
          </w:p>
        </w:tc>
      </w:tr>
      <w:tr w:rsidR="00982E5F">
        <w:trPr>
          <w:gridAfter w:val="1"/>
          <w:wAfter w:w="11" w:type="pct"/>
        </w:trPr>
        <w:tc>
          <w:tcPr>
            <w:tcW w:w="632"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武鸣区</w:t>
            </w:r>
          </w:p>
        </w:tc>
        <w:tc>
          <w:tcPr>
            <w:tcW w:w="395"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1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0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r>
      <w:tr w:rsidR="00982E5F">
        <w:trPr>
          <w:gridAfter w:val="1"/>
          <w:wAfter w:w="11" w:type="pct"/>
        </w:trPr>
        <w:tc>
          <w:tcPr>
            <w:tcW w:w="632"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马山县</w:t>
            </w:r>
          </w:p>
        </w:tc>
        <w:tc>
          <w:tcPr>
            <w:tcW w:w="395"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1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0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r>
      <w:tr w:rsidR="00982E5F">
        <w:trPr>
          <w:gridAfter w:val="1"/>
          <w:wAfter w:w="11" w:type="pct"/>
        </w:trPr>
        <w:tc>
          <w:tcPr>
            <w:tcW w:w="632"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上林县</w:t>
            </w:r>
          </w:p>
        </w:tc>
        <w:tc>
          <w:tcPr>
            <w:tcW w:w="395"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1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0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r>
      <w:tr w:rsidR="00982E5F">
        <w:trPr>
          <w:gridAfter w:val="1"/>
          <w:wAfter w:w="11" w:type="pct"/>
        </w:trPr>
        <w:tc>
          <w:tcPr>
            <w:tcW w:w="632"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宾阳县</w:t>
            </w:r>
          </w:p>
        </w:tc>
        <w:tc>
          <w:tcPr>
            <w:tcW w:w="395"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1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0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r>
    </w:tbl>
    <w:p w:rsidR="00982E5F" w:rsidRDefault="00BC06AC">
      <w:pPr>
        <w:pStyle w:val="a0"/>
        <w:spacing w:line="360" w:lineRule="exact"/>
        <w:rPr>
          <w:rFonts w:ascii="仿宋" w:eastAsia="仿宋" w:hAnsi="仿宋" w:cs="仿宋"/>
          <w:bCs/>
          <w:sz w:val="21"/>
          <w:szCs w:val="21"/>
        </w:rPr>
      </w:pPr>
      <w:r>
        <w:rPr>
          <w:rFonts w:ascii="仿宋" w:eastAsia="仿宋" w:hAnsi="仿宋" w:cs="仿宋" w:hint="eastAsia"/>
          <w:bCs/>
          <w:sz w:val="21"/>
          <w:szCs w:val="21"/>
        </w:rPr>
        <w:t>注：“√”为南宁市规划社会办医。</w:t>
      </w:r>
    </w:p>
    <w:p w:rsidR="00982E5F" w:rsidRDefault="00BC06AC">
      <w:pPr>
        <w:pStyle w:val="a0"/>
        <w:spacing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根据环大明山大健康医疗和管理产业带人口规模和辖区面积，到2</w:t>
      </w:r>
      <w:r>
        <w:rPr>
          <w:rFonts w:ascii="仿宋_GB2312" w:eastAsia="仿宋_GB2312"/>
          <w:bCs/>
          <w:sz w:val="32"/>
          <w:szCs w:val="32"/>
        </w:rPr>
        <w:t>025</w:t>
      </w:r>
      <w:r>
        <w:rPr>
          <w:rFonts w:ascii="仿宋_GB2312" w:eastAsia="仿宋_GB2312" w:hint="eastAsia"/>
          <w:bCs/>
          <w:sz w:val="32"/>
          <w:szCs w:val="32"/>
        </w:rPr>
        <w:t>年力争社会办建设医院</w:t>
      </w:r>
      <w:r>
        <w:rPr>
          <w:rFonts w:ascii="仿宋_GB2312" w:eastAsia="仿宋_GB2312"/>
          <w:bCs/>
          <w:sz w:val="32"/>
          <w:szCs w:val="32"/>
        </w:rPr>
        <w:t>5</w:t>
      </w:r>
      <w:r>
        <w:rPr>
          <w:rFonts w:ascii="仿宋_GB2312" w:eastAsia="仿宋_GB2312" w:hint="eastAsia"/>
          <w:bCs/>
          <w:sz w:val="32"/>
          <w:szCs w:val="32"/>
        </w:rPr>
        <w:t>家，社会办医疗</w:t>
      </w:r>
      <w:r>
        <w:rPr>
          <w:rFonts w:ascii="仿宋_GB2312" w:eastAsia="仿宋_GB2312" w:hint="eastAsia"/>
          <w:bCs/>
          <w:sz w:val="32"/>
          <w:szCs w:val="32"/>
        </w:rPr>
        <w:lastRenderedPageBreak/>
        <w:t>机构床位数700张，预留社会办医面积109亩。</w:t>
      </w:r>
    </w:p>
    <w:tbl>
      <w:tblPr>
        <w:tblStyle w:val="ad"/>
        <w:tblW w:w="5000" w:type="pct"/>
        <w:jc w:val="center"/>
        <w:tblLook w:val="04A0" w:firstRow="1" w:lastRow="0" w:firstColumn="1" w:lastColumn="0" w:noHBand="0" w:noVBand="1"/>
      </w:tblPr>
      <w:tblGrid>
        <w:gridCol w:w="1443"/>
        <w:gridCol w:w="1628"/>
        <w:gridCol w:w="2719"/>
        <w:gridCol w:w="2732"/>
      </w:tblGrid>
      <w:tr w:rsidR="00982E5F">
        <w:trPr>
          <w:trHeight w:val="475"/>
          <w:tblHeader/>
          <w:jc w:val="center"/>
        </w:trPr>
        <w:tc>
          <w:tcPr>
            <w:tcW w:w="5000" w:type="pct"/>
            <w:gridSpan w:val="4"/>
            <w:tcBorders>
              <w:top w:val="nil"/>
              <w:left w:val="nil"/>
              <w:bottom w:val="single" w:sz="4" w:space="0" w:color="auto"/>
              <w:right w:val="nil"/>
            </w:tcBorders>
            <w:vAlign w:val="center"/>
          </w:tcPr>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表6 环大明山大健康医疗和管理产业带社会办医床位数及预留面积</w:t>
            </w:r>
          </w:p>
        </w:tc>
      </w:tr>
      <w:tr w:rsidR="00982E5F">
        <w:trPr>
          <w:tblHeader/>
          <w:jc w:val="center"/>
        </w:trPr>
        <w:tc>
          <w:tcPr>
            <w:tcW w:w="847" w:type="pct"/>
            <w:tcBorders>
              <w:top w:val="single" w:sz="4" w:space="0" w:color="auto"/>
            </w:tcBorders>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县（区）</w:t>
            </w:r>
          </w:p>
        </w:tc>
        <w:tc>
          <w:tcPr>
            <w:tcW w:w="955" w:type="pct"/>
            <w:tcBorders>
              <w:top w:val="single" w:sz="4" w:space="0" w:color="auto"/>
            </w:tcBorders>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面积（km²）</w:t>
            </w:r>
          </w:p>
        </w:tc>
        <w:tc>
          <w:tcPr>
            <w:tcW w:w="1595" w:type="pct"/>
            <w:tcBorders>
              <w:top w:val="single" w:sz="4" w:space="0" w:color="auto"/>
            </w:tcBorders>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2020—2025年社会办医疗机构床位数（张）</w:t>
            </w:r>
          </w:p>
        </w:tc>
        <w:tc>
          <w:tcPr>
            <w:tcW w:w="1601" w:type="pct"/>
            <w:tcBorders>
              <w:top w:val="single" w:sz="4" w:space="0" w:color="auto"/>
            </w:tcBorders>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2020—2025年社会办医</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预留面积（亩）</w:t>
            </w:r>
          </w:p>
        </w:tc>
      </w:tr>
      <w:tr w:rsidR="00982E5F">
        <w:trPr>
          <w:jc w:val="center"/>
        </w:trPr>
        <w:tc>
          <w:tcPr>
            <w:tcW w:w="84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武鸣区</w:t>
            </w:r>
          </w:p>
        </w:tc>
        <w:tc>
          <w:tcPr>
            <w:tcW w:w="955"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3367</w:t>
            </w:r>
          </w:p>
        </w:tc>
        <w:tc>
          <w:tcPr>
            <w:tcW w:w="159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400</w:t>
            </w:r>
          </w:p>
        </w:tc>
        <w:tc>
          <w:tcPr>
            <w:tcW w:w="160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63</w:t>
            </w:r>
          </w:p>
        </w:tc>
      </w:tr>
      <w:tr w:rsidR="00982E5F">
        <w:trPr>
          <w:jc w:val="center"/>
        </w:trPr>
        <w:tc>
          <w:tcPr>
            <w:tcW w:w="84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上林县</w:t>
            </w:r>
          </w:p>
        </w:tc>
        <w:tc>
          <w:tcPr>
            <w:tcW w:w="955"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1876</w:t>
            </w:r>
          </w:p>
        </w:tc>
        <w:tc>
          <w:tcPr>
            <w:tcW w:w="159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100</w:t>
            </w:r>
          </w:p>
        </w:tc>
        <w:tc>
          <w:tcPr>
            <w:tcW w:w="160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14</w:t>
            </w:r>
          </w:p>
        </w:tc>
      </w:tr>
      <w:tr w:rsidR="00982E5F">
        <w:trPr>
          <w:jc w:val="center"/>
        </w:trPr>
        <w:tc>
          <w:tcPr>
            <w:tcW w:w="84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马山县</w:t>
            </w:r>
          </w:p>
        </w:tc>
        <w:tc>
          <w:tcPr>
            <w:tcW w:w="955"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2345</w:t>
            </w:r>
          </w:p>
        </w:tc>
        <w:tc>
          <w:tcPr>
            <w:tcW w:w="159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100</w:t>
            </w:r>
          </w:p>
        </w:tc>
        <w:tc>
          <w:tcPr>
            <w:tcW w:w="160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14</w:t>
            </w:r>
          </w:p>
        </w:tc>
      </w:tr>
      <w:tr w:rsidR="00982E5F">
        <w:trPr>
          <w:trHeight w:val="383"/>
          <w:jc w:val="center"/>
        </w:trPr>
        <w:tc>
          <w:tcPr>
            <w:tcW w:w="847"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宾阳县</w:t>
            </w:r>
          </w:p>
        </w:tc>
        <w:tc>
          <w:tcPr>
            <w:tcW w:w="955"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2314</w:t>
            </w:r>
          </w:p>
        </w:tc>
        <w:tc>
          <w:tcPr>
            <w:tcW w:w="1595"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100</w:t>
            </w:r>
          </w:p>
        </w:tc>
        <w:tc>
          <w:tcPr>
            <w:tcW w:w="160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14</w:t>
            </w:r>
          </w:p>
        </w:tc>
      </w:tr>
      <w:tr w:rsidR="00982E5F">
        <w:trPr>
          <w:jc w:val="center"/>
        </w:trPr>
        <w:tc>
          <w:tcPr>
            <w:tcW w:w="1802" w:type="pct"/>
            <w:gridSpan w:val="2"/>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总数</w:t>
            </w:r>
          </w:p>
        </w:tc>
        <w:tc>
          <w:tcPr>
            <w:tcW w:w="1595"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700</w:t>
            </w:r>
          </w:p>
        </w:tc>
        <w:tc>
          <w:tcPr>
            <w:tcW w:w="1601" w:type="pct"/>
            <w:vAlign w:val="center"/>
          </w:tcPr>
          <w:p w:rsidR="00982E5F" w:rsidRDefault="00BC06AC">
            <w:pPr>
              <w:widowControl/>
              <w:spacing w:line="320" w:lineRule="exact"/>
              <w:jc w:val="center"/>
              <w:textAlignment w:val="center"/>
              <w:rPr>
                <w:rFonts w:ascii="仿宋" w:eastAsia="仿宋" w:hAnsi="仿宋" w:cs="仿宋"/>
                <w:bCs/>
                <w:sz w:val="24"/>
                <w:szCs w:val="24"/>
              </w:rPr>
            </w:pPr>
            <w:r>
              <w:rPr>
                <w:rFonts w:ascii="仿宋" w:eastAsia="仿宋" w:hAnsi="仿宋" w:cs="仿宋" w:hint="eastAsia"/>
                <w:bCs/>
                <w:kern w:val="0"/>
                <w:sz w:val="24"/>
                <w:szCs w:val="24"/>
                <w:lang w:bidi="ar"/>
              </w:rPr>
              <w:t>105</w:t>
            </w:r>
          </w:p>
        </w:tc>
      </w:tr>
    </w:tbl>
    <w:p w:rsidR="00982E5F" w:rsidRDefault="00982E5F">
      <w:pPr>
        <w:rPr>
          <w:rFonts w:ascii="仿宋" w:eastAsia="仿宋" w:hAnsi="仿宋" w:cs="仿宋"/>
          <w:bCs/>
        </w:rPr>
      </w:pPr>
    </w:p>
    <w:p w:rsidR="00982E5F" w:rsidRDefault="00BC06AC">
      <w:pPr>
        <w:spacing w:line="560" w:lineRule="exact"/>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百里秀美邕江大健康医疗和管理产业带。依托右江</w:t>
      </w:r>
      <w:r>
        <w:rPr>
          <w:rFonts w:ascii="仿宋_GB2312" w:eastAsia="仿宋_GB2312" w:hAnsi="Times New Roman" w:cs="Times New Roman"/>
          <w:bCs/>
          <w:sz w:val="32"/>
          <w:szCs w:val="32"/>
        </w:rPr>
        <w:t>—</w:t>
      </w:r>
      <w:r>
        <w:rPr>
          <w:rFonts w:ascii="仿宋_GB2312" w:eastAsia="仿宋_GB2312" w:hAnsi="Times New Roman" w:cs="Times New Roman" w:hint="eastAsia"/>
          <w:bCs/>
          <w:sz w:val="32"/>
          <w:szCs w:val="32"/>
        </w:rPr>
        <w:t>郁江流域，自西向东串联隆安县—三江口—主城区—伶俐六景东部产业新城—西津湿地—横州市等节点，整合邕江两岸文化资源、生态资源，丰富旅游业态，提升沿河景观和文旅休闲设施，展示“那”文化、传统古镇文化及茉莉文化等，打造集城市生态文明建设、健康食品生产、休闲观光、文化旅游等功能于一体的百里秀美邕江大健康医疗和管理产业带。</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横州市。到2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3</w:t>
      </w:r>
      <w:r>
        <w:rPr>
          <w:rFonts w:ascii="仿宋_GB2312" w:eastAsia="仿宋_GB2312" w:hint="eastAsia"/>
          <w:bCs/>
          <w:sz w:val="32"/>
          <w:szCs w:val="32"/>
        </w:rPr>
        <w:t>家社会办专科医院，床位数达到350张，建设预留社会办医面积53亩。</w:t>
      </w:r>
    </w:p>
    <w:p w:rsidR="00982E5F" w:rsidRDefault="00BC06AC">
      <w:pPr>
        <w:pStyle w:val="a0"/>
        <w:spacing w:line="560" w:lineRule="exact"/>
        <w:ind w:firstLineChars="200" w:firstLine="640"/>
        <w:rPr>
          <w:rFonts w:ascii="仿宋_GB2312" w:eastAsia="仿宋_GB2312"/>
          <w:bCs/>
          <w:sz w:val="32"/>
          <w:szCs w:val="32"/>
        </w:rPr>
      </w:pPr>
      <w:r>
        <w:rPr>
          <w:rFonts w:ascii="仿宋_GB2312" w:eastAsia="仿宋_GB2312" w:hint="eastAsia"/>
          <w:bCs/>
          <w:sz w:val="32"/>
          <w:szCs w:val="32"/>
        </w:rPr>
        <w:t>隆安县。到2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2</w:t>
      </w:r>
      <w:r>
        <w:rPr>
          <w:rFonts w:ascii="仿宋_GB2312" w:eastAsia="仿宋_GB2312" w:hint="eastAsia"/>
          <w:bCs/>
          <w:sz w:val="32"/>
          <w:szCs w:val="32"/>
        </w:rPr>
        <w:t>家社会办专科医院，床位数达到200张，建设预留社会办医面积32亩。</w:t>
      </w:r>
    </w:p>
    <w:p w:rsidR="00982E5F" w:rsidRDefault="00982E5F">
      <w:pPr>
        <w:pStyle w:val="a0"/>
        <w:spacing w:line="560" w:lineRule="exact"/>
        <w:ind w:firstLineChars="200" w:firstLine="640"/>
        <w:rPr>
          <w:rFonts w:ascii="仿宋_GB2312" w:eastAsia="仿宋_GB2312"/>
          <w:bCs/>
          <w:sz w:val="32"/>
          <w:szCs w:val="32"/>
        </w:rPr>
      </w:pPr>
    </w:p>
    <w:p w:rsidR="00982E5F" w:rsidRDefault="00982E5F">
      <w:pPr>
        <w:pStyle w:val="a0"/>
        <w:spacing w:line="560" w:lineRule="exact"/>
        <w:ind w:firstLineChars="200" w:firstLine="640"/>
        <w:rPr>
          <w:rFonts w:ascii="仿宋_GB2312" w:eastAsia="仿宋_GB2312"/>
          <w:bCs/>
          <w:sz w:val="32"/>
          <w:szCs w:val="32"/>
        </w:rPr>
      </w:pPr>
    </w:p>
    <w:p w:rsidR="00982E5F" w:rsidRDefault="00982E5F">
      <w:pPr>
        <w:pStyle w:val="a0"/>
        <w:spacing w:line="560" w:lineRule="exact"/>
        <w:ind w:firstLineChars="200" w:firstLine="640"/>
        <w:rPr>
          <w:rFonts w:ascii="仿宋_GB2312" w:eastAsia="仿宋_GB2312"/>
          <w:bCs/>
          <w:sz w:val="32"/>
          <w:szCs w:val="32"/>
        </w:rPr>
      </w:pPr>
    </w:p>
    <w:p w:rsidR="00982E5F" w:rsidRDefault="00982E5F">
      <w:pPr>
        <w:pStyle w:val="a0"/>
        <w:spacing w:line="560" w:lineRule="exact"/>
        <w:ind w:firstLineChars="200" w:firstLine="640"/>
        <w:rPr>
          <w:rFonts w:ascii="仿宋_GB2312" w:eastAsia="仿宋_GB2312"/>
          <w:bCs/>
          <w:sz w:val="32"/>
          <w:szCs w:val="32"/>
        </w:rPr>
      </w:pPr>
    </w:p>
    <w:p w:rsidR="00982E5F" w:rsidRDefault="00982E5F">
      <w:pPr>
        <w:pStyle w:val="a0"/>
        <w:spacing w:line="560" w:lineRule="exact"/>
        <w:ind w:firstLineChars="200" w:firstLine="640"/>
        <w:rPr>
          <w:rFonts w:ascii="仿宋_GB2312" w:eastAsia="仿宋_GB2312"/>
          <w:bCs/>
          <w:sz w:val="32"/>
          <w:szCs w:val="32"/>
        </w:rPr>
      </w:pPr>
    </w:p>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表7  2025年百里秀美邕江大健康医疗和管理产业带社会办医建设</w:t>
      </w:r>
    </w:p>
    <w:tbl>
      <w:tblPr>
        <w:tblStyle w:val="ad"/>
        <w:tblW w:w="4998" w:type="pct"/>
        <w:tblLook w:val="04A0" w:firstRow="1" w:lastRow="0" w:firstColumn="1" w:lastColumn="0" w:noHBand="0" w:noVBand="1"/>
      </w:tblPr>
      <w:tblGrid>
        <w:gridCol w:w="936"/>
        <w:gridCol w:w="684"/>
        <w:gridCol w:w="738"/>
        <w:gridCol w:w="751"/>
        <w:gridCol w:w="658"/>
        <w:gridCol w:w="675"/>
        <w:gridCol w:w="658"/>
        <w:gridCol w:w="692"/>
        <w:gridCol w:w="675"/>
        <w:gridCol w:w="675"/>
        <w:gridCol w:w="675"/>
        <w:gridCol w:w="675"/>
        <w:gridCol w:w="27"/>
      </w:tblGrid>
      <w:tr w:rsidR="00982E5F">
        <w:tc>
          <w:tcPr>
            <w:tcW w:w="548"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lastRenderedPageBreak/>
              <w:t>县（市）</w:t>
            </w:r>
          </w:p>
        </w:tc>
        <w:tc>
          <w:tcPr>
            <w:tcW w:w="4451" w:type="pct"/>
            <w:gridSpan w:val="12"/>
            <w:vAlign w:val="center"/>
          </w:tcPr>
          <w:p w:rsidR="00982E5F" w:rsidRDefault="00BC06AC">
            <w:pPr>
              <w:pStyle w:val="a0"/>
              <w:spacing w:line="320" w:lineRule="exact"/>
              <w:jc w:val="center"/>
              <w:rPr>
                <w:rFonts w:ascii="仿宋" w:eastAsia="仿宋" w:hAnsi="仿宋" w:cs="仿宋"/>
                <w:bCs/>
                <w:sz w:val="24"/>
                <w:szCs w:val="24"/>
                <w:highlight w:val="yellow"/>
              </w:rPr>
            </w:pPr>
            <w:r>
              <w:rPr>
                <w:rFonts w:ascii="仿宋" w:eastAsia="仿宋" w:hAnsi="仿宋" w:cs="仿宋" w:hint="eastAsia"/>
                <w:bCs/>
                <w:sz w:val="24"/>
                <w:szCs w:val="24"/>
              </w:rPr>
              <w:t>机构分类</w:t>
            </w:r>
          </w:p>
        </w:tc>
      </w:tr>
      <w:tr w:rsidR="00982E5F">
        <w:tc>
          <w:tcPr>
            <w:tcW w:w="548" w:type="pct"/>
            <w:vMerge/>
            <w:vAlign w:val="center"/>
          </w:tcPr>
          <w:p w:rsidR="00982E5F" w:rsidRDefault="00982E5F">
            <w:pPr>
              <w:pStyle w:val="a0"/>
              <w:spacing w:line="320" w:lineRule="exact"/>
              <w:jc w:val="center"/>
              <w:rPr>
                <w:rFonts w:ascii="仿宋" w:eastAsia="仿宋" w:hAnsi="仿宋" w:cs="仿宋"/>
                <w:bCs/>
                <w:sz w:val="24"/>
                <w:szCs w:val="24"/>
              </w:rPr>
            </w:pPr>
          </w:p>
        </w:tc>
        <w:tc>
          <w:tcPr>
            <w:tcW w:w="402"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综合</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434"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中医</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441" w:type="pct"/>
            <w:vMerge w:val="restar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中西医医院</w:t>
            </w:r>
          </w:p>
        </w:tc>
        <w:tc>
          <w:tcPr>
            <w:tcW w:w="3173" w:type="pct"/>
            <w:gridSpan w:val="9"/>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专科医院</w:t>
            </w:r>
          </w:p>
        </w:tc>
      </w:tr>
      <w:tr w:rsidR="00982E5F">
        <w:trPr>
          <w:gridAfter w:val="1"/>
          <w:wAfter w:w="14" w:type="pct"/>
        </w:trPr>
        <w:tc>
          <w:tcPr>
            <w:tcW w:w="548" w:type="pct"/>
            <w:vMerge/>
            <w:vAlign w:val="center"/>
          </w:tcPr>
          <w:p w:rsidR="00982E5F" w:rsidRDefault="00982E5F">
            <w:pPr>
              <w:pStyle w:val="a0"/>
              <w:spacing w:line="320" w:lineRule="exact"/>
              <w:jc w:val="center"/>
              <w:rPr>
                <w:rFonts w:ascii="仿宋" w:eastAsia="仿宋" w:hAnsi="仿宋" w:cs="仿宋"/>
                <w:bCs/>
                <w:sz w:val="24"/>
                <w:szCs w:val="24"/>
              </w:rPr>
            </w:pPr>
          </w:p>
        </w:tc>
        <w:tc>
          <w:tcPr>
            <w:tcW w:w="402" w:type="pct"/>
            <w:vMerge/>
            <w:vAlign w:val="center"/>
          </w:tcPr>
          <w:p w:rsidR="00982E5F" w:rsidRDefault="00982E5F">
            <w:pPr>
              <w:pStyle w:val="a0"/>
              <w:spacing w:line="320" w:lineRule="exact"/>
              <w:jc w:val="center"/>
              <w:rPr>
                <w:rFonts w:ascii="仿宋" w:eastAsia="仿宋" w:hAnsi="仿宋" w:cs="仿宋"/>
                <w:bCs/>
                <w:sz w:val="24"/>
                <w:szCs w:val="24"/>
              </w:rPr>
            </w:pPr>
          </w:p>
        </w:tc>
        <w:tc>
          <w:tcPr>
            <w:tcW w:w="434" w:type="pct"/>
            <w:vMerge/>
            <w:vAlign w:val="center"/>
          </w:tcPr>
          <w:p w:rsidR="00982E5F" w:rsidRDefault="00982E5F">
            <w:pPr>
              <w:pStyle w:val="a0"/>
              <w:spacing w:line="320" w:lineRule="exact"/>
              <w:jc w:val="center"/>
              <w:rPr>
                <w:rFonts w:ascii="仿宋" w:eastAsia="仿宋" w:hAnsi="仿宋" w:cs="仿宋"/>
                <w:bCs/>
                <w:sz w:val="24"/>
                <w:szCs w:val="24"/>
              </w:rPr>
            </w:pPr>
          </w:p>
        </w:tc>
        <w:tc>
          <w:tcPr>
            <w:tcW w:w="441" w:type="pct"/>
            <w:vMerge/>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口腔</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整形外科医院</w:t>
            </w:r>
          </w:p>
        </w:tc>
        <w:tc>
          <w:tcPr>
            <w:tcW w:w="38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美容</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40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康复</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眼科</w:t>
            </w:r>
          </w:p>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妇产医院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心脑血管专科医院</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精神专科医院</w:t>
            </w:r>
          </w:p>
        </w:tc>
      </w:tr>
      <w:tr w:rsidR="00982E5F">
        <w:trPr>
          <w:gridAfter w:val="1"/>
          <w:wAfter w:w="14" w:type="pct"/>
        </w:trPr>
        <w:tc>
          <w:tcPr>
            <w:tcW w:w="54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横州市</w:t>
            </w:r>
          </w:p>
        </w:tc>
        <w:tc>
          <w:tcPr>
            <w:tcW w:w="402" w:type="pct"/>
            <w:vAlign w:val="center"/>
          </w:tcPr>
          <w:p w:rsidR="00982E5F" w:rsidRDefault="00982E5F">
            <w:pPr>
              <w:pStyle w:val="a0"/>
              <w:spacing w:line="320" w:lineRule="exact"/>
              <w:jc w:val="center"/>
              <w:rPr>
                <w:rFonts w:ascii="仿宋" w:eastAsia="仿宋" w:hAnsi="仿宋" w:cs="仿宋"/>
                <w:bCs/>
                <w:sz w:val="24"/>
                <w:szCs w:val="24"/>
              </w:rPr>
            </w:pPr>
          </w:p>
        </w:tc>
        <w:tc>
          <w:tcPr>
            <w:tcW w:w="434" w:type="pct"/>
            <w:vAlign w:val="center"/>
          </w:tcPr>
          <w:p w:rsidR="00982E5F" w:rsidRDefault="00982E5F">
            <w:pPr>
              <w:pStyle w:val="a0"/>
              <w:spacing w:line="320" w:lineRule="exact"/>
              <w:jc w:val="center"/>
              <w:rPr>
                <w:rFonts w:ascii="仿宋" w:eastAsia="仿宋" w:hAnsi="仿宋" w:cs="仿宋"/>
                <w:bCs/>
                <w:sz w:val="24"/>
                <w:szCs w:val="24"/>
              </w:rPr>
            </w:pPr>
          </w:p>
        </w:tc>
        <w:tc>
          <w:tcPr>
            <w:tcW w:w="441"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0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r>
      <w:tr w:rsidR="00982E5F">
        <w:trPr>
          <w:gridAfter w:val="1"/>
          <w:wAfter w:w="14" w:type="pct"/>
        </w:trPr>
        <w:tc>
          <w:tcPr>
            <w:tcW w:w="548"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隆安县</w:t>
            </w:r>
          </w:p>
        </w:tc>
        <w:tc>
          <w:tcPr>
            <w:tcW w:w="402" w:type="pct"/>
            <w:vAlign w:val="center"/>
          </w:tcPr>
          <w:p w:rsidR="00982E5F" w:rsidRDefault="00982E5F">
            <w:pPr>
              <w:pStyle w:val="a0"/>
              <w:spacing w:line="320" w:lineRule="exact"/>
              <w:jc w:val="center"/>
              <w:rPr>
                <w:rFonts w:ascii="仿宋" w:eastAsia="仿宋" w:hAnsi="仿宋" w:cs="仿宋"/>
                <w:bCs/>
                <w:sz w:val="24"/>
                <w:szCs w:val="24"/>
              </w:rPr>
            </w:pPr>
          </w:p>
        </w:tc>
        <w:tc>
          <w:tcPr>
            <w:tcW w:w="434" w:type="pct"/>
            <w:vAlign w:val="center"/>
          </w:tcPr>
          <w:p w:rsidR="00982E5F" w:rsidRDefault="00982E5F">
            <w:pPr>
              <w:pStyle w:val="a0"/>
              <w:spacing w:line="320" w:lineRule="exact"/>
              <w:jc w:val="center"/>
              <w:rPr>
                <w:rFonts w:ascii="仿宋" w:eastAsia="仿宋" w:hAnsi="仿宋" w:cs="仿宋"/>
                <w:bCs/>
                <w:sz w:val="24"/>
                <w:szCs w:val="24"/>
              </w:rPr>
            </w:pPr>
          </w:p>
        </w:tc>
        <w:tc>
          <w:tcPr>
            <w:tcW w:w="441"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86" w:type="pct"/>
            <w:vAlign w:val="center"/>
          </w:tcPr>
          <w:p w:rsidR="00982E5F" w:rsidRDefault="00982E5F">
            <w:pPr>
              <w:pStyle w:val="a0"/>
              <w:spacing w:line="320" w:lineRule="exact"/>
              <w:jc w:val="center"/>
              <w:rPr>
                <w:rFonts w:ascii="仿宋" w:eastAsia="仿宋" w:hAnsi="仿宋" w:cs="仿宋"/>
                <w:bCs/>
                <w:sz w:val="24"/>
                <w:szCs w:val="24"/>
              </w:rPr>
            </w:pPr>
          </w:p>
        </w:tc>
        <w:tc>
          <w:tcPr>
            <w:tcW w:w="40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982E5F">
            <w:pPr>
              <w:pStyle w:val="a0"/>
              <w:spacing w:line="320" w:lineRule="exact"/>
              <w:jc w:val="center"/>
              <w:rPr>
                <w:rFonts w:ascii="仿宋" w:eastAsia="仿宋" w:hAnsi="仿宋" w:cs="仿宋"/>
                <w:bCs/>
                <w:sz w:val="24"/>
                <w:szCs w:val="24"/>
              </w:rPr>
            </w:pPr>
          </w:p>
        </w:tc>
        <w:tc>
          <w:tcPr>
            <w:tcW w:w="396"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w:t>
            </w:r>
          </w:p>
        </w:tc>
      </w:tr>
    </w:tbl>
    <w:p w:rsidR="00982E5F" w:rsidRDefault="00BC06AC">
      <w:pPr>
        <w:pStyle w:val="a0"/>
        <w:spacing w:line="360" w:lineRule="exact"/>
        <w:rPr>
          <w:rFonts w:ascii="仿宋" w:eastAsia="仿宋" w:hAnsi="仿宋" w:cs="仿宋"/>
          <w:bCs/>
          <w:sz w:val="21"/>
          <w:szCs w:val="21"/>
        </w:rPr>
      </w:pPr>
      <w:r>
        <w:rPr>
          <w:rFonts w:ascii="仿宋" w:eastAsia="仿宋" w:hAnsi="仿宋" w:cs="仿宋" w:hint="eastAsia"/>
          <w:bCs/>
          <w:sz w:val="21"/>
          <w:szCs w:val="21"/>
        </w:rPr>
        <w:t>注：“√”为南宁市规划社会办医。</w:t>
      </w:r>
    </w:p>
    <w:p w:rsidR="00982E5F" w:rsidRDefault="00BC06AC">
      <w:pPr>
        <w:pStyle w:val="a0"/>
        <w:spacing w:line="560" w:lineRule="exact"/>
        <w:ind w:firstLineChars="200" w:firstLine="640"/>
        <w:jc w:val="both"/>
        <w:rPr>
          <w:rFonts w:ascii="仿宋_GB2312" w:eastAsia="仿宋_GB2312"/>
          <w:bCs/>
          <w:sz w:val="32"/>
          <w:szCs w:val="32"/>
        </w:rPr>
      </w:pPr>
      <w:r>
        <w:rPr>
          <w:rFonts w:ascii="仿宋_GB2312" w:eastAsia="仿宋_GB2312" w:hint="eastAsia"/>
          <w:bCs/>
          <w:sz w:val="32"/>
          <w:szCs w:val="32"/>
        </w:rPr>
        <w:t>根据百里秀美邕江大健康医疗和管理产业带人口规模和辖区面积，到2</w:t>
      </w:r>
      <w:r>
        <w:rPr>
          <w:rFonts w:ascii="仿宋_GB2312" w:eastAsia="仿宋_GB2312"/>
          <w:bCs/>
          <w:sz w:val="32"/>
          <w:szCs w:val="32"/>
        </w:rPr>
        <w:t>025</w:t>
      </w:r>
      <w:r>
        <w:rPr>
          <w:rFonts w:ascii="仿宋_GB2312" w:eastAsia="仿宋_GB2312" w:hint="eastAsia"/>
          <w:bCs/>
          <w:sz w:val="32"/>
          <w:szCs w:val="32"/>
        </w:rPr>
        <w:t>年力争建设</w:t>
      </w:r>
      <w:r>
        <w:rPr>
          <w:rFonts w:ascii="仿宋_GB2312" w:eastAsia="仿宋_GB2312"/>
          <w:bCs/>
          <w:sz w:val="32"/>
          <w:szCs w:val="32"/>
        </w:rPr>
        <w:t>5</w:t>
      </w:r>
      <w:r>
        <w:rPr>
          <w:rFonts w:ascii="仿宋_GB2312" w:eastAsia="仿宋_GB2312" w:hint="eastAsia"/>
          <w:bCs/>
          <w:sz w:val="32"/>
          <w:szCs w:val="32"/>
        </w:rPr>
        <w:t>家社会办专科医院，社会办医疗机构床位数550张，预留社会办医面积85亩。</w:t>
      </w:r>
    </w:p>
    <w:tbl>
      <w:tblPr>
        <w:tblStyle w:val="ad"/>
        <w:tblW w:w="5000" w:type="pct"/>
        <w:jc w:val="center"/>
        <w:tblLook w:val="04A0" w:firstRow="1" w:lastRow="0" w:firstColumn="1" w:lastColumn="0" w:noHBand="0" w:noVBand="1"/>
      </w:tblPr>
      <w:tblGrid>
        <w:gridCol w:w="1686"/>
        <w:gridCol w:w="1600"/>
        <w:gridCol w:w="2567"/>
        <w:gridCol w:w="2669"/>
      </w:tblGrid>
      <w:tr w:rsidR="00982E5F">
        <w:trPr>
          <w:jc w:val="center"/>
        </w:trPr>
        <w:tc>
          <w:tcPr>
            <w:tcW w:w="5000" w:type="pct"/>
            <w:gridSpan w:val="4"/>
            <w:tcBorders>
              <w:top w:val="nil"/>
              <w:left w:val="nil"/>
              <w:bottom w:val="single" w:sz="4" w:space="0" w:color="auto"/>
              <w:right w:val="nil"/>
            </w:tcBorders>
            <w:vAlign w:val="center"/>
          </w:tcPr>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表8  百里秀美邕江大健康医疗和管理产业带社会办医</w:t>
            </w:r>
          </w:p>
          <w:p w:rsidR="00982E5F" w:rsidRDefault="00BC06AC" w:rsidP="001E1011">
            <w:pPr>
              <w:pStyle w:val="a0"/>
              <w:spacing w:beforeLines="25" w:before="78" w:afterLines="25" w:after="78" w:line="560" w:lineRule="exact"/>
              <w:jc w:val="center"/>
              <w:rPr>
                <w:rFonts w:ascii="仿宋" w:eastAsia="仿宋" w:hAnsi="仿宋" w:cs="仿宋"/>
                <w:bCs/>
                <w:sz w:val="21"/>
                <w:szCs w:val="21"/>
              </w:rPr>
            </w:pPr>
            <w:r>
              <w:rPr>
                <w:rFonts w:ascii="黑体" w:eastAsia="黑体" w:hAnsi="黑体" w:cs="黑体" w:hint="eastAsia"/>
                <w:bCs/>
                <w:sz w:val="28"/>
                <w:szCs w:val="28"/>
              </w:rPr>
              <w:t>床位数及预留面积</w:t>
            </w:r>
          </w:p>
        </w:tc>
      </w:tr>
      <w:tr w:rsidR="00982E5F">
        <w:trPr>
          <w:jc w:val="center"/>
        </w:trPr>
        <w:tc>
          <w:tcPr>
            <w:tcW w:w="989" w:type="pct"/>
            <w:tcBorders>
              <w:top w:val="single" w:sz="4" w:space="0" w:color="auto"/>
            </w:tcBorders>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县（市）</w:t>
            </w:r>
          </w:p>
        </w:tc>
        <w:tc>
          <w:tcPr>
            <w:tcW w:w="938" w:type="pct"/>
            <w:tcBorders>
              <w:top w:val="single" w:sz="4" w:space="0" w:color="auto"/>
            </w:tcBorders>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面积（km²）</w:t>
            </w:r>
          </w:p>
        </w:tc>
        <w:tc>
          <w:tcPr>
            <w:tcW w:w="1506" w:type="pct"/>
            <w:tcBorders>
              <w:top w:val="single" w:sz="4" w:space="0" w:color="auto"/>
            </w:tcBorders>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2020—2025年社会办医疗机构床位数（张）</w:t>
            </w:r>
          </w:p>
        </w:tc>
        <w:tc>
          <w:tcPr>
            <w:tcW w:w="1564" w:type="pct"/>
            <w:tcBorders>
              <w:top w:val="single" w:sz="4" w:space="0" w:color="auto"/>
            </w:tcBorders>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2020—2025年社会办医预留面积（亩）</w:t>
            </w:r>
          </w:p>
        </w:tc>
      </w:tr>
      <w:tr w:rsidR="00982E5F">
        <w:trPr>
          <w:jc w:val="center"/>
        </w:trPr>
        <w:tc>
          <w:tcPr>
            <w:tcW w:w="989"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横州市</w:t>
            </w:r>
          </w:p>
        </w:tc>
        <w:tc>
          <w:tcPr>
            <w:tcW w:w="93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3464</w:t>
            </w:r>
          </w:p>
        </w:tc>
        <w:tc>
          <w:tcPr>
            <w:tcW w:w="1506"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300</w:t>
            </w:r>
          </w:p>
        </w:tc>
        <w:tc>
          <w:tcPr>
            <w:tcW w:w="1564"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53</w:t>
            </w:r>
          </w:p>
        </w:tc>
      </w:tr>
      <w:tr w:rsidR="00982E5F">
        <w:trPr>
          <w:jc w:val="center"/>
        </w:trPr>
        <w:tc>
          <w:tcPr>
            <w:tcW w:w="989"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隆安县</w:t>
            </w:r>
          </w:p>
        </w:tc>
        <w:tc>
          <w:tcPr>
            <w:tcW w:w="938" w:type="pct"/>
            <w:vAlign w:val="center"/>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2264</w:t>
            </w:r>
          </w:p>
        </w:tc>
        <w:tc>
          <w:tcPr>
            <w:tcW w:w="1506"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200</w:t>
            </w:r>
          </w:p>
        </w:tc>
        <w:tc>
          <w:tcPr>
            <w:tcW w:w="1564"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32</w:t>
            </w:r>
          </w:p>
        </w:tc>
      </w:tr>
      <w:tr w:rsidR="00982E5F">
        <w:trPr>
          <w:jc w:val="center"/>
        </w:trPr>
        <w:tc>
          <w:tcPr>
            <w:tcW w:w="1928" w:type="pct"/>
            <w:gridSpan w:val="2"/>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总数</w:t>
            </w:r>
          </w:p>
        </w:tc>
        <w:tc>
          <w:tcPr>
            <w:tcW w:w="1506"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500</w:t>
            </w:r>
          </w:p>
        </w:tc>
        <w:tc>
          <w:tcPr>
            <w:tcW w:w="1564" w:type="pct"/>
          </w:tcPr>
          <w:p w:rsidR="00982E5F" w:rsidRDefault="00BC06AC">
            <w:pPr>
              <w:pStyle w:val="a0"/>
              <w:spacing w:line="320" w:lineRule="exact"/>
              <w:jc w:val="center"/>
              <w:rPr>
                <w:rFonts w:ascii="仿宋" w:eastAsia="仿宋" w:hAnsi="仿宋" w:cs="仿宋"/>
                <w:bCs/>
                <w:sz w:val="24"/>
                <w:szCs w:val="24"/>
              </w:rPr>
            </w:pPr>
            <w:r>
              <w:rPr>
                <w:rFonts w:ascii="仿宋" w:eastAsia="仿宋" w:hAnsi="仿宋" w:cs="仿宋" w:hint="eastAsia"/>
                <w:bCs/>
                <w:sz w:val="24"/>
                <w:szCs w:val="24"/>
              </w:rPr>
              <w:t>85</w:t>
            </w:r>
          </w:p>
        </w:tc>
      </w:tr>
    </w:tbl>
    <w:p w:rsidR="00982E5F" w:rsidRDefault="00BC06AC">
      <w:pPr>
        <w:pStyle w:val="2"/>
        <w:spacing w:before="0" w:after="0" w:line="570" w:lineRule="exact"/>
        <w:jc w:val="center"/>
        <w:rPr>
          <w:rFonts w:ascii="楷体" w:eastAsia="楷体" w:hAnsi="楷体" w:cs="楷体"/>
          <w:b w:val="0"/>
        </w:rPr>
      </w:pPr>
      <w:bookmarkStart w:id="158" w:name="_Toc1340"/>
      <w:bookmarkStart w:id="159" w:name="_Toc115100495"/>
      <w:bookmarkStart w:id="160" w:name="_Toc119681290"/>
      <w:bookmarkStart w:id="161" w:name="_Toc18713"/>
      <w:r>
        <w:rPr>
          <w:rFonts w:ascii="楷体" w:eastAsia="楷体" w:hAnsi="楷体" w:cs="楷体" w:hint="eastAsia"/>
          <w:b w:val="0"/>
        </w:rPr>
        <w:t>三、两重点：康复医疗、精神专科两大重点产业</w:t>
      </w:r>
      <w:bookmarkEnd w:id="158"/>
      <w:bookmarkEnd w:id="159"/>
      <w:bookmarkEnd w:id="160"/>
      <w:bookmarkEnd w:id="161"/>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根据南宁市死因顺位较高的病例状况，以及到2035年南宁市建成千万人口大都市发展定位来看，“十四五”期间，南宁市亟需重点发展康复医疗、精神专科两大重点产业，进一步补充公立医院短板，加快推进康复医疗、精神专科等专科医院建设。</w:t>
      </w:r>
    </w:p>
    <w:p w:rsidR="00982E5F" w:rsidRDefault="00BC06AC">
      <w:pPr>
        <w:pStyle w:val="3"/>
        <w:spacing w:before="0" w:after="0" w:line="560" w:lineRule="exact"/>
        <w:ind w:firstLineChars="200" w:firstLine="640"/>
        <w:rPr>
          <w:rFonts w:ascii="仿宋" w:eastAsia="仿宋" w:hAnsi="仿宋" w:cs="仿宋"/>
          <w:b w:val="0"/>
        </w:rPr>
      </w:pPr>
      <w:bookmarkStart w:id="162" w:name="_Toc24336"/>
      <w:bookmarkStart w:id="163" w:name="_Toc119681291"/>
      <w:bookmarkStart w:id="164" w:name="_Toc115100496"/>
      <w:bookmarkStart w:id="165" w:name="_Toc31139"/>
      <w:r>
        <w:rPr>
          <w:rFonts w:ascii="仿宋" w:eastAsia="仿宋" w:hAnsi="仿宋" w:cs="仿宋" w:hint="eastAsia"/>
          <w:b w:val="0"/>
        </w:rPr>
        <w:t>（一）康复专科医院布局</w:t>
      </w:r>
      <w:bookmarkEnd w:id="162"/>
      <w:bookmarkEnd w:id="163"/>
      <w:bookmarkEnd w:id="164"/>
      <w:bookmarkEnd w:id="165"/>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依据《南宁市第七次全国人口普查公报》数据，南宁市</w:t>
      </w:r>
      <w:r>
        <w:rPr>
          <w:rFonts w:ascii="仿宋" w:eastAsia="仿宋" w:hAnsi="仿宋" w:cs="仿宋" w:hint="eastAsia"/>
          <w:bCs/>
          <w:sz w:val="32"/>
          <w:szCs w:val="32"/>
        </w:rPr>
        <w:lastRenderedPageBreak/>
        <w:t>全市人口中，60岁及以上人口为1291807人，占14.78%，其中65岁及以上人口为931918人，占10.66%。与2010年第六次全国人口普查相比，60岁及以上人口的比重上升1.92个百分点，65岁及以上人口的比重上升1.76个百分点。从年龄构成来看，老龄人口比重提高，老龄化进程加快。</w:t>
      </w:r>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从南宁市死因顺位病例来看，心脑血管疾病排在首位，心脑血管疾病发病率高、致残率高、死亡率高、复发率高，并发症多致残率较高，亟需规划建设康复专科医院，预留诊疗科目设置和大型医用设备配置空间，支持发展专业性医院管理集团。探索健康管理、老年护理、康复指导、心理关怀等为一体的服务模式，多方位满足病患的身心健康需求。鼓励社会力量举办医养结合机构以及老年病、康复、老年护理等专业医疗机构，在执业科目审批、床位设置等方面予以优先落实。支持社会办医疗机构与社区养老机构、周边养老院、乡镇敬老院的合作，建立区域性医养护联合体，推动健康管理服务延伸至社区、家庭，为老年人提供医养护一体化服务。</w:t>
      </w:r>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从老龄化进程加快来看，中心城区是老龄人群集聚的重点区域，围绕南宁城市15分钟医疗服务圈布局康复专科医院。到2025年，大力引进康复专科医院，兴宁区、西乡塘区、江南区、邕宁区、武鸣区、横州市、隆安县、宾阳县各规划布局1家康复专科医院，规划社会办医疗机构床位数1350张，预留用地面积190亩。</w:t>
      </w:r>
    </w:p>
    <w:p w:rsidR="00982E5F" w:rsidRDefault="00BC06AC">
      <w:pPr>
        <w:pStyle w:val="3"/>
        <w:spacing w:before="0" w:after="0" w:line="560" w:lineRule="exact"/>
        <w:ind w:firstLineChars="200" w:firstLine="640"/>
        <w:rPr>
          <w:rFonts w:ascii="仿宋" w:eastAsia="仿宋" w:hAnsi="仿宋" w:cs="仿宋"/>
          <w:b w:val="0"/>
        </w:rPr>
      </w:pPr>
      <w:bookmarkStart w:id="166" w:name="_Toc115100497"/>
      <w:bookmarkStart w:id="167" w:name="_Toc119681292"/>
      <w:bookmarkStart w:id="168" w:name="_Toc14071"/>
      <w:bookmarkStart w:id="169" w:name="_Toc24984"/>
      <w:r>
        <w:rPr>
          <w:rFonts w:ascii="仿宋" w:eastAsia="仿宋" w:hAnsi="仿宋" w:cs="仿宋" w:hint="eastAsia"/>
          <w:b w:val="0"/>
        </w:rPr>
        <w:t>（二）精神专科医院布局</w:t>
      </w:r>
      <w:bookmarkEnd w:id="166"/>
      <w:bookmarkEnd w:id="167"/>
      <w:bookmarkEnd w:id="168"/>
      <w:bookmarkEnd w:id="169"/>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当前南宁市精神病二级、三级等级医院共有12家，床</w:t>
      </w:r>
      <w:r>
        <w:rPr>
          <w:rFonts w:ascii="仿宋" w:eastAsia="仿宋" w:hAnsi="仿宋" w:cs="仿宋" w:hint="eastAsia"/>
          <w:bCs/>
          <w:sz w:val="32"/>
          <w:szCs w:val="32"/>
        </w:rPr>
        <w:lastRenderedPageBreak/>
        <w:t>位数1459张，根据《南宁市国土空间总体规划（2021-2035年）草案公示》，到2035年南宁市建成千万人口大都市。从精神病发病率来看，每千万人口中有50万例精神病患者，南宁市亟需引进大型精神专科医院。</w:t>
      </w:r>
    </w:p>
    <w:p w:rsidR="00982E5F" w:rsidRDefault="00BC06AC">
      <w:pPr>
        <w:pStyle w:val="a0"/>
        <w:spacing w:line="560" w:lineRule="exact"/>
        <w:ind w:firstLineChars="200" w:firstLine="640"/>
        <w:rPr>
          <w:rFonts w:ascii="仿宋_GB2312" w:eastAsia="仿宋_GB2312"/>
          <w:bCs/>
          <w:sz w:val="32"/>
          <w:szCs w:val="32"/>
        </w:rPr>
      </w:pPr>
      <w:r>
        <w:rPr>
          <w:rFonts w:ascii="仿宋" w:eastAsia="仿宋" w:hAnsi="仿宋" w:cs="仿宋" w:hint="eastAsia"/>
          <w:bCs/>
          <w:sz w:val="32"/>
          <w:szCs w:val="32"/>
        </w:rPr>
        <w:t>统筹考虑未来城市发展方向和现有人群集聚分布，精神专科医院适宜布局较偏的区域，且距离农村30分钟。到2025年，精神专科医院规划建设要错位发展，辐射周边县域。青秀区、江南区、良庆区、武鸣区、上林县、横州市、隆安县各规划布局1家二级精神专科医院，规划社会办医疗机构床位数1100张，预留用地面积193亩。</w:t>
      </w:r>
    </w:p>
    <w:p w:rsidR="00982E5F" w:rsidRDefault="00982E5F">
      <w:pPr>
        <w:pStyle w:val="a0"/>
        <w:spacing w:line="560" w:lineRule="exact"/>
        <w:ind w:firstLineChars="200" w:firstLine="640"/>
        <w:rPr>
          <w:rFonts w:ascii="仿宋_GB2312" w:eastAsia="仿宋_GB2312"/>
          <w:bCs/>
          <w:sz w:val="32"/>
          <w:szCs w:val="32"/>
        </w:rPr>
        <w:sectPr w:rsidR="00982E5F">
          <w:pgSz w:w="11906" w:h="16838"/>
          <w:pgMar w:top="1440" w:right="1800" w:bottom="1440" w:left="1800" w:header="851" w:footer="992" w:gutter="0"/>
          <w:cols w:space="425"/>
          <w:docGrid w:type="lines" w:linePitch="312"/>
        </w:sectPr>
      </w:pPr>
    </w:p>
    <w:p w:rsidR="00982E5F" w:rsidRDefault="00BC06AC">
      <w:pPr>
        <w:pStyle w:val="a0"/>
        <w:jc w:val="center"/>
        <w:rPr>
          <w:rFonts w:ascii="仿宋_GB2312" w:eastAsia="仿宋_GB2312"/>
          <w:bCs/>
          <w:sz w:val="32"/>
          <w:szCs w:val="32"/>
        </w:rPr>
      </w:pPr>
      <w:r>
        <w:rPr>
          <w:bCs/>
          <w:noProof/>
        </w:rPr>
        <w:lastRenderedPageBreak/>
        <w:drawing>
          <wp:inline distT="0" distB="0" distL="114300" distR="114300">
            <wp:extent cx="8483600" cy="4922520"/>
            <wp:effectExtent l="0" t="0" r="1270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8483600" cy="4922520"/>
                    </a:xfrm>
                    <a:prstGeom prst="rect">
                      <a:avLst/>
                    </a:prstGeom>
                    <a:noFill/>
                    <a:ln>
                      <a:noFill/>
                    </a:ln>
                  </pic:spPr>
                </pic:pic>
              </a:graphicData>
            </a:graphic>
          </wp:inline>
        </w:drawing>
      </w:r>
    </w:p>
    <w:p w:rsidR="00982E5F" w:rsidRDefault="00BC06AC">
      <w:pPr>
        <w:pStyle w:val="a0"/>
        <w:spacing w:beforeLines="25" w:before="78" w:afterLines="25" w:after="78"/>
        <w:jc w:val="center"/>
        <w:rPr>
          <w:rFonts w:ascii="幼圆" w:eastAsia="幼圆"/>
          <w:bCs/>
          <w:sz w:val="28"/>
          <w:szCs w:val="28"/>
        </w:rPr>
      </w:pPr>
      <w:r>
        <w:rPr>
          <w:rFonts w:ascii="幼圆" w:eastAsia="幼圆" w:hint="eastAsia"/>
          <w:bCs/>
          <w:sz w:val="28"/>
          <w:szCs w:val="28"/>
        </w:rPr>
        <w:t xml:space="preserve">图2 </w:t>
      </w:r>
      <w:r>
        <w:rPr>
          <w:rFonts w:ascii="幼圆" w:eastAsia="幼圆"/>
          <w:bCs/>
          <w:sz w:val="28"/>
          <w:szCs w:val="28"/>
        </w:rPr>
        <w:t xml:space="preserve"> </w:t>
      </w:r>
      <w:r>
        <w:rPr>
          <w:rFonts w:ascii="幼圆" w:eastAsia="幼圆" w:hint="eastAsia"/>
          <w:bCs/>
          <w:sz w:val="28"/>
          <w:szCs w:val="28"/>
        </w:rPr>
        <w:t>大健康医疗和管理产业“一核两带两重点”产业空间布局图</w:t>
      </w:r>
    </w:p>
    <w:p w:rsidR="00982E5F" w:rsidRDefault="00982E5F">
      <w:pPr>
        <w:pStyle w:val="1"/>
        <w:spacing w:before="120" w:after="120" w:line="240" w:lineRule="auto"/>
        <w:jc w:val="center"/>
        <w:rPr>
          <w:rFonts w:ascii="微软雅黑" w:eastAsia="微软雅黑" w:hAnsi="微软雅黑" w:cs="Times New Roman"/>
          <w:b w:val="0"/>
          <w:sz w:val="36"/>
        </w:rPr>
        <w:sectPr w:rsidR="00982E5F">
          <w:pgSz w:w="16838" w:h="11906" w:orient="landscape"/>
          <w:pgMar w:top="1800" w:right="1440" w:bottom="1800" w:left="1440" w:header="851" w:footer="992" w:gutter="0"/>
          <w:cols w:space="425"/>
          <w:docGrid w:type="lines" w:linePitch="312"/>
        </w:sectPr>
      </w:pP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170" w:name="_Toc5646"/>
      <w:bookmarkStart w:id="171" w:name="_Toc119681293"/>
      <w:bookmarkStart w:id="172" w:name="_Toc31653"/>
      <w:bookmarkStart w:id="173" w:name="_Toc115100498"/>
      <w:r>
        <w:rPr>
          <w:rFonts w:ascii="方正黑体_GBK" w:eastAsia="方正黑体_GBK" w:hAnsi="方正黑体_GBK" w:cs="方正黑体_GBK" w:hint="eastAsia"/>
          <w:b w:val="0"/>
          <w:sz w:val="32"/>
          <w:szCs w:val="32"/>
        </w:rPr>
        <w:lastRenderedPageBreak/>
        <w:t>第五章  重点任务</w:t>
      </w:r>
      <w:bookmarkEnd w:id="170"/>
      <w:bookmarkEnd w:id="171"/>
      <w:bookmarkEnd w:id="172"/>
      <w:bookmarkEnd w:id="173"/>
    </w:p>
    <w:p w:rsidR="00982E5F" w:rsidRDefault="00BC06AC">
      <w:pPr>
        <w:pStyle w:val="2"/>
        <w:spacing w:before="0" w:after="0" w:line="570" w:lineRule="exact"/>
        <w:jc w:val="center"/>
        <w:rPr>
          <w:rFonts w:ascii="楷体" w:eastAsia="楷体" w:hAnsi="楷体" w:cs="楷体"/>
          <w:b w:val="0"/>
        </w:rPr>
      </w:pPr>
      <w:bookmarkStart w:id="174" w:name="_Toc15299"/>
      <w:bookmarkStart w:id="175" w:name="_Toc16259"/>
      <w:bookmarkStart w:id="176" w:name="_Toc115100499"/>
      <w:bookmarkStart w:id="177" w:name="_Toc119681294"/>
      <w:r>
        <w:rPr>
          <w:rFonts w:ascii="楷体" w:eastAsia="楷体" w:hAnsi="楷体" w:cs="楷体" w:hint="eastAsia"/>
          <w:b w:val="0"/>
        </w:rPr>
        <w:t>一、实施企业培育工程</w:t>
      </w:r>
      <w:bookmarkEnd w:id="174"/>
      <w:bookmarkEnd w:id="175"/>
      <w:bookmarkEnd w:id="176"/>
      <w:bookmarkEnd w:id="177"/>
    </w:p>
    <w:p w:rsidR="00982E5F" w:rsidRDefault="00BC06AC">
      <w:pPr>
        <w:pStyle w:val="3"/>
        <w:spacing w:before="0" w:after="0" w:line="560" w:lineRule="exact"/>
        <w:ind w:firstLineChars="200" w:firstLine="640"/>
        <w:rPr>
          <w:rFonts w:ascii="仿宋" w:eastAsia="仿宋" w:hAnsi="仿宋" w:cs="仿宋"/>
          <w:b w:val="0"/>
        </w:rPr>
      </w:pPr>
      <w:bookmarkStart w:id="178" w:name="_Toc115100500"/>
      <w:bookmarkStart w:id="179" w:name="_Toc119681295"/>
      <w:bookmarkStart w:id="180" w:name="_Toc14086"/>
      <w:bookmarkStart w:id="181" w:name="_Toc2857"/>
      <w:r>
        <w:rPr>
          <w:rFonts w:ascii="仿宋" w:eastAsia="仿宋" w:hAnsi="仿宋" w:cs="仿宋" w:hint="eastAsia"/>
          <w:b w:val="0"/>
        </w:rPr>
        <w:t>（一）培育一批优质企业</w:t>
      </w:r>
      <w:bookmarkEnd w:id="178"/>
      <w:bookmarkEnd w:id="179"/>
      <w:bookmarkEnd w:id="180"/>
      <w:bookmarkEnd w:id="181"/>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支持社会办医疗机构引入战略投资者与合作方，加强资本与品牌、管理的协同，探索委托知名品牌医疗实体、医院管理公司、医生集团开展经营管理。筛选一批效益好、技术强、潜力大的大健康医疗和管理产业企业，采取针对性、阶梯式扶持政策，扶持做大做强。加大产业基金对大健康医疗和管理产业企业初创成果的投资力度，积极培育“瞪羚”“独角兽”和“隐形冠军”企业。吸引境外投资者通过合作合资的方式兴办高水平医疗机构，积极引进专业医学人才、先进医疗技术、成熟管理经验和优秀经营模式。依托中国（广西）自由贸易试验区南宁片区建设契机，充分发挥南宁与东盟国家陆海相接的独特优势，打造区域性国际大健康医疗和管理产业高地，积极推进“一带一路”、成渝地区双城经济圈、珠江—西江经济带、粤港澳大湾区医疗产业入邕创办高水平医院，学习粤港澳大湾区专业医学人才、先进医疗技术、成熟管理经验和优秀经营模式。制定出台支持社会力量提供多层次多样化医疗服务的实施意见。</w:t>
      </w:r>
    </w:p>
    <w:p w:rsidR="00982E5F" w:rsidRDefault="00BC06AC">
      <w:pPr>
        <w:pStyle w:val="3"/>
        <w:spacing w:before="0" w:after="0" w:line="560" w:lineRule="exact"/>
        <w:ind w:firstLineChars="200" w:firstLine="640"/>
        <w:rPr>
          <w:rFonts w:ascii="仿宋" w:eastAsia="仿宋" w:hAnsi="仿宋" w:cs="仿宋"/>
          <w:b w:val="0"/>
        </w:rPr>
      </w:pPr>
      <w:bookmarkStart w:id="182" w:name="_Toc115100501"/>
      <w:bookmarkStart w:id="183" w:name="_Toc119681296"/>
      <w:bookmarkStart w:id="184" w:name="_Toc7963"/>
      <w:bookmarkStart w:id="185" w:name="_Toc15258"/>
      <w:r>
        <w:rPr>
          <w:rFonts w:ascii="仿宋" w:eastAsia="仿宋" w:hAnsi="仿宋" w:cs="仿宋" w:hint="eastAsia"/>
          <w:b w:val="0"/>
        </w:rPr>
        <w:t>（二）培育一批新兴业态</w:t>
      </w:r>
      <w:bookmarkEnd w:id="182"/>
      <w:bookmarkEnd w:id="183"/>
      <w:bookmarkEnd w:id="184"/>
      <w:bookmarkEnd w:id="185"/>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快发展一批专业化服务和新兴业态。积极支持社会力量深入专科医疗等细分服务领域，培育专业化优势。在眼科、骨科、口腔、妇产、儿科、肿瘤、精神、医疗美容等专科以及康复、护理、体检等领域，加快打造一批具有竞争力的品</w:t>
      </w:r>
      <w:r>
        <w:rPr>
          <w:rFonts w:ascii="仿宋" w:eastAsia="仿宋" w:hAnsi="仿宋" w:cs="仿宋" w:hint="eastAsia"/>
          <w:bCs/>
          <w:sz w:val="32"/>
          <w:szCs w:val="32"/>
        </w:rPr>
        <w:lastRenderedPageBreak/>
        <w:t>牌服务机构。鼓励投资者建立品牌化专科医疗集团、举办有专科优势的综合医院，培育专业化医疗服务。探索建立和规范社会资本开展非急救转运业务管理制度。支持社会力量发展医疗服务新业态，举办独立设置的医学检验、病理诊断、医学影像、消毒供应、血液净化、安宁疗护等专业医疗机构以及举办名医诊疗中心、名医工作室、名中医馆、医生集团、护士集团、家庭医生集团等医疗健康新业态。</w:t>
      </w:r>
    </w:p>
    <w:p w:rsidR="00982E5F" w:rsidRDefault="00BC06AC">
      <w:pPr>
        <w:pStyle w:val="3"/>
        <w:spacing w:before="0" w:after="0" w:line="560" w:lineRule="exact"/>
        <w:ind w:firstLineChars="200" w:firstLine="640"/>
        <w:rPr>
          <w:rFonts w:ascii="仿宋" w:eastAsia="仿宋" w:hAnsi="仿宋" w:cs="仿宋"/>
          <w:b w:val="0"/>
        </w:rPr>
      </w:pPr>
      <w:bookmarkStart w:id="186" w:name="_Toc119681297"/>
      <w:bookmarkStart w:id="187" w:name="_Toc28108"/>
      <w:r>
        <w:rPr>
          <w:rFonts w:ascii="仿宋" w:eastAsia="仿宋" w:hAnsi="仿宋" w:cs="仿宋" w:hint="eastAsia"/>
          <w:b w:val="0"/>
        </w:rPr>
        <w:t>（三）培育社会办医品牌</w:t>
      </w:r>
      <w:bookmarkEnd w:id="186"/>
      <w:bookmarkEnd w:id="187"/>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鼓励公立医院根据规划需求，与社会力量合作举办新的非营利性医疗机构。鼓励公立医院与社会办医疗机构在人才、管理、技术等方面建立协议合作关系，支持社会力量提供多层次多样化医疗服务。鼓励社会办医疗机构参加医疗联合体建设，支持高水平社会办医机构成为医学院校教学基地，并作为住院医师、专科医师规范化培训基地。支持有条件的高水平社会办医机构举办临床医学院校，促进临床、科研、教学协同发展。符合条件的社会办医机构经认定后可享受高新技术企业或技术先进型服务企业的优惠政策。在产业集聚区设置创新创业型医疗机构孵化器，培育高水平专科医疗机构。鼓励社会办医机构建立与国际接轨的医疗质量管理体系，开展国际标准认证。</w:t>
      </w:r>
    </w:p>
    <w:p w:rsidR="00982E5F" w:rsidRDefault="00BC06AC">
      <w:pPr>
        <w:pStyle w:val="2"/>
        <w:spacing w:before="0" w:after="0" w:line="570" w:lineRule="exact"/>
        <w:jc w:val="center"/>
        <w:rPr>
          <w:rFonts w:ascii="楷体" w:eastAsia="楷体" w:hAnsi="楷体" w:cs="楷体"/>
          <w:b w:val="0"/>
        </w:rPr>
      </w:pPr>
      <w:bookmarkStart w:id="188" w:name="_Toc29491"/>
      <w:bookmarkStart w:id="189" w:name="_Toc119681298"/>
      <w:bookmarkStart w:id="190" w:name="_Toc21397"/>
      <w:bookmarkStart w:id="191" w:name="_Toc115100502"/>
      <w:r>
        <w:rPr>
          <w:rFonts w:ascii="楷体" w:eastAsia="楷体" w:hAnsi="楷体" w:cs="楷体" w:hint="eastAsia"/>
          <w:b w:val="0"/>
        </w:rPr>
        <w:t>二、实施平台建设工程</w:t>
      </w:r>
      <w:bookmarkEnd w:id="188"/>
      <w:bookmarkEnd w:id="189"/>
      <w:bookmarkEnd w:id="190"/>
      <w:bookmarkEnd w:id="191"/>
    </w:p>
    <w:p w:rsidR="00982E5F" w:rsidRDefault="00BC06AC">
      <w:pPr>
        <w:pStyle w:val="3"/>
        <w:spacing w:before="0" w:after="0" w:line="560" w:lineRule="exact"/>
        <w:ind w:firstLineChars="200" w:firstLine="640"/>
        <w:rPr>
          <w:rFonts w:ascii="仿宋" w:eastAsia="仿宋" w:hAnsi="仿宋" w:cs="仿宋"/>
          <w:b w:val="0"/>
        </w:rPr>
      </w:pPr>
      <w:bookmarkStart w:id="192" w:name="_Toc17429"/>
      <w:bookmarkStart w:id="193" w:name="_Toc119681299"/>
      <w:bookmarkStart w:id="194" w:name="_Toc6215"/>
      <w:bookmarkStart w:id="195" w:name="_Toc115100503"/>
      <w:r>
        <w:rPr>
          <w:rFonts w:ascii="仿宋" w:eastAsia="仿宋" w:hAnsi="仿宋" w:cs="仿宋" w:hint="eastAsia"/>
          <w:b w:val="0"/>
        </w:rPr>
        <w:t>（一）建设产业集聚平台</w:t>
      </w:r>
      <w:bookmarkEnd w:id="192"/>
      <w:bookmarkEnd w:id="193"/>
      <w:bookmarkEnd w:id="194"/>
      <w:bookmarkEnd w:id="195"/>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依托中国—东盟博览会平台，构建公共医学知识库、医学影像云、健康医疗大数据共享开放等公共服务平台；有序</w:t>
      </w:r>
      <w:r>
        <w:rPr>
          <w:rFonts w:ascii="仿宋" w:eastAsia="仿宋" w:hAnsi="仿宋" w:cs="仿宋" w:hint="eastAsia"/>
          <w:bCs/>
          <w:sz w:val="32"/>
          <w:szCs w:val="32"/>
        </w:rPr>
        <w:lastRenderedPageBreak/>
        <w:t>引导社会资本参与建设远程影像、心电、病理、检验等网络中心；培育和孵化健康医疗大数据新业态、新模式。以“医保大数据服务平台”为切入点，构建医保、医疗、医药“三医联动”整合平台，促进三医联动“大健康服务及协作体系”建设。加强“点对点”对接，指导前海人寿南宁医院、华润广西水电医院以国际化、特色化、高质量发展为标准，以“精准医疗”为重点发展方向，以细胞科技和肿瘤治疗为主要特色，构建医疗产业孵化平台、专业技术服务平台和医学人工智能研发平台，推动健康医疗产业集聚化、特色化、国际化、品牌化、高质量发展，打造立足南宁、覆盖广西、辐射中南、面向东盟的精准医疗产业集聚区。</w:t>
      </w:r>
    </w:p>
    <w:p w:rsidR="00982E5F" w:rsidRDefault="00BC06AC">
      <w:pPr>
        <w:pStyle w:val="3"/>
        <w:spacing w:before="0" w:after="0" w:line="560" w:lineRule="exact"/>
        <w:ind w:firstLineChars="200" w:firstLine="640"/>
        <w:rPr>
          <w:rFonts w:ascii="仿宋" w:eastAsia="仿宋" w:hAnsi="仿宋" w:cs="仿宋"/>
          <w:b w:val="0"/>
        </w:rPr>
      </w:pPr>
      <w:bookmarkStart w:id="196" w:name="_Toc115100504"/>
      <w:bookmarkStart w:id="197" w:name="_Toc26235"/>
      <w:bookmarkStart w:id="198" w:name="_Toc119681300"/>
      <w:bookmarkStart w:id="199" w:name="_Toc21342"/>
      <w:r>
        <w:rPr>
          <w:rFonts w:ascii="仿宋" w:eastAsia="仿宋" w:hAnsi="仿宋" w:cs="仿宋" w:hint="eastAsia"/>
          <w:b w:val="0"/>
        </w:rPr>
        <w:t>（二）打造重点开放平台</w:t>
      </w:r>
      <w:bookmarkEnd w:id="196"/>
      <w:bookmarkEnd w:id="197"/>
      <w:bookmarkEnd w:id="198"/>
      <w:bookmarkEnd w:id="199"/>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深化医疗卫生领域开放合作，支持粤港澳大湾区医疗服务提供者来邕投资办医、医师来邕行医，配合自治区继续推动两广医疗养老服务一体化和跨省异地就医费用联网直接结算，搭建自治区级大健康产业开放合作、互利共赢的活动平台。继续办好中国—东盟卫生健康合作论坛。充分利用南宁生态环境的独特优势，根据21世纪海上丝绸之路战略和推进南宁大健康医疗和管理产业发展需要，创办和承接层次丰富的专业会展和学术交流活动，搭建多层次大健康医疗和管理产业合作交流平台。加强与粤港澳、长江经济带和“一带一路”沿线区域交流合作，开展“康企入邕”等专题推介活动。</w:t>
      </w:r>
    </w:p>
    <w:p w:rsidR="00982E5F" w:rsidRDefault="00BC06AC">
      <w:pPr>
        <w:pStyle w:val="3"/>
        <w:spacing w:before="0" w:after="0" w:line="560" w:lineRule="exact"/>
        <w:ind w:firstLineChars="200" w:firstLine="640"/>
        <w:rPr>
          <w:rFonts w:ascii="仿宋" w:eastAsia="仿宋" w:hAnsi="仿宋" w:cs="仿宋"/>
          <w:b w:val="0"/>
        </w:rPr>
      </w:pPr>
      <w:bookmarkStart w:id="200" w:name="_Toc27571"/>
      <w:bookmarkStart w:id="201" w:name="_Toc9067"/>
      <w:bookmarkStart w:id="202" w:name="_Toc115100505"/>
      <w:bookmarkStart w:id="203" w:name="_Toc119681301"/>
      <w:r>
        <w:rPr>
          <w:rFonts w:ascii="仿宋" w:eastAsia="仿宋" w:hAnsi="仿宋" w:cs="仿宋" w:hint="eastAsia"/>
          <w:b w:val="0"/>
        </w:rPr>
        <w:lastRenderedPageBreak/>
        <w:t>（三）搭建产业服务平台</w:t>
      </w:r>
      <w:bookmarkEnd w:id="200"/>
      <w:bookmarkEnd w:id="201"/>
      <w:bookmarkEnd w:id="202"/>
      <w:bookmarkEnd w:id="203"/>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支持建设临床医学研究中心、转化医学中心等新型创新平台。支持建设干细胞科研平台、健康衰老研究院、探索建设器官移植科研平台。支持健康医疗领域国际知名科学家与实验室在南宁建立研发机构和平台，搭建前沿医疗孵化器、加速器和众创空间，探索以临床试验为核心业务的创新医疗。建立产学研医供需对接机制，加强创新成果就地转化率。支持有实力的科研机构、高校、大健康产业链上的代表性企业和用户共建基础研究、应用研究、产业化和示范应用等功能一体化的协同创新研究院。鼓励医疗机构尤其是三级甲等医院与健康企业之间合作，形成“示范应用—临床评价—技术创新—辐射推广”的良性循环。鼓励由国内领先的医疗设备企业、医疗IT企业、医疗机构、医学和人工智能研究机构等组建医学人工智能研发和转化平台。</w:t>
      </w:r>
    </w:p>
    <w:p w:rsidR="00982E5F" w:rsidRDefault="00BC06AC">
      <w:pPr>
        <w:pStyle w:val="3"/>
        <w:spacing w:before="0" w:after="0" w:line="560" w:lineRule="exact"/>
        <w:ind w:firstLineChars="200" w:firstLine="640"/>
        <w:rPr>
          <w:rFonts w:ascii="仿宋" w:eastAsia="仿宋" w:hAnsi="仿宋" w:cs="仿宋"/>
          <w:b w:val="0"/>
        </w:rPr>
      </w:pPr>
      <w:bookmarkStart w:id="204" w:name="_Toc32385"/>
      <w:bookmarkStart w:id="205" w:name="_Toc119681302"/>
      <w:bookmarkStart w:id="206" w:name="_Toc115100506"/>
      <w:bookmarkStart w:id="207" w:name="_Toc28281"/>
      <w:r>
        <w:rPr>
          <w:rFonts w:ascii="仿宋" w:eastAsia="仿宋" w:hAnsi="仿宋" w:cs="仿宋" w:hint="eastAsia"/>
          <w:b w:val="0"/>
        </w:rPr>
        <w:t>（四）建设智慧康养平台</w:t>
      </w:r>
      <w:bookmarkEnd w:id="204"/>
      <w:bookmarkEnd w:id="205"/>
      <w:bookmarkEnd w:id="206"/>
      <w:bookmarkEnd w:id="207"/>
    </w:p>
    <w:p w:rsidR="00982E5F" w:rsidRDefault="00BC06AC">
      <w:pPr>
        <w:spacing w:line="56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引入先进技术，通过互联网和大数据提高大健康医疗和管理产业服务水平，建设医疗、养老、养生相融合的智慧大健康医疗和管理产业服务平台，通过云医院、云健康、体医融合等平台将市三甲医院、对口城市医疗专家、县人民医院的专家有效联动，提高基层医疗机构医疗水平，增强县级人民医院专业医疗技术，实现首诊在基层，小病不出乡，大病少出区。提高居民的健康水平，针对家庭、社区、机构、旅居等不同应用环境，发展健康管理类可穿戴设备、便携式健康监测设备、自助式健康检测设备、陪护机器人等，打造智</w:t>
      </w:r>
      <w:r>
        <w:rPr>
          <w:rFonts w:ascii="仿宋" w:eastAsia="仿宋" w:hAnsi="仿宋" w:cs="仿宋" w:hint="eastAsia"/>
          <w:bCs/>
          <w:sz w:val="32"/>
          <w:szCs w:val="32"/>
        </w:rPr>
        <w:lastRenderedPageBreak/>
        <w:t>能大健康医疗养老新生活。</w:t>
      </w:r>
    </w:p>
    <w:p w:rsidR="00982E5F" w:rsidRDefault="00BC06AC">
      <w:pPr>
        <w:pStyle w:val="2"/>
        <w:spacing w:before="0" w:after="0" w:line="570" w:lineRule="exact"/>
        <w:jc w:val="center"/>
        <w:rPr>
          <w:rFonts w:ascii="楷体" w:eastAsia="楷体" w:hAnsi="楷体" w:cs="楷体"/>
          <w:b w:val="0"/>
        </w:rPr>
      </w:pPr>
      <w:bookmarkStart w:id="208" w:name="_Toc119681303"/>
      <w:bookmarkStart w:id="209" w:name="_Toc18665"/>
      <w:bookmarkStart w:id="210" w:name="_Toc115100507"/>
      <w:bookmarkStart w:id="211" w:name="_Toc31963"/>
      <w:r>
        <w:rPr>
          <w:rFonts w:ascii="楷体" w:eastAsia="楷体" w:hAnsi="楷体" w:cs="楷体" w:hint="eastAsia"/>
          <w:b w:val="0"/>
        </w:rPr>
        <w:t>三、实施招商引资工程</w:t>
      </w:r>
      <w:bookmarkEnd w:id="208"/>
      <w:bookmarkEnd w:id="209"/>
      <w:bookmarkEnd w:id="210"/>
      <w:bookmarkEnd w:id="211"/>
    </w:p>
    <w:p w:rsidR="00982E5F" w:rsidRDefault="00BC06AC">
      <w:pPr>
        <w:pStyle w:val="3"/>
        <w:spacing w:before="0" w:after="0" w:line="560" w:lineRule="exact"/>
        <w:ind w:firstLineChars="200" w:firstLine="640"/>
        <w:rPr>
          <w:rFonts w:ascii="仿宋" w:eastAsia="仿宋" w:hAnsi="仿宋" w:cs="仿宋"/>
          <w:b w:val="0"/>
        </w:rPr>
      </w:pPr>
      <w:bookmarkStart w:id="212" w:name="_Toc25260"/>
      <w:bookmarkStart w:id="213" w:name="_Toc115100508"/>
      <w:bookmarkStart w:id="214" w:name="_Toc24450"/>
      <w:bookmarkStart w:id="215" w:name="_Toc119681304"/>
      <w:r>
        <w:rPr>
          <w:rFonts w:ascii="仿宋" w:eastAsia="仿宋" w:hAnsi="仿宋" w:cs="仿宋" w:hint="eastAsia"/>
          <w:b w:val="0"/>
        </w:rPr>
        <w:t>（一）强化项目滚动接续</w:t>
      </w:r>
      <w:bookmarkEnd w:id="212"/>
      <w:bookmarkEnd w:id="213"/>
      <w:bookmarkEnd w:id="214"/>
      <w:bookmarkEnd w:id="215"/>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坚持“政策为大、项目为王、环境为本、创新为要”，围绕“银发浪潮”日益增多的康复、护理、医养结合等方面服务需求，紧抓儿科、精神、妇产、眼科、医疗美容等社会紧缺的医疗卫生服务专业领域需求，大力引进第三方机构在医学检验、血液透析、医学影像等方面需求，强化重大项目对大健康医疗和管理产业发展的引领和支撑作用，以医疗管理和医疗服务等领域为重点，遴选实施一批体量大、关联广、带动强的重大项目建设，加快打造大健康医疗和管理产业全产业链。鼓励社会办医疗机构引进新技术、开展新项目，提供特色诊疗服务。建立项目库和“库长制”工作机制，健全抓大项目招商引资机制，完善重大项目建设推进机制，强化要素保障，强化氛围营造，强化项目督查考核。加大社会办医项目策划生成力度，推动更多项目落地建设，引导更多民间资本投入中小企业对接项目。</w:t>
      </w:r>
    </w:p>
    <w:p w:rsidR="00982E5F" w:rsidRDefault="00BC06AC">
      <w:pPr>
        <w:pStyle w:val="3"/>
        <w:spacing w:before="0" w:after="0" w:line="560" w:lineRule="exact"/>
        <w:ind w:firstLineChars="200" w:firstLine="640"/>
        <w:rPr>
          <w:rFonts w:ascii="仿宋" w:eastAsia="仿宋" w:hAnsi="仿宋" w:cs="仿宋"/>
          <w:b w:val="0"/>
        </w:rPr>
      </w:pPr>
      <w:bookmarkStart w:id="216" w:name="_Toc26144"/>
      <w:bookmarkStart w:id="217" w:name="_Toc119681305"/>
      <w:bookmarkStart w:id="218" w:name="_Toc115100509"/>
      <w:bookmarkStart w:id="219" w:name="_Toc14556"/>
      <w:r>
        <w:rPr>
          <w:rFonts w:ascii="仿宋" w:eastAsia="仿宋" w:hAnsi="仿宋" w:cs="仿宋" w:hint="eastAsia"/>
          <w:b w:val="0"/>
        </w:rPr>
        <w:t>（二）大力引进社会办医</w:t>
      </w:r>
      <w:bookmarkEnd w:id="216"/>
      <w:bookmarkEnd w:id="217"/>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发挥“强首府”战略优势，大力引进粤港澳大湾区、长江经济带等地区企业投资民营医疗机构，重点引进社会力量在医疗资源薄弱区域和康复、护理、精神卫生等短缺领域举办非营利性医疗机构。鼓励与外资合作开办社会办医院，开展国际知名品牌医院兴办合资合作实体试点等。明确社会办医的功能定位，引导社会办医向“专、精、优”方向发展，</w:t>
      </w:r>
      <w:r>
        <w:rPr>
          <w:rFonts w:ascii="仿宋" w:eastAsia="仿宋" w:hAnsi="仿宋" w:cs="仿宋" w:hint="eastAsia"/>
          <w:bCs/>
          <w:sz w:val="32"/>
          <w:szCs w:val="32"/>
        </w:rPr>
        <w:lastRenderedPageBreak/>
        <w:t>重点发展专科医院和高端医疗，与公立医院实现优势互补。</w:t>
      </w:r>
    </w:p>
    <w:p w:rsidR="00982E5F" w:rsidRDefault="00BC06AC">
      <w:pPr>
        <w:pStyle w:val="3"/>
        <w:spacing w:before="0" w:after="0" w:line="560" w:lineRule="exact"/>
        <w:ind w:firstLineChars="200" w:firstLine="640"/>
        <w:rPr>
          <w:rFonts w:ascii="仿宋" w:eastAsia="仿宋" w:hAnsi="仿宋" w:cs="仿宋"/>
          <w:b w:val="0"/>
        </w:rPr>
      </w:pPr>
      <w:bookmarkStart w:id="220" w:name="_Toc30331"/>
      <w:bookmarkStart w:id="221" w:name="_Toc119681306"/>
      <w:r>
        <w:rPr>
          <w:rFonts w:ascii="仿宋" w:eastAsia="仿宋" w:hAnsi="仿宋" w:cs="仿宋" w:hint="eastAsia"/>
          <w:b w:val="0"/>
        </w:rPr>
        <w:t>（三）鼓励社会资本合作项目</w:t>
      </w:r>
      <w:bookmarkEnd w:id="218"/>
      <w:bookmarkEnd w:id="219"/>
      <w:bookmarkEnd w:id="220"/>
      <w:bookmarkEnd w:id="221"/>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大社会办医领域开放力度，为民营企业创造平等竞争机会，鼓励社会资本以特许经营模式与公立医院合作办医，探索创新重点领域投融资机制鼓励社会投资兴办集医疗、科研、教学为一体的、以心血管为特色的强专科、综合医院，调动社会资本积极性。鼓励社会资本采取混合所有制、设立基金、组建联合体等多种方式，参与投资规模较大的PPP项目合作办医，优化医疗供给结构。</w:t>
      </w:r>
    </w:p>
    <w:p w:rsidR="00982E5F" w:rsidRDefault="00BC06AC">
      <w:pPr>
        <w:pStyle w:val="3"/>
        <w:spacing w:before="0" w:after="0" w:line="560" w:lineRule="exact"/>
        <w:ind w:firstLineChars="200" w:firstLine="640"/>
        <w:rPr>
          <w:rFonts w:ascii="仿宋" w:eastAsia="仿宋" w:hAnsi="仿宋" w:cs="仿宋"/>
          <w:b w:val="0"/>
        </w:rPr>
      </w:pPr>
      <w:bookmarkStart w:id="222" w:name="_Toc26833"/>
      <w:bookmarkStart w:id="223" w:name="_Toc115100510"/>
      <w:bookmarkStart w:id="224" w:name="_Toc119681307"/>
      <w:bookmarkStart w:id="225" w:name="_Toc3708"/>
      <w:r>
        <w:rPr>
          <w:rFonts w:ascii="仿宋" w:eastAsia="仿宋" w:hAnsi="仿宋" w:cs="仿宋" w:hint="eastAsia"/>
          <w:b w:val="0"/>
        </w:rPr>
        <w:t>（四）支持补短板项目建设</w:t>
      </w:r>
      <w:bookmarkEnd w:id="222"/>
      <w:bookmarkEnd w:id="223"/>
      <w:bookmarkEnd w:id="224"/>
      <w:bookmarkEnd w:id="225"/>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鼓励高端医疗机构、保险企业与高校合作，合办相关专业或设置定向班培养相关人才。以中国（广西）自由贸易试验区南宁片区为主，重点引进硬件条件好、就诊环境优、医疗技术高的优质医疗企业。建立完善价格形成、调整和补偿机制，创新建设模式、融资模式、运营模式，保障民间资本进入后能够获得合理回报。鼓励国内健康保险龙头企业开发覆盖南宁市高端、对外医疗相关险种，鼓励合规的高端、对外医疗机构与MSH等国际知名医险合作，纳入其全球医险支付支持机构范围。</w:t>
      </w:r>
    </w:p>
    <w:p w:rsidR="00982E5F" w:rsidRDefault="00BC06AC">
      <w:pPr>
        <w:pStyle w:val="2"/>
        <w:spacing w:before="0" w:after="0" w:line="570" w:lineRule="exact"/>
        <w:jc w:val="center"/>
        <w:rPr>
          <w:rFonts w:ascii="楷体" w:eastAsia="楷体" w:hAnsi="楷体" w:cs="楷体"/>
          <w:b w:val="0"/>
        </w:rPr>
      </w:pPr>
      <w:bookmarkStart w:id="226" w:name="_Toc19252"/>
      <w:bookmarkStart w:id="227" w:name="_Toc119681308"/>
      <w:bookmarkStart w:id="228" w:name="_Toc115100512"/>
      <w:bookmarkStart w:id="229" w:name="_Toc24497"/>
      <w:r>
        <w:rPr>
          <w:rFonts w:ascii="楷体" w:eastAsia="楷体" w:hAnsi="楷体" w:cs="楷体" w:hint="eastAsia"/>
          <w:b w:val="0"/>
        </w:rPr>
        <w:t>四、实施医育结合工程</w:t>
      </w:r>
      <w:bookmarkEnd w:id="226"/>
      <w:bookmarkEnd w:id="227"/>
      <w:bookmarkEnd w:id="228"/>
      <w:bookmarkEnd w:id="229"/>
    </w:p>
    <w:p w:rsidR="00982E5F" w:rsidRDefault="00BC06AC">
      <w:pPr>
        <w:pStyle w:val="3"/>
        <w:spacing w:before="0" w:after="0" w:line="560" w:lineRule="exact"/>
        <w:ind w:firstLineChars="200" w:firstLine="640"/>
        <w:rPr>
          <w:rFonts w:ascii="仿宋" w:eastAsia="仿宋" w:hAnsi="仿宋" w:cs="仿宋"/>
          <w:b w:val="0"/>
        </w:rPr>
      </w:pPr>
      <w:bookmarkStart w:id="230" w:name="_Toc119681309"/>
      <w:bookmarkStart w:id="231" w:name="_Toc18872"/>
      <w:bookmarkStart w:id="232" w:name="_Toc115100513"/>
      <w:bookmarkStart w:id="233" w:name="_Toc791"/>
      <w:r>
        <w:rPr>
          <w:rFonts w:ascii="仿宋" w:eastAsia="仿宋" w:hAnsi="仿宋" w:cs="仿宋" w:hint="eastAsia"/>
          <w:b w:val="0"/>
        </w:rPr>
        <w:t>（一）构建多元化婴幼儿照护服务体系</w:t>
      </w:r>
      <w:bookmarkEnd w:id="230"/>
      <w:bookmarkEnd w:id="231"/>
      <w:bookmarkEnd w:id="232"/>
      <w:bookmarkEnd w:id="233"/>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贯彻落实国家、自治区关于3岁以下婴幼儿照护服务实施意见精神，推动实现“幼有所育”目标。鼓励用人单位积极挖掘现有资源，提供福利性婴幼儿照护服务，机关事业单</w:t>
      </w:r>
      <w:r>
        <w:rPr>
          <w:rFonts w:ascii="仿宋" w:eastAsia="仿宋" w:hAnsi="仿宋" w:cs="仿宋" w:hint="eastAsia"/>
          <w:bCs/>
          <w:sz w:val="32"/>
          <w:szCs w:val="32"/>
        </w:rPr>
        <w:lastRenderedPageBreak/>
        <w:t>位发挥工会组织作用，通过自建自营或委托经营的方式举办普惠性婴幼儿照护服务机构，有条件的可向附近居民开放。鼓励通过市场化方式，加强托育机构设施与社区服务中心（站）及社区卫生、文化、体育、养老等设施的功能衔接，采取公办民营、民办公助等多种模式支持新建、改建、扩建、联建一批多功能示范性婴幼儿照护服务机构。充分考虑进城务工人员的婴幼儿照护服务需求，在就业人群密集的产业聚集区域完善婴幼儿照护服务设施。各类婴幼儿照护服务机构可根据家庭需求，提供全日托、半日托、计时托、临时托等多样化的婴幼儿照护服务。支持公益慈善类社会组织参与，建立健全志愿服务项目库。</w:t>
      </w:r>
    </w:p>
    <w:p w:rsidR="00982E5F" w:rsidRDefault="00BC06AC">
      <w:pPr>
        <w:pStyle w:val="3"/>
        <w:spacing w:before="0" w:after="0" w:line="560" w:lineRule="exact"/>
        <w:ind w:firstLineChars="200" w:firstLine="640"/>
        <w:rPr>
          <w:rFonts w:ascii="仿宋" w:eastAsia="仿宋" w:hAnsi="仿宋" w:cs="仿宋"/>
          <w:b w:val="0"/>
        </w:rPr>
      </w:pPr>
      <w:bookmarkStart w:id="234" w:name="_Toc115100514"/>
      <w:bookmarkStart w:id="235" w:name="_Toc119681310"/>
      <w:bookmarkStart w:id="236" w:name="_Toc27590"/>
      <w:bookmarkStart w:id="237" w:name="_Toc13988"/>
      <w:r>
        <w:rPr>
          <w:rFonts w:ascii="仿宋" w:eastAsia="仿宋" w:hAnsi="仿宋" w:cs="仿宋" w:hint="eastAsia"/>
          <w:b w:val="0"/>
        </w:rPr>
        <w:t>（二）建立健全托育机构管理制度规范</w:t>
      </w:r>
      <w:bookmarkEnd w:id="234"/>
      <w:bookmarkEnd w:id="235"/>
      <w:bookmarkEnd w:id="236"/>
      <w:bookmarkEnd w:id="237"/>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建立健全托育机构内部安全管理制度，明确托育机构对婴幼儿安全和健康负主体责任，配备相应的安全设施、器材及安保人员。运用互联网信息化手段对婴幼儿照护服务机构的服务全过程加强监管，建立健全业务指导、督促检查、动态评估、考核奖惩、安全保障和责任追究制度。定期组织对婴幼儿照护服务机构的卫生保健进行检查，预防控制传染病，降低常见病发病率。企业利用新技术、新工艺、新材料和新装备开发与婴幼儿照护相关产品必须经过严格的安全评估和风险监测，切实保障安全性。</w:t>
      </w:r>
    </w:p>
    <w:p w:rsidR="00982E5F" w:rsidRDefault="00BC06AC">
      <w:pPr>
        <w:pStyle w:val="3"/>
        <w:spacing w:before="0" w:after="0" w:line="560" w:lineRule="exact"/>
        <w:ind w:firstLineChars="200" w:firstLine="640"/>
        <w:rPr>
          <w:rFonts w:ascii="仿宋" w:eastAsia="仿宋" w:hAnsi="仿宋" w:cs="仿宋"/>
          <w:b w:val="0"/>
        </w:rPr>
      </w:pPr>
      <w:bookmarkStart w:id="238" w:name="_Toc17827"/>
      <w:bookmarkStart w:id="239" w:name="_Toc12616"/>
      <w:bookmarkStart w:id="240" w:name="_Toc119681311"/>
      <w:bookmarkStart w:id="241" w:name="_Toc115100515"/>
      <w:r>
        <w:rPr>
          <w:rFonts w:ascii="仿宋" w:eastAsia="仿宋" w:hAnsi="仿宋" w:cs="仿宋" w:hint="eastAsia"/>
          <w:b w:val="0"/>
        </w:rPr>
        <w:t>（三）加强婴幼儿照护政策保障体系建设</w:t>
      </w:r>
      <w:bookmarkEnd w:id="238"/>
      <w:bookmarkEnd w:id="239"/>
      <w:bookmarkEnd w:id="240"/>
      <w:bookmarkEnd w:id="241"/>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开展普惠托育服务专项行动，采取以奖代补等多种形式对承担一定指导功能的示范性托育服务机构给予扶持，在预</w:t>
      </w:r>
      <w:r>
        <w:rPr>
          <w:rFonts w:ascii="仿宋" w:eastAsia="仿宋" w:hAnsi="仿宋" w:cs="仿宋" w:hint="eastAsia"/>
          <w:bCs/>
          <w:sz w:val="32"/>
          <w:szCs w:val="32"/>
        </w:rPr>
        <w:lastRenderedPageBreak/>
        <w:t>算内按每个新增托位给予相应补助，通过利用财政预算内资金的示范带动作用，激发社会力量参与积极性，着力增强市婴幼儿照护服务供给。加快人才队伍培养，将照护服务从业人员作为急需紧缺人员纳入培训规划。成立市级婴幼儿照护服务指导机构，制定出台全市婴幼儿照护培训监督指导、0-3岁养育照护工作规范，开展托育机构和儿保人员业务培训及儿童早期发展适宜技术推广等工作。</w:t>
      </w:r>
    </w:p>
    <w:p w:rsidR="00982E5F" w:rsidRDefault="00BC06AC">
      <w:pPr>
        <w:pStyle w:val="3"/>
        <w:spacing w:before="0" w:after="0" w:line="560" w:lineRule="exact"/>
        <w:ind w:firstLineChars="200" w:firstLine="640"/>
        <w:rPr>
          <w:rFonts w:ascii="仿宋" w:eastAsia="仿宋" w:hAnsi="仿宋" w:cs="仿宋"/>
          <w:b w:val="0"/>
        </w:rPr>
      </w:pPr>
      <w:bookmarkStart w:id="242" w:name="_Toc115100516"/>
      <w:bookmarkStart w:id="243" w:name="_Toc10703"/>
      <w:bookmarkStart w:id="244" w:name="_Toc119681312"/>
      <w:bookmarkStart w:id="245" w:name="_Toc14724"/>
      <w:r>
        <w:rPr>
          <w:rFonts w:ascii="仿宋" w:eastAsia="仿宋" w:hAnsi="仿宋" w:cs="仿宋" w:hint="eastAsia"/>
          <w:b w:val="0"/>
        </w:rPr>
        <w:t>（四）加强对家庭婴幼儿照护服务支持</w:t>
      </w:r>
      <w:bookmarkEnd w:id="242"/>
      <w:bookmarkEnd w:id="243"/>
      <w:bookmarkEnd w:id="244"/>
      <w:bookmarkEnd w:id="245"/>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为照护婴幼儿的父母重返工作岗位提供信息服务、就业指导和职业技能培训，落实就业扶持政策。通过入户指导、亲子活动、家长课堂等方式，利用传统媒体以及直播、短视频等新媒体和互联网优势，为家庭提供科学养育、早期发展科普服务，增强家庭科学育儿能力。推进“医育结合”，做实做细婴幼儿家庭医生签约服务，为婴幼儿家庭开展新生儿访视、膳食营养、生长发育、预防接种、安全防护、疾病防控等服务，提升妇幼保健基本公共卫生服务能力。</w:t>
      </w:r>
    </w:p>
    <w:p w:rsidR="00982E5F" w:rsidRDefault="00BC06AC">
      <w:pPr>
        <w:pStyle w:val="3"/>
        <w:spacing w:before="0" w:after="0" w:line="560" w:lineRule="exact"/>
        <w:ind w:firstLineChars="200" w:firstLine="640"/>
        <w:rPr>
          <w:rFonts w:ascii="仿宋" w:eastAsia="仿宋" w:hAnsi="仿宋" w:cs="仿宋"/>
          <w:b w:val="0"/>
        </w:rPr>
      </w:pPr>
      <w:bookmarkStart w:id="246" w:name="_Toc21117"/>
      <w:bookmarkStart w:id="247" w:name="_Toc119681313"/>
      <w:bookmarkStart w:id="248" w:name="_Toc115100517"/>
      <w:bookmarkStart w:id="249" w:name="_Toc20535"/>
      <w:r>
        <w:rPr>
          <w:rFonts w:ascii="仿宋" w:eastAsia="仿宋" w:hAnsi="仿宋" w:cs="仿宋" w:hint="eastAsia"/>
          <w:b w:val="0"/>
        </w:rPr>
        <w:t>（五）推动区域婴幼儿照护服务发展</w:t>
      </w:r>
      <w:bookmarkEnd w:id="246"/>
      <w:bookmarkEnd w:id="247"/>
      <w:bookmarkEnd w:id="248"/>
      <w:bookmarkEnd w:id="249"/>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规划建设与常住人口规模相适应的婴幼儿照护服务设施和配套安全设施，与住宅同步规划验收交付使用。支持社会力量依托社区提供普惠性托育服务场所及亲子活动设施，完善社区婴幼儿照护服务点。加大对农村和贫困地区婴幼儿照护服务的支持力度，鼓励社区开展家庭邻里式婴幼儿照护服务点建设，就近建立帮带照护关系，提供公益性照护服务。</w:t>
      </w:r>
    </w:p>
    <w:p w:rsidR="00982E5F" w:rsidRDefault="00BC06AC">
      <w:pPr>
        <w:pStyle w:val="2"/>
        <w:spacing w:before="0" w:after="0" w:line="570" w:lineRule="exact"/>
        <w:jc w:val="center"/>
        <w:rPr>
          <w:rFonts w:ascii="楷体" w:eastAsia="楷体" w:hAnsi="楷体" w:cs="楷体"/>
          <w:b w:val="0"/>
        </w:rPr>
      </w:pPr>
      <w:bookmarkStart w:id="250" w:name="_Toc8241"/>
      <w:bookmarkStart w:id="251" w:name="_Toc7354"/>
      <w:bookmarkStart w:id="252" w:name="_Toc30267"/>
      <w:bookmarkStart w:id="253" w:name="_Toc24056"/>
      <w:bookmarkStart w:id="254" w:name="_Toc31324"/>
      <w:bookmarkStart w:id="255" w:name="_Toc32466"/>
      <w:bookmarkStart w:id="256" w:name="_Toc4311"/>
      <w:bookmarkStart w:id="257" w:name="_Toc115100518"/>
      <w:bookmarkStart w:id="258" w:name="_Toc119681314"/>
      <w:r>
        <w:rPr>
          <w:rFonts w:ascii="楷体" w:eastAsia="楷体" w:hAnsi="楷体" w:cs="楷体" w:hint="eastAsia"/>
          <w:b w:val="0"/>
        </w:rPr>
        <w:lastRenderedPageBreak/>
        <w:t>五、实施供给</w:t>
      </w:r>
      <w:bookmarkEnd w:id="250"/>
      <w:bookmarkEnd w:id="251"/>
      <w:bookmarkEnd w:id="252"/>
      <w:bookmarkEnd w:id="253"/>
      <w:bookmarkEnd w:id="254"/>
      <w:r>
        <w:rPr>
          <w:rFonts w:ascii="楷体" w:eastAsia="楷体" w:hAnsi="楷体" w:cs="楷体" w:hint="eastAsia"/>
          <w:b w:val="0"/>
        </w:rPr>
        <w:t>提升工程</w:t>
      </w:r>
      <w:bookmarkEnd w:id="255"/>
      <w:bookmarkEnd w:id="256"/>
      <w:bookmarkEnd w:id="257"/>
      <w:bookmarkEnd w:id="258"/>
    </w:p>
    <w:p w:rsidR="00982E5F" w:rsidRDefault="00BC06AC">
      <w:pPr>
        <w:pStyle w:val="3"/>
        <w:spacing w:before="0" w:after="0" w:line="560" w:lineRule="exact"/>
        <w:ind w:firstLineChars="200" w:firstLine="640"/>
        <w:rPr>
          <w:rFonts w:ascii="仿宋" w:eastAsia="仿宋" w:hAnsi="仿宋" w:cs="仿宋"/>
          <w:b w:val="0"/>
        </w:rPr>
      </w:pPr>
      <w:bookmarkStart w:id="259" w:name="_Toc119681315"/>
      <w:bookmarkStart w:id="260" w:name="_Toc21737"/>
      <w:bookmarkStart w:id="261" w:name="_Toc26153"/>
      <w:bookmarkStart w:id="262" w:name="_Toc18432"/>
      <w:bookmarkStart w:id="263" w:name="_Toc115100519"/>
      <w:bookmarkStart w:id="264" w:name="_Toc9509"/>
      <w:bookmarkStart w:id="265" w:name="_Toc805"/>
      <w:bookmarkStart w:id="266" w:name="_Toc699"/>
      <w:bookmarkStart w:id="267" w:name="_Toc12494"/>
      <w:r>
        <w:rPr>
          <w:rFonts w:ascii="仿宋" w:eastAsia="仿宋" w:hAnsi="仿宋" w:cs="仿宋" w:hint="eastAsia"/>
          <w:b w:val="0"/>
        </w:rPr>
        <w:t>（一）持续加强社会办医</w:t>
      </w:r>
      <w:bookmarkEnd w:id="259"/>
      <w:bookmarkEnd w:id="260"/>
      <w:bookmarkEnd w:id="261"/>
      <w:bookmarkEnd w:id="262"/>
      <w:bookmarkEnd w:id="263"/>
    </w:p>
    <w:p w:rsidR="00982E5F" w:rsidRDefault="00BC06A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出台支持社会力量办医配套政策，优先支持社会资本举办非营利性医疗机构，推进非营利性社会办医院和公立医院同等待遇。支持社会力量在眼科、骨科、口腔、妇产、儿科、肿瘤、美容、精神等专科医院以及康复、护理、健康管理等领域发展专业化服务，打造具有竞争力的品牌服务机构。支持社会力量在医疗资源薄弱区域和老年病、临终关怀等短缺专科领域举办非营利性医疗机构，支持国内外知名医疗集团来邕举办高端、特需等医疗机构，加强传染病、精神心理、妇女儿童等专科医院建设。支持社会力量举办独立设置的医学检验、病理诊断、医学影像、消毒供应、血液净化等专业医疗机构。鼓励公立医院与社会力量共同举办非营利性医疗机构。拓宽投融资渠道，加强财政资金在公共卫生、基本医疗服务、临床重点专科建设、人才培养等方面的扶持力度。鼓励公立医疗机构与社会办医疗机构开展合作，推进医师多点执业，促进资源流动和共享。将符合条件的社会办医疗机构纳入医保定点范围实行协议管理。鼓励社会办医疗机构建立方便快捷的就医流程，营造舒适温馨的就医环境。增加规范化健康管理服务供给，发展高危人群健康体检、健康风险评估、健康咨询和健康干预等服务。</w:t>
      </w:r>
    </w:p>
    <w:p w:rsidR="00982E5F" w:rsidRDefault="00982E5F">
      <w:pPr>
        <w:pStyle w:val="a0"/>
        <w:rPr>
          <w:bCs/>
        </w:rPr>
      </w:pPr>
    </w:p>
    <w:tbl>
      <w:tblPr>
        <w:tblStyle w:val="ad"/>
        <w:tblW w:w="0" w:type="auto"/>
        <w:tblLook w:val="04A0" w:firstRow="1" w:lastRow="0" w:firstColumn="1" w:lastColumn="0" w:noHBand="0" w:noVBand="1"/>
      </w:tblPr>
      <w:tblGrid>
        <w:gridCol w:w="8522"/>
      </w:tblGrid>
      <w:tr w:rsidR="00982E5F">
        <w:tc>
          <w:tcPr>
            <w:tcW w:w="8522" w:type="dxa"/>
          </w:tcPr>
          <w:p w:rsidR="00982E5F" w:rsidRDefault="00BC06AC" w:rsidP="001E1011">
            <w:pPr>
              <w:pStyle w:val="a0"/>
              <w:spacing w:beforeLines="25" w:before="78" w:afterLines="25" w:after="78" w:line="560" w:lineRule="exact"/>
              <w:jc w:val="center"/>
              <w:rPr>
                <w:rFonts w:ascii="黑体" w:eastAsia="黑体" w:hAnsi="黑体" w:cs="黑体"/>
                <w:bCs/>
                <w:sz w:val="28"/>
                <w:szCs w:val="28"/>
              </w:rPr>
            </w:pPr>
            <w:r>
              <w:rPr>
                <w:rFonts w:ascii="黑体" w:eastAsia="黑体" w:hAnsi="黑体" w:cs="黑体" w:hint="eastAsia"/>
                <w:bCs/>
                <w:sz w:val="28"/>
                <w:szCs w:val="28"/>
              </w:rPr>
              <w:t>专栏10  社会办医服务建设重点</w:t>
            </w:r>
          </w:p>
        </w:tc>
      </w:tr>
      <w:tr w:rsidR="00982E5F">
        <w:tc>
          <w:tcPr>
            <w:tcW w:w="8522" w:type="dxa"/>
          </w:tcPr>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基层医疗机构/设施建设。以PPP模式为主与社会资本合作，建设运营市县和基层卫生机构，提升服务能力、拓展完善疾病诊疗范围，固强补弱，弥补医疗资源不足。</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lastRenderedPageBreak/>
              <w:t>基层医疗服务质量提升。依照“集团化、整合化”发展理念，引进国内龙头医疗集团，探索、创新合作方式，有效整合南宁市医疗资源，通过集团内部资源调配、人才培养、名医（团队）引入，提升服务质量与效率。</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政企合作。引进有医疗机构运营经验的个人或专业医疗运营机构，通过BTO、BOT等模式进行PPP合作，建设运营社区服务站等基层卫生医疗服务机构，更新完善现有机构的医疗设施设备。</w:t>
            </w:r>
          </w:p>
          <w:p w:rsidR="00982E5F" w:rsidRDefault="00BC06AC">
            <w:pPr>
              <w:pStyle w:val="a0"/>
              <w:spacing w:line="320" w:lineRule="exact"/>
              <w:ind w:firstLineChars="200" w:firstLine="480"/>
              <w:rPr>
                <w:rFonts w:ascii="仿宋" w:eastAsia="仿宋" w:hAnsi="仿宋" w:cs="仿宋"/>
                <w:bCs/>
                <w:sz w:val="24"/>
                <w:szCs w:val="24"/>
              </w:rPr>
            </w:pPr>
            <w:r>
              <w:rPr>
                <w:rFonts w:ascii="仿宋" w:eastAsia="仿宋" w:hAnsi="仿宋" w:cs="仿宋" w:hint="eastAsia"/>
                <w:bCs/>
                <w:sz w:val="24"/>
                <w:szCs w:val="24"/>
              </w:rPr>
              <w:t>全科医生/诊所。放开全科医师创业准入，鼓励有资质的全科医师于基层医疗机构周边自主开设全科诊所；由医疗机构提供影像、医技科室、药房、手术室等硬件设施，全科医师提供诊疗服务。</w:t>
            </w:r>
          </w:p>
          <w:p w:rsidR="00982E5F" w:rsidRDefault="00BC06AC">
            <w:pPr>
              <w:pStyle w:val="a0"/>
              <w:spacing w:line="320" w:lineRule="exact"/>
              <w:ind w:firstLineChars="200" w:firstLine="480"/>
              <w:rPr>
                <w:rFonts w:ascii="仿宋_GB2312" w:eastAsia="仿宋_GB2312"/>
                <w:bCs/>
                <w:sz w:val="32"/>
                <w:szCs w:val="32"/>
              </w:rPr>
            </w:pPr>
            <w:r>
              <w:rPr>
                <w:rFonts w:ascii="仿宋" w:eastAsia="仿宋" w:hAnsi="仿宋" w:cs="仿宋" w:hint="eastAsia"/>
                <w:bCs/>
                <w:sz w:val="24"/>
                <w:szCs w:val="24"/>
              </w:rPr>
              <w:t>人才定向培育。以政府补贴等方式，支持市内医学院、含医科的综合大学等各高校定向招收医科学生；鼓励优质、有实力的企业与高校合作，成立校企联盟等，高校负责学生教育培训、人才输送；企业提供实习、实践教学场地和就业优先等就业保障。</w:t>
            </w:r>
          </w:p>
        </w:tc>
      </w:tr>
    </w:tbl>
    <w:p w:rsidR="00982E5F" w:rsidRDefault="00982E5F">
      <w:pPr>
        <w:pStyle w:val="a0"/>
        <w:rPr>
          <w:bCs/>
        </w:rPr>
      </w:pPr>
    </w:p>
    <w:p w:rsidR="00982E5F" w:rsidRDefault="00BC06AC">
      <w:pPr>
        <w:pStyle w:val="3"/>
        <w:spacing w:before="0" w:after="0" w:line="560" w:lineRule="exact"/>
        <w:ind w:firstLineChars="200" w:firstLine="640"/>
        <w:rPr>
          <w:rFonts w:ascii="仿宋" w:eastAsia="仿宋" w:hAnsi="仿宋" w:cs="仿宋"/>
          <w:b w:val="0"/>
        </w:rPr>
      </w:pPr>
      <w:bookmarkStart w:id="268" w:name="_Toc115100520"/>
      <w:bookmarkStart w:id="269" w:name="_Toc19418"/>
      <w:bookmarkStart w:id="270" w:name="_Toc119681316"/>
      <w:bookmarkStart w:id="271" w:name="_Toc25053"/>
      <w:bookmarkStart w:id="272" w:name="_Toc5840"/>
      <w:r>
        <w:rPr>
          <w:rFonts w:ascii="仿宋" w:eastAsia="仿宋" w:hAnsi="仿宋" w:cs="仿宋" w:hint="eastAsia"/>
          <w:b w:val="0"/>
        </w:rPr>
        <w:t>（二）增加商业保险供给</w:t>
      </w:r>
      <w:bookmarkEnd w:id="268"/>
      <w:bookmarkEnd w:id="269"/>
      <w:bookmarkEnd w:id="270"/>
      <w:bookmarkEnd w:id="271"/>
      <w:bookmarkEnd w:id="272"/>
    </w:p>
    <w:p w:rsidR="00982E5F" w:rsidRDefault="00BC06AC">
      <w:pPr>
        <w:spacing w:line="560" w:lineRule="exact"/>
        <w:ind w:firstLineChars="200" w:firstLine="640"/>
        <w:rPr>
          <w:rFonts w:ascii="仿宋" w:eastAsia="仿宋" w:hAnsi="仿宋" w:cs="仿宋"/>
          <w:bCs/>
          <w:sz w:val="32"/>
          <w:szCs w:val="32"/>
        </w:rPr>
      </w:pPr>
      <w:bookmarkStart w:id="273" w:name="_Toc14828"/>
      <w:r>
        <w:rPr>
          <w:rFonts w:ascii="仿宋" w:eastAsia="仿宋" w:hAnsi="仿宋" w:cs="仿宋" w:hint="eastAsia"/>
          <w:bCs/>
          <w:sz w:val="32"/>
          <w:szCs w:val="32"/>
        </w:rPr>
        <w:t>支持商业保险机构积极参与健康南宁行动，提高保障水平和服务能力，提供包括医疗、疾病、康复、照护、生育等多领域的适应群众需求的综合性健康保险产品服务，发展商业补充保险。推动商业保险、医疗服务、健康管理等融合发展，逐步将医疗新技术、新药品、新器械应用纳入健康保险保障范围，提供与癌症筛查、诊断和治疗相关的产品，服务国家“癌症防治实施方案”。提供与医疗旅游相衔接的健康保险服务。加快发展医疗责任保险、医疗意外保险、商业长期护理保险，研发疫苗接种不良反应补偿保险、老年人疾病保险、医疗保险和意外伤害保险，研发适合居家、社区及机构护理等多样化护理需求的产品。提高健康管理费用在健康保险保费中的列支比例，创新完善健康促进、疾病预防、慢病管理、妇幼保健等健康类服务。支持商业保险机构有序投资设立中西医等医疗机构和康复、照护、医养结合等健康服务机构。大力发展针对婴幼儿托育人群的责任保险、人身保险，鼓励婴幼儿托育机构积极投保校方责任险。鼓励商业保</w:t>
      </w:r>
      <w:r>
        <w:rPr>
          <w:rFonts w:ascii="仿宋" w:eastAsia="仿宋" w:hAnsi="仿宋" w:cs="仿宋" w:hint="eastAsia"/>
          <w:bCs/>
          <w:sz w:val="32"/>
          <w:szCs w:val="32"/>
        </w:rPr>
        <w:lastRenderedPageBreak/>
        <w:t>险机构与社会办医联合开发多样化、个性化健康保险产品。</w:t>
      </w:r>
      <w:bookmarkEnd w:id="273"/>
    </w:p>
    <w:p w:rsidR="00982E5F" w:rsidRDefault="00BC06AC">
      <w:pPr>
        <w:pStyle w:val="3"/>
        <w:spacing w:before="0" w:after="0" w:line="560" w:lineRule="exact"/>
        <w:ind w:firstLineChars="200" w:firstLine="640"/>
        <w:rPr>
          <w:rFonts w:ascii="仿宋" w:eastAsia="仿宋" w:hAnsi="仿宋" w:cs="仿宋"/>
          <w:b w:val="0"/>
        </w:rPr>
      </w:pPr>
      <w:bookmarkStart w:id="274" w:name="_Toc119681317"/>
      <w:bookmarkStart w:id="275" w:name="_Toc5869"/>
      <w:r>
        <w:rPr>
          <w:rFonts w:ascii="仿宋" w:eastAsia="仿宋" w:hAnsi="仿宋" w:cs="仿宋" w:hint="eastAsia"/>
          <w:b w:val="0"/>
        </w:rPr>
        <w:t>（三）建设保险服务平台</w:t>
      </w:r>
      <w:bookmarkEnd w:id="274"/>
      <w:bookmarkEnd w:id="275"/>
    </w:p>
    <w:p w:rsidR="00982E5F" w:rsidRDefault="00BC06AC">
      <w:pPr>
        <w:widowControl/>
        <w:spacing w:line="56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探索设立南宁市大健康和医疗管理产业保险交易中心，依法合理利用商业保险、医疗卫生服务等领域数据资源，建设</w:t>
      </w:r>
      <w:bookmarkStart w:id="276" w:name="_Hlk118390591"/>
      <w:r>
        <w:rPr>
          <w:rFonts w:ascii="仿宋" w:eastAsia="仿宋" w:hAnsi="仿宋" w:cs="仿宋" w:hint="eastAsia"/>
          <w:bCs/>
          <w:kern w:val="0"/>
          <w:sz w:val="32"/>
          <w:szCs w:val="32"/>
        </w:rPr>
        <w:t>南宁市大健康和医疗管理产业</w:t>
      </w:r>
      <w:bookmarkEnd w:id="276"/>
      <w:r>
        <w:rPr>
          <w:rFonts w:ascii="仿宋" w:eastAsia="仿宋" w:hAnsi="仿宋" w:cs="仿宋" w:hint="eastAsia"/>
          <w:bCs/>
          <w:kern w:val="0"/>
          <w:sz w:val="32"/>
          <w:szCs w:val="32"/>
        </w:rPr>
        <w:t>保险发展的枢纽型、功能性平台。依托南宁市大健康和医疗管理产业保险交易中心，建立南宁市大健康和医疗管理产业保险挂牌交易服务平台、保险产品创新平台、核保理赔服务中心和健康管理支撑服务中心，拓展商业大健康和医疗管理产业保险增值服务功能。支持和推动商业保险、医疗服务、健康管理等大健康和医疗管理产业融合发展，促进大健康和医疗管理产业保障体系、服务体系和管理体系转型升级。</w:t>
      </w:r>
    </w:p>
    <w:p w:rsidR="00982E5F" w:rsidRDefault="00BC06AC">
      <w:pPr>
        <w:pStyle w:val="3"/>
        <w:spacing w:before="0" w:after="0" w:line="560" w:lineRule="exact"/>
        <w:ind w:firstLineChars="200" w:firstLine="640"/>
        <w:rPr>
          <w:rFonts w:ascii="仿宋" w:eastAsia="仿宋" w:hAnsi="仿宋" w:cs="仿宋"/>
          <w:b w:val="0"/>
        </w:rPr>
      </w:pPr>
      <w:bookmarkStart w:id="277" w:name="_Toc28087"/>
      <w:bookmarkStart w:id="278" w:name="_Toc119681318"/>
      <w:r>
        <w:rPr>
          <w:rFonts w:ascii="仿宋" w:eastAsia="仿宋" w:hAnsi="仿宋" w:cs="仿宋" w:hint="eastAsia"/>
          <w:b w:val="0"/>
        </w:rPr>
        <w:t>（四）完善保险支持政策</w:t>
      </w:r>
      <w:bookmarkEnd w:id="277"/>
      <w:bookmarkEnd w:id="278"/>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kern w:val="0"/>
          <w:sz w:val="32"/>
          <w:szCs w:val="32"/>
        </w:rPr>
        <w:t>推进商业保险公司与医疗机构之间的数据交流，实现居民医疗费用直接理赔支付。促进商业健康保险与基本医疗保险、民政救助等的衔接，鼓励商业健康保险参与社会医疗保险的经办代办业务，积极参与医保控费。探索发展邕江健康保险业务，提高邕江健康险的公众知晓度和覆盖度。持续推进个人账户购买商业健康保险项目，鼓励研发商业补充性长期护理保险产品。支持医疗机构与商业保险公司开展合作。</w:t>
      </w:r>
    </w:p>
    <w:p w:rsidR="00982E5F" w:rsidRDefault="00BC06AC">
      <w:pPr>
        <w:pStyle w:val="2"/>
        <w:spacing w:before="0" w:after="0" w:line="570" w:lineRule="exact"/>
        <w:jc w:val="center"/>
        <w:rPr>
          <w:rFonts w:ascii="楷体" w:eastAsia="楷体" w:hAnsi="楷体" w:cs="楷体"/>
          <w:b w:val="0"/>
        </w:rPr>
      </w:pPr>
      <w:bookmarkStart w:id="279" w:name="_Toc19863"/>
      <w:bookmarkStart w:id="280" w:name="_Toc17477"/>
      <w:bookmarkStart w:id="281" w:name="_Toc115100521"/>
      <w:bookmarkStart w:id="282" w:name="_Toc119681319"/>
      <w:bookmarkEnd w:id="264"/>
      <w:bookmarkEnd w:id="265"/>
      <w:bookmarkEnd w:id="266"/>
      <w:bookmarkEnd w:id="267"/>
      <w:r>
        <w:rPr>
          <w:rFonts w:ascii="楷体" w:eastAsia="楷体" w:hAnsi="楷体" w:cs="楷体" w:hint="eastAsia"/>
          <w:b w:val="0"/>
        </w:rPr>
        <w:t>六、实施产业融合工程</w:t>
      </w:r>
      <w:bookmarkEnd w:id="279"/>
      <w:bookmarkEnd w:id="280"/>
      <w:bookmarkEnd w:id="281"/>
      <w:bookmarkEnd w:id="282"/>
    </w:p>
    <w:p w:rsidR="00982E5F" w:rsidRDefault="00BC06AC">
      <w:pPr>
        <w:pStyle w:val="3"/>
        <w:spacing w:before="0" w:after="0" w:line="560" w:lineRule="exact"/>
        <w:ind w:firstLineChars="200" w:firstLine="640"/>
        <w:rPr>
          <w:rFonts w:ascii="仿宋" w:eastAsia="仿宋" w:hAnsi="仿宋" w:cs="仿宋"/>
          <w:b w:val="0"/>
        </w:rPr>
      </w:pPr>
      <w:bookmarkStart w:id="283" w:name="_Toc119681320"/>
      <w:bookmarkStart w:id="284" w:name="_Toc25428"/>
      <w:bookmarkStart w:id="285" w:name="_Toc115100522"/>
      <w:bookmarkStart w:id="286" w:name="_Toc28335"/>
      <w:r>
        <w:rPr>
          <w:rFonts w:ascii="仿宋" w:eastAsia="仿宋" w:hAnsi="仿宋" w:cs="仿宋" w:hint="eastAsia"/>
          <w:b w:val="0"/>
        </w:rPr>
        <w:t>（一）推动医疗与医药融合</w:t>
      </w:r>
      <w:bookmarkEnd w:id="283"/>
      <w:bookmarkEnd w:id="284"/>
      <w:bookmarkEnd w:id="285"/>
      <w:bookmarkEnd w:id="286"/>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围绕重大疾病防治和临床诊疗需求，重点发展医用耗材、体外诊断设备及配套试剂、医学影像产品等领域中高端医疗</w:t>
      </w:r>
      <w:r>
        <w:rPr>
          <w:rFonts w:ascii="仿宋" w:eastAsia="仿宋" w:hAnsi="仿宋" w:cs="仿宋" w:hint="eastAsia"/>
          <w:bCs/>
          <w:sz w:val="32"/>
          <w:szCs w:val="32"/>
        </w:rPr>
        <w:lastRenderedPageBreak/>
        <w:t>器械。开发健康促进、健康监测可穿戴设备，生产高品质的家用理疗、按摩、养生保健器械和智能养老监护设备。重点发展以高端仿制药为主的化学仿制药和新型剂型化药改良新药，引进抗体药物、疫苗、重组蛋白药物等领域龙头企业和团队，依托穿心莲、金银花等道地药材资源，支持医疗机构和中药企业采用“订单采购”等方式建设“定制药园”。完善中成药加工、制剂等关键技术，重点发展中药精制饮片，中药配方颗粒、中药饮片标准汤剂等中药饮片产品，积极发展化学仿制药和改良新药，引进抗体药物、疫苗、重组蛋白药物，支持企业开展靶点生物类临床试验。积极引入国内外知名生物医药企业投资设立新药研发服务机构，做大做强凤巢湖生物医药港和临空生物医药园区。</w:t>
      </w:r>
    </w:p>
    <w:p w:rsidR="00982E5F" w:rsidRDefault="00BC06AC">
      <w:pPr>
        <w:pStyle w:val="3"/>
        <w:spacing w:before="0" w:after="0" w:line="560" w:lineRule="exact"/>
        <w:ind w:firstLineChars="200" w:firstLine="640"/>
        <w:rPr>
          <w:rFonts w:ascii="仿宋" w:eastAsia="仿宋" w:hAnsi="仿宋" w:cs="仿宋"/>
          <w:b w:val="0"/>
        </w:rPr>
      </w:pPr>
      <w:bookmarkStart w:id="287" w:name="_Toc16617"/>
      <w:bookmarkStart w:id="288" w:name="_Toc19728"/>
      <w:bookmarkStart w:id="289" w:name="_Toc115100523"/>
      <w:bookmarkStart w:id="290" w:name="_Toc119681321"/>
      <w:r>
        <w:rPr>
          <w:rFonts w:ascii="仿宋" w:eastAsia="仿宋" w:hAnsi="仿宋" w:cs="仿宋" w:hint="eastAsia"/>
          <w:b w:val="0"/>
        </w:rPr>
        <w:t>（二）推动医疗与养老融合</w:t>
      </w:r>
      <w:bookmarkEnd w:id="287"/>
      <w:bookmarkEnd w:id="288"/>
      <w:bookmarkEnd w:id="289"/>
      <w:bookmarkEnd w:id="290"/>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加强部门协作，统筹社会各方面资源，实现医养融合发展。支持社会力量通过市场化运作的方式或政府和社会资本合作（PPP）、特许经营、公建民营、民办公助等模式，开办具有医疗卫生和养老服务资质和能力的老年医院、老年康复专科医院、老年护理院、老年健康管理中心等医养结合机构。对于符合条件的医养结合机构，可按照有关规定享受医疗行业和养老行业的双重政策优惠。养老机构与医疗机构产权证明实行互认。鼓励开发老年健康商业保险。推动老年医学与相关学科的交叉融合发展，提高老年病和失能失智早期发现、诊断、治疗、康复和护理水平。加强康复护理器材设施研发，推广老年人可穿戴健康设备应用，加强老年人群健</w:t>
      </w:r>
      <w:r>
        <w:rPr>
          <w:rFonts w:ascii="仿宋" w:eastAsia="仿宋" w:hAnsi="仿宋" w:cs="仿宋" w:hint="eastAsia"/>
          <w:bCs/>
          <w:sz w:val="32"/>
          <w:szCs w:val="32"/>
        </w:rPr>
        <w:lastRenderedPageBreak/>
        <w:t>康管理。支持社会办医疗机构为老年人家庭提供签约医疗服务，搭建老年人医疗救治转诊绿色通道。支持社会资本进入老年健康产业市场，鼓励社会力量积极兴办老年健康服务机构，提供老年健康服务。积极引导和支持社会服务机构、公益慈善组织和志愿服务组织等各类社会组织开展老年人健康关爱服务活动。</w:t>
      </w:r>
    </w:p>
    <w:p w:rsidR="00982E5F" w:rsidRDefault="00BC06AC">
      <w:pPr>
        <w:pStyle w:val="3"/>
        <w:spacing w:before="0" w:after="0" w:line="560" w:lineRule="exact"/>
        <w:ind w:firstLineChars="200" w:firstLine="640"/>
        <w:rPr>
          <w:rFonts w:ascii="仿宋" w:eastAsia="仿宋" w:hAnsi="仿宋" w:cs="仿宋"/>
          <w:b w:val="0"/>
        </w:rPr>
      </w:pPr>
      <w:bookmarkStart w:id="291" w:name="_Toc115100524"/>
      <w:bookmarkStart w:id="292" w:name="_Toc119681322"/>
      <w:bookmarkStart w:id="293" w:name="_Toc17302"/>
      <w:bookmarkStart w:id="294" w:name="_Toc681"/>
      <w:r>
        <w:rPr>
          <w:rFonts w:ascii="仿宋" w:eastAsia="仿宋" w:hAnsi="仿宋" w:cs="仿宋" w:hint="eastAsia"/>
          <w:b w:val="0"/>
        </w:rPr>
        <w:t>（三）促进医疗与旅游融合</w:t>
      </w:r>
      <w:bookmarkEnd w:id="291"/>
      <w:bookmarkEnd w:id="292"/>
      <w:bookmarkEnd w:id="293"/>
      <w:bookmarkEnd w:id="294"/>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依托大健康医疗和管理产业在全国的优势地位，重点培育“健康+旅游”产业融合发展，推进环大明山健康旅游圈、昆仑大道中医药温泉养生旅游带等健康旅游产业集聚区建设，开发以强身健体医疗技术为核心的疗养精品旅游产品，实现医疗健康与健康旅游、养老养生等联动发展，做大现代医药康复疗养、医疗养生、药膳养生、美体养颜等旅游产品。依托市森林资源优势，发展森林康养旅游产品，培育一批森林康养基地。把医疗卫生资源和传统旅游资源创新融合，发展新业态旅游产品，打破传统旅游的“吃、住、行、游、娱、购”六因素的旅游格局，让消费者体验到新兴的、内涵丰富的旅游形式。引进生物技术产业，深化养生保健、健康照护等合作，开发高端健康体检、医学美容、养生护理、医疗保健等健康旅游项目，推进全市健康养生旅游的发展。</w:t>
      </w:r>
    </w:p>
    <w:p w:rsidR="00982E5F" w:rsidRDefault="00BC06AC">
      <w:pPr>
        <w:pStyle w:val="3"/>
        <w:spacing w:before="0" w:after="0" w:line="560" w:lineRule="exact"/>
        <w:ind w:firstLineChars="200" w:firstLine="640"/>
        <w:rPr>
          <w:rFonts w:ascii="仿宋" w:eastAsia="仿宋" w:hAnsi="仿宋" w:cs="仿宋"/>
          <w:b w:val="0"/>
        </w:rPr>
      </w:pPr>
      <w:bookmarkStart w:id="295" w:name="_Toc119681323"/>
      <w:bookmarkStart w:id="296" w:name="_Toc18774"/>
      <w:bookmarkStart w:id="297" w:name="_Toc115100525"/>
      <w:bookmarkStart w:id="298" w:name="_Toc27526"/>
      <w:r>
        <w:rPr>
          <w:rFonts w:ascii="仿宋" w:eastAsia="仿宋" w:hAnsi="仿宋" w:cs="仿宋" w:hint="eastAsia"/>
          <w:b w:val="0"/>
        </w:rPr>
        <w:t>（四）推动医疗与健康食品融合</w:t>
      </w:r>
      <w:bookmarkEnd w:id="295"/>
      <w:bookmarkEnd w:id="296"/>
      <w:bookmarkEnd w:id="297"/>
      <w:bookmarkEnd w:id="298"/>
    </w:p>
    <w:p w:rsidR="00982E5F" w:rsidRDefault="00BC06AC">
      <w:pPr>
        <w:pStyle w:val="a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深入挖掘药膳传统文化，结合道地药材优势和地方特色饮食习惯，制定南宁药膳标准和目录，举办药膳大赛。依托横州茉莉花茶、马山黑山羊等，推进健康食品多元化开发、</w:t>
      </w:r>
      <w:r>
        <w:rPr>
          <w:rFonts w:ascii="仿宋" w:eastAsia="仿宋" w:hAnsi="仿宋" w:cs="仿宋" w:hint="eastAsia"/>
          <w:bCs/>
          <w:sz w:val="32"/>
          <w:szCs w:val="32"/>
        </w:rPr>
        <w:lastRenderedPageBreak/>
        <w:t>多层次利用和多功能融合，推进高附加值产品精深加工，积极发展地方特色主食、养生保健和食药同源食品、药用化妆品等。推进从经典古方中挖掘健康养生保健品和功能性食品，以药食同源药材为基源的食品，推动以传统动植物为原料的美容日化产品开发。支持开发缓解疲劳、增强体质、术后恢复、四时养生等个性化药膳食品，推进中医养生食疗产业发展。加强医疗与食疗药膳文化交流，支持科研院校、龙头企业加强技术研发体系建设，提高健康产品附加值。</w:t>
      </w:r>
    </w:p>
    <w:p w:rsidR="00982E5F" w:rsidRDefault="00BC06AC">
      <w:pPr>
        <w:pStyle w:val="3"/>
        <w:spacing w:before="0" w:after="0" w:line="560" w:lineRule="exact"/>
        <w:ind w:firstLineChars="200" w:firstLine="640"/>
        <w:rPr>
          <w:rFonts w:ascii="仿宋" w:eastAsia="仿宋" w:hAnsi="仿宋" w:cs="仿宋"/>
          <w:b w:val="0"/>
        </w:rPr>
      </w:pPr>
      <w:bookmarkStart w:id="299" w:name="_Toc115100526"/>
      <w:bookmarkStart w:id="300" w:name="_Toc29174"/>
      <w:bookmarkStart w:id="301" w:name="_Toc7456"/>
      <w:bookmarkStart w:id="302" w:name="_Toc119681324"/>
      <w:r>
        <w:rPr>
          <w:rFonts w:ascii="仿宋" w:eastAsia="仿宋" w:hAnsi="仿宋" w:cs="仿宋" w:hint="eastAsia"/>
          <w:b w:val="0"/>
        </w:rPr>
        <w:t>（五）推动医疗和体育融合</w:t>
      </w:r>
      <w:bookmarkEnd w:id="299"/>
      <w:bookmarkEnd w:id="300"/>
      <w:bookmarkEnd w:id="301"/>
      <w:bookmarkEnd w:id="302"/>
    </w:p>
    <w:p w:rsidR="00982E5F" w:rsidRDefault="00BC06AC">
      <w:pPr>
        <w:pStyle w:val="a0"/>
        <w:spacing w:line="560" w:lineRule="exact"/>
        <w:ind w:firstLineChars="200" w:firstLine="640"/>
        <w:jc w:val="both"/>
        <w:rPr>
          <w:rFonts w:ascii="仿宋" w:eastAsia="仿宋" w:hAnsi="仿宋" w:cs="仿宋"/>
          <w:bCs/>
          <w:sz w:val="32"/>
          <w:szCs w:val="32"/>
        </w:rPr>
      </w:pPr>
      <w:r>
        <w:rPr>
          <w:rFonts w:ascii="仿宋" w:eastAsia="仿宋" w:hAnsi="仿宋" w:cs="仿宋" w:hint="eastAsia"/>
          <w:bCs/>
          <w:sz w:val="32"/>
          <w:szCs w:val="32"/>
        </w:rPr>
        <w:t>推动健康关口前移，建立相关部门协同、全社会共同参与的运动促进健康新模式。支持体卫融合科学研究，推动体卫融合研究中心、慢性病运动干预研究中心建设，开展运动促进健康中心试点，推动国民体质监测中心、社会体育组织以及医院、社区卫生服务中心、社会康复康养机构等资源整合运用。建立运动处方库和体卫融合专家库，加快体卫融合专业队伍培养。健全标准规范体系，制定运动促进健康机构、体育运动专科医院建设标准，推动建设覆盖城乡、结构合理、功能完善的运动促进健康服务机构。依托公共服务设施建设体卫融合健康驿站或健康小屋，支持医疗机构建设康复科室，开设运动健康和康复专科门诊。鼓励医院培养和引进运动康复师，建设运动康复医学专科，与社会资源共建，开展运动康复医学服务，为不同人群提供有针对性地运动康复方案。加大资金支持力度，将体卫融合纳入相关产业发展专项资金支持范围，鼓励有条件的地方在产业引导资金中设立体卫融</w:t>
      </w:r>
      <w:r>
        <w:rPr>
          <w:rFonts w:ascii="仿宋" w:eastAsia="仿宋" w:hAnsi="仿宋" w:cs="仿宋" w:hint="eastAsia"/>
          <w:bCs/>
          <w:sz w:val="32"/>
          <w:szCs w:val="32"/>
        </w:rPr>
        <w:lastRenderedPageBreak/>
        <w:t>合项目类别。</w:t>
      </w:r>
    </w:p>
    <w:p w:rsidR="00982E5F" w:rsidRDefault="00BC06AC">
      <w:pPr>
        <w:pStyle w:val="3"/>
        <w:spacing w:before="0" w:after="0" w:line="560" w:lineRule="exact"/>
        <w:ind w:firstLineChars="200" w:firstLine="640"/>
        <w:rPr>
          <w:rFonts w:ascii="仿宋" w:eastAsia="仿宋" w:hAnsi="仿宋" w:cs="仿宋"/>
          <w:b w:val="0"/>
        </w:rPr>
      </w:pPr>
      <w:bookmarkStart w:id="303" w:name="_Toc119681325"/>
      <w:bookmarkStart w:id="304" w:name="_Toc115100527"/>
      <w:bookmarkStart w:id="305" w:name="_Toc26694"/>
      <w:bookmarkStart w:id="306" w:name="_Toc24782"/>
      <w:r>
        <w:rPr>
          <w:rFonts w:ascii="仿宋" w:eastAsia="仿宋" w:hAnsi="仿宋" w:cs="仿宋" w:hint="eastAsia"/>
          <w:b w:val="0"/>
        </w:rPr>
        <w:t>（六）促进医疗与互联网融合</w:t>
      </w:r>
      <w:bookmarkEnd w:id="303"/>
      <w:bookmarkEnd w:id="304"/>
      <w:bookmarkEnd w:id="305"/>
      <w:bookmarkEnd w:id="306"/>
    </w:p>
    <w:p w:rsidR="00982E5F" w:rsidRDefault="00BC06AC">
      <w:pPr>
        <w:pStyle w:val="a0"/>
        <w:spacing w:line="560" w:lineRule="exact"/>
        <w:ind w:firstLineChars="200" w:firstLine="640"/>
        <w:jc w:val="both"/>
        <w:rPr>
          <w:rFonts w:ascii="仿宋" w:eastAsia="仿宋" w:hAnsi="仿宋" w:cs="仿宋"/>
          <w:bCs/>
          <w:sz w:val="32"/>
          <w:szCs w:val="32"/>
        </w:rPr>
      </w:pPr>
      <w:r>
        <w:rPr>
          <w:rFonts w:ascii="仿宋" w:eastAsia="仿宋" w:hAnsi="仿宋" w:cs="仿宋" w:hint="eastAsia"/>
          <w:bCs/>
          <w:sz w:val="32"/>
          <w:szCs w:val="32"/>
        </w:rPr>
        <w:t>打造“健康南宁”公众平台，向居民提供医疗服务和健康服务，包括家庭医生签约、预约挂号、充值缴费、检查检验报告单查询、卡余额查询、费用清单查询、个人健康档案查询、在线支付等功能。鼓励互联网企业参与互联网医院平台建设，推动互联网诊疗服务，开展部分常见病、慢性病复诊、导医、预约、咨询、指导、随访、监测等在线健康管理服务。加快推动大数据、云计算、物联网、移动互联等信息技术在医疗服务、健康管理、养老服务等医疗服务领域的应用，促进信息技术与健康服务深度融合，推动分级诊疗制度落地。推进大健康医疗大数据应用，提供医疗分析价值数据，引导整合线上线下企业的资源要素，推动业态创新、模式变革和效能提高。</w:t>
      </w:r>
    </w:p>
    <w:p w:rsidR="00982E5F" w:rsidRDefault="00BC06AC">
      <w:pPr>
        <w:pStyle w:val="3"/>
        <w:spacing w:before="0" w:after="0" w:line="560" w:lineRule="exact"/>
        <w:ind w:firstLineChars="200" w:firstLine="640"/>
        <w:rPr>
          <w:rFonts w:ascii="仿宋" w:eastAsia="仿宋" w:hAnsi="仿宋" w:cs="仿宋"/>
          <w:b w:val="0"/>
        </w:rPr>
      </w:pPr>
      <w:bookmarkStart w:id="307" w:name="_Toc4710"/>
      <w:bookmarkStart w:id="308" w:name="_Toc32269"/>
      <w:bookmarkStart w:id="309" w:name="_Toc119681326"/>
      <w:bookmarkStart w:id="310" w:name="_Toc115100528"/>
      <w:r>
        <w:rPr>
          <w:rFonts w:ascii="仿宋" w:eastAsia="仿宋" w:hAnsi="仿宋" w:cs="仿宋" w:hint="eastAsia"/>
          <w:b w:val="0"/>
        </w:rPr>
        <w:t>（七）推动医疗与乡村振兴融合</w:t>
      </w:r>
      <w:bookmarkEnd w:id="307"/>
      <w:bookmarkEnd w:id="308"/>
      <w:bookmarkEnd w:id="309"/>
      <w:bookmarkEnd w:id="310"/>
    </w:p>
    <w:p w:rsidR="00982E5F" w:rsidRDefault="00BC06AC">
      <w:pPr>
        <w:pStyle w:val="a0"/>
        <w:spacing w:line="560" w:lineRule="exact"/>
        <w:ind w:firstLineChars="200" w:firstLine="640"/>
        <w:jc w:val="both"/>
        <w:rPr>
          <w:rFonts w:ascii="仿宋" w:eastAsia="仿宋" w:hAnsi="仿宋" w:cs="仿宋"/>
          <w:bCs/>
          <w:sz w:val="32"/>
          <w:szCs w:val="32"/>
        </w:rPr>
      </w:pPr>
      <w:r>
        <w:rPr>
          <w:rFonts w:ascii="仿宋" w:eastAsia="仿宋" w:hAnsi="仿宋" w:cs="仿宋" w:hint="eastAsia"/>
          <w:bCs/>
          <w:sz w:val="32"/>
          <w:szCs w:val="32"/>
        </w:rPr>
        <w:t>以穿心莲、金银花等道地药材资源为主，支持医疗机构和中药企业采用“订单采购”等方式建设“定制药园”，依托乡村人力资源丰富特点，带动乡村就业创业充分衔接乡村振兴。鼓励社会办医参与家庭医生签约服务，推进家庭医生与贫困户在疾病诊疗、健康体检、随访、指导康复等专项帮扶，提高贫困户健康知识水平和自我保健技能等，出台有效措施激励社会医疗服务力量参与扶贫，通过社会办医参与健康治理综合提升每个人的疾病预防能力、治疗参与能力和治疗后康复能力等。明确社会办医机构的权利与责任，注重协</w:t>
      </w:r>
      <w:r>
        <w:rPr>
          <w:rFonts w:ascii="仿宋" w:eastAsia="仿宋" w:hAnsi="仿宋" w:cs="仿宋" w:hint="eastAsia"/>
          <w:bCs/>
          <w:sz w:val="32"/>
          <w:szCs w:val="32"/>
        </w:rPr>
        <w:lastRenderedPageBreak/>
        <w:t>商参与、必要的扶贫数据获得、医疗技术帮助等权利，加强农村人群信息接收渠道、防范意识、医疗防护等公共卫生安全治理，实现公共卫生安全监测与预警体系的下沉与普及。以社会办医服务能力提升为着力点，通过健康治理目标、主体关系及制度保障的优化创新，实现欠发达地区健康治理效能的有效提升，促进医疗与乡村振兴融合发展。</w:t>
      </w:r>
    </w:p>
    <w:p w:rsidR="00982E5F" w:rsidRDefault="00982E5F">
      <w:pPr>
        <w:pStyle w:val="a0"/>
        <w:rPr>
          <w:bCs/>
        </w:rPr>
      </w:pPr>
    </w:p>
    <w:p w:rsidR="00982E5F" w:rsidRDefault="00BC06AC">
      <w:pPr>
        <w:pStyle w:val="1"/>
        <w:spacing w:before="120" w:after="120" w:line="240" w:lineRule="auto"/>
        <w:jc w:val="center"/>
        <w:rPr>
          <w:rFonts w:ascii="方正黑体_GBK" w:eastAsia="方正黑体_GBK" w:hAnsi="方正黑体_GBK" w:cs="方正黑体_GBK"/>
          <w:b w:val="0"/>
          <w:sz w:val="32"/>
          <w:szCs w:val="32"/>
        </w:rPr>
      </w:pPr>
      <w:bookmarkStart w:id="311" w:name="_Toc115100529"/>
      <w:bookmarkStart w:id="312" w:name="_Toc12027"/>
      <w:bookmarkStart w:id="313" w:name="_Toc119681327"/>
      <w:bookmarkStart w:id="314" w:name="_Toc15660"/>
      <w:r>
        <w:rPr>
          <w:rFonts w:ascii="方正黑体_GBK" w:eastAsia="方正黑体_GBK" w:hAnsi="方正黑体_GBK" w:cs="方正黑体_GBK" w:hint="eastAsia"/>
          <w:b w:val="0"/>
          <w:sz w:val="32"/>
          <w:szCs w:val="32"/>
        </w:rPr>
        <w:t xml:space="preserve">第六章  </w:t>
      </w:r>
      <w:bookmarkEnd w:id="311"/>
      <w:bookmarkEnd w:id="312"/>
      <w:r>
        <w:rPr>
          <w:rFonts w:ascii="方正黑体_GBK" w:eastAsia="方正黑体_GBK" w:hAnsi="方正黑体_GBK" w:cs="方正黑体_GBK" w:hint="eastAsia"/>
          <w:b w:val="0"/>
          <w:sz w:val="32"/>
          <w:szCs w:val="32"/>
        </w:rPr>
        <w:t>保障措施</w:t>
      </w:r>
      <w:bookmarkEnd w:id="313"/>
      <w:bookmarkEnd w:id="314"/>
    </w:p>
    <w:p w:rsidR="00982E5F" w:rsidRDefault="00BC06AC">
      <w:pPr>
        <w:pStyle w:val="2"/>
        <w:spacing w:before="0" w:after="0" w:line="570" w:lineRule="exact"/>
        <w:jc w:val="center"/>
        <w:rPr>
          <w:rFonts w:ascii="楷体" w:eastAsia="楷体" w:hAnsi="楷体" w:cs="楷体"/>
          <w:b w:val="0"/>
        </w:rPr>
      </w:pPr>
      <w:bookmarkStart w:id="315" w:name="_Toc3916"/>
      <w:bookmarkStart w:id="316" w:name="_Toc32432"/>
      <w:bookmarkStart w:id="317" w:name="_Toc115100530"/>
      <w:bookmarkStart w:id="318" w:name="_Toc119681328"/>
      <w:r>
        <w:rPr>
          <w:rFonts w:ascii="楷体" w:eastAsia="楷体" w:hAnsi="楷体" w:cs="楷体" w:hint="eastAsia"/>
          <w:b w:val="0"/>
        </w:rPr>
        <w:t>一、加强用地保障</w:t>
      </w:r>
      <w:bookmarkEnd w:id="315"/>
      <w:bookmarkEnd w:id="316"/>
      <w:bookmarkEnd w:id="317"/>
      <w:bookmarkEnd w:id="318"/>
    </w:p>
    <w:p w:rsidR="00982E5F" w:rsidRDefault="00BC06AC">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充分利用南宁市国土空间总体规划编制契机，统筹考虑大健康医疗和管理产业发展需求，做好用地规划布局，对列入大健康医疗和管理产业发展的重大项目、符合大健康医疗和管理产业发展需求的企业，依法优先安排土地指标，切实保障大健康医疗和管理产业建设发展用地。合理安排社会资本</w:t>
      </w:r>
      <w:r>
        <w:rPr>
          <w:rFonts w:ascii="仿宋_GB2312" w:eastAsia="仿宋_GB2312" w:hint="eastAsia"/>
          <w:bCs/>
          <w:sz w:val="32"/>
          <w:szCs w:val="32"/>
        </w:rPr>
        <w:t>营利性大健康医疗和管理产业机构以有偿方式用地，鼓励地方完善大健康医疗和管理产业服务设施运营长效机制，对使用综合服务设施开展大健康医疗和管理产业服务的，予以无偿或低偿使用。鼓励符合规划用途的农村集体建设用地依法用于大健康医疗和管理产业机构项目建设。对现有空闲的厂房、学校、社区、政府和事业单位用房依据有关规定进行改造和利用兴办医养结合或养老机构。对利用现有空房举办社会办医疗机构的，经当地政府有关部门审批后，可按规定调整房屋使用功能。根据医疗机构设置规划将社会资本办医所需用地纳入土地利用年度计划。引导社会力量投资兴办医</w:t>
      </w:r>
      <w:r>
        <w:rPr>
          <w:rFonts w:ascii="仿宋_GB2312" w:eastAsia="仿宋_GB2312" w:hint="eastAsia"/>
          <w:bCs/>
          <w:sz w:val="32"/>
          <w:szCs w:val="32"/>
        </w:rPr>
        <w:lastRenderedPageBreak/>
        <w:t>疗机构等健康服务业基础设施，并给予用地等政策支持。</w:t>
      </w:r>
    </w:p>
    <w:p w:rsidR="00982E5F" w:rsidRDefault="00BC06AC">
      <w:pPr>
        <w:pStyle w:val="2"/>
        <w:spacing w:before="0" w:after="0" w:line="570" w:lineRule="exact"/>
        <w:jc w:val="center"/>
        <w:rPr>
          <w:rFonts w:ascii="楷体" w:eastAsia="楷体" w:hAnsi="楷体" w:cs="楷体"/>
          <w:b w:val="0"/>
        </w:rPr>
      </w:pPr>
      <w:bookmarkStart w:id="319" w:name="_Toc119681329"/>
      <w:bookmarkStart w:id="320" w:name="_Toc30550"/>
      <w:bookmarkStart w:id="321" w:name="_Toc115100531"/>
      <w:bookmarkStart w:id="322" w:name="_Toc13102"/>
      <w:r>
        <w:rPr>
          <w:rFonts w:ascii="楷体" w:eastAsia="楷体" w:hAnsi="楷体" w:cs="楷体" w:hint="eastAsia"/>
          <w:b w:val="0"/>
        </w:rPr>
        <w:t>二、强化技术创新</w:t>
      </w:r>
      <w:bookmarkEnd w:id="319"/>
      <w:bookmarkEnd w:id="320"/>
      <w:bookmarkEnd w:id="321"/>
      <w:bookmarkEnd w:id="322"/>
    </w:p>
    <w:p w:rsidR="00982E5F" w:rsidRDefault="00BC06A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探索建立大健康医疗和管理产业新型研发机构，加快推进人工智能、大数据技术与健康医疗深度融合，建立互联网医院，提供个性化、精准、高效的医疗服务。支持企业与医疗机构、高等学校、科研机构等协同创新，以产业链、服务链布局创新链，形成大健康医疗和管理产业产学研一体化利益共同体模式。创新大健康医疗和管理产业科技成果转化机制，吸引高校、科研院所到南宁开展中医药科技成果转化，吸引高层次人才团队以知识产权、科研成果、现金等方式入股建立孵化器，引进国内外先进技术和科技成果到南宁转化、产业化。突出技术创新发展引领，着力构建前沿基础、瓶颈技术和临床诊疗新技术齐驱并进的格局。发展医学前沿诊断技术，加强慢性病防控、精准医学、新型健康产品等关键技术突破，推动创新药物开发、加快医疗器械国产化应用、促进中医药现代化，增强常见病、多发病、重大疾病防治和健康产业发展的科技支撑。加强临床医学中心、重点学科、重点实验室建设，促进重大项目研究、重大成果转化和适宜技术推广，推动医学科技进步与科技创新。</w:t>
      </w:r>
    </w:p>
    <w:p w:rsidR="00982E5F" w:rsidRDefault="00BC06AC">
      <w:pPr>
        <w:pStyle w:val="2"/>
        <w:spacing w:before="0" w:after="0" w:line="570" w:lineRule="exact"/>
        <w:jc w:val="center"/>
        <w:rPr>
          <w:rFonts w:ascii="楷体" w:eastAsia="楷体" w:hAnsi="楷体" w:cs="楷体"/>
          <w:b w:val="0"/>
        </w:rPr>
      </w:pPr>
      <w:bookmarkStart w:id="323" w:name="_Toc119681330"/>
      <w:bookmarkStart w:id="324" w:name="_Toc25266"/>
      <w:bookmarkStart w:id="325" w:name="_Toc2436"/>
      <w:bookmarkStart w:id="326" w:name="_Toc115100532"/>
      <w:r>
        <w:rPr>
          <w:rFonts w:ascii="楷体" w:eastAsia="楷体" w:hAnsi="楷体" w:cs="楷体" w:hint="eastAsia"/>
          <w:b w:val="0"/>
        </w:rPr>
        <w:t>三、强化人才支撑</w:t>
      </w:r>
      <w:bookmarkEnd w:id="323"/>
      <w:bookmarkEnd w:id="324"/>
      <w:bookmarkEnd w:id="325"/>
      <w:bookmarkEnd w:id="326"/>
    </w:p>
    <w:p w:rsidR="00982E5F" w:rsidRDefault="00BC06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加强大健康医疗和管理产业人才后备力量建设，培育大健康医疗领域高素质复合型人才。实施大健康医疗和管理产业人才战略，引进一批学术带头人和创新创业精英，培育一批规模适度、专业水平较高、管理能力较强的大健康医疗和</w:t>
      </w:r>
      <w:r>
        <w:rPr>
          <w:rFonts w:ascii="仿宋_GB2312" w:eastAsia="仿宋_GB2312" w:hAnsi="仿宋_GB2312" w:cs="仿宋_GB2312" w:hint="eastAsia"/>
          <w:bCs/>
          <w:sz w:val="32"/>
          <w:szCs w:val="32"/>
        </w:rPr>
        <w:lastRenderedPageBreak/>
        <w:t>管理产业人才队伍。充分发挥高等院校和职业院所作用，引导医学院校和职业院所增设与大健康医疗服务相关的健康管理、健康养老、医养结合等学科专业。加快建设实训基地，打造人才培育实体，创新人才培养机制，推进产教融合。加快培养大健康医疗和管理产业服务行业紧缺人才、技术技能人才、健康服务从业人员以及科普宣传等复合型人才。建立体医融合人才培养机制，推动心肺预防康复专业。制定优惠政策吸引大中专院校对口专业毕业生从事大健康医疗和管理产业服务工作，重点培养医疗、护理、养老等专业人才。引导各类职业培训机构和医养结合机构，按照政府购买职业培训成果新机制，建立大健康医疗和管理产业人员培训基地。社会办医机构人员与公立医疗机构人员享有同等职称评审待遇，且不受岗位比例限制。支持非公立医疗机构引进和培养人才，对社会力量办医院在重点专科建设、科学研究、人才培养、学术地位评定等给予公平政策。社会办医疗机构引进的专业技术人才符合本市人才引进相关政策的，按照规定享有同等待遇。</w:t>
      </w:r>
    </w:p>
    <w:p w:rsidR="00982E5F" w:rsidRDefault="00BC06AC">
      <w:pPr>
        <w:pStyle w:val="2"/>
        <w:spacing w:before="0" w:after="0" w:line="570" w:lineRule="exact"/>
        <w:jc w:val="center"/>
        <w:rPr>
          <w:rFonts w:ascii="楷体" w:eastAsia="楷体" w:hAnsi="楷体" w:cs="楷体"/>
          <w:b w:val="0"/>
        </w:rPr>
      </w:pPr>
      <w:bookmarkStart w:id="327" w:name="_Toc115100533"/>
      <w:bookmarkStart w:id="328" w:name="_Toc15074"/>
      <w:bookmarkStart w:id="329" w:name="_Toc119681331"/>
      <w:bookmarkStart w:id="330" w:name="_Toc20037"/>
      <w:r>
        <w:rPr>
          <w:rFonts w:ascii="楷体" w:eastAsia="楷体" w:hAnsi="楷体" w:cs="楷体" w:hint="eastAsia"/>
          <w:b w:val="0"/>
        </w:rPr>
        <w:t>四、加大财政支持</w:t>
      </w:r>
      <w:bookmarkEnd w:id="327"/>
      <w:bookmarkEnd w:id="328"/>
      <w:bookmarkEnd w:id="329"/>
      <w:bookmarkEnd w:id="330"/>
    </w:p>
    <w:p w:rsidR="00982E5F" w:rsidRDefault="00BC06A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充分发挥好财政性资金对大健康医疗和管理产业的引导作用，建立政府引导、市场化投融资体制机制。建立财政资金的支持机制，加大对大健康医疗和管理产业发展的支持力度，统筹相关部门有关资金和补贴优先投向大健康医疗和管理产业项目建设；发挥好政府发展基金的引导作用，采取贴息、补助、奖励引导、资本金注入、应用示范补助等方式，</w:t>
      </w:r>
      <w:r>
        <w:rPr>
          <w:rFonts w:ascii="仿宋_GB2312" w:eastAsia="仿宋_GB2312" w:hAnsi="仿宋_GB2312" w:cs="仿宋_GB2312" w:hint="eastAsia"/>
          <w:bCs/>
          <w:sz w:val="32"/>
          <w:szCs w:val="32"/>
        </w:rPr>
        <w:lastRenderedPageBreak/>
        <w:t>撬动金融机构、社会资本特别是经营主体加大对大健康医疗和管理产业发展和科技成果转化的投入。对提供基本医疗卫生服务的社会办非营利性医疗机构按规定纳入政府补助范围，在临床重点专科建设、人才培养等方面，执行与公立医疗机构同等补助政策。积极支持符合条件的大健康医疗和管理产业企业上市融资和发行公司信用类债券。积极引导社会投资资金、创投基金等各类社会资本进入大健康医疗领域，形成多层次融资体系。鼓励社会资本发起设立大健康医疗和管理产业投资基金。政府依法合规支持融资担保机构加大对大健康医疗和管理产业领域中小企业银行贷款的担保力度。鼓励金融机构创新金融产品，支持大健康医疗和管理产业特色发展。</w:t>
      </w:r>
    </w:p>
    <w:p w:rsidR="00982E5F" w:rsidRDefault="00BC06AC">
      <w:pPr>
        <w:pStyle w:val="2"/>
        <w:spacing w:before="0" w:after="0" w:line="570" w:lineRule="exact"/>
        <w:jc w:val="center"/>
        <w:rPr>
          <w:rFonts w:ascii="楷体" w:eastAsia="楷体" w:hAnsi="楷体" w:cs="楷体"/>
          <w:b w:val="0"/>
        </w:rPr>
      </w:pPr>
      <w:bookmarkStart w:id="331" w:name="_Toc5495"/>
      <w:bookmarkStart w:id="332" w:name="_Toc32553"/>
      <w:bookmarkStart w:id="333" w:name="_Toc115100534"/>
      <w:bookmarkStart w:id="334" w:name="_Toc119681332"/>
      <w:r>
        <w:rPr>
          <w:rFonts w:ascii="楷体" w:eastAsia="楷体" w:hAnsi="楷体" w:cs="楷体" w:hint="eastAsia"/>
          <w:b w:val="0"/>
        </w:rPr>
        <w:t>五、完善保险支持</w:t>
      </w:r>
      <w:bookmarkEnd w:id="331"/>
      <w:bookmarkEnd w:id="332"/>
      <w:bookmarkEnd w:id="333"/>
      <w:bookmarkEnd w:id="334"/>
    </w:p>
    <w:p w:rsidR="00982E5F" w:rsidRDefault="00BC06A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对社会办医疗机构在医保定点协议管理和具体服务管理上执行统一政策。社会办医院和公立医院均执行国家、自治区印发的基本医疗保险药品目录、医疗服务项目及医疗服务设施范围与标准。参保患者在同一级别、同一类别的社会办医院或公立医院就诊的报销比例一致。参保人员不论在社会办医院或公立医保定点医院就医，刷卡结算的政策一致。鼓励保险公司发展与基本医疗保险有序衔接的商业健康保险。丰富健康保险产品，大力发展与基本医疗保险有序衔接的商业健康保险。加快发展医疗责任保险、医疗意外保险等多种形式的医疗执业保险。推动商业保险机构遵循依法、稳健、安全原则，以战略合作、收购、新建医疗机构等方式整</w:t>
      </w:r>
      <w:r>
        <w:rPr>
          <w:rFonts w:ascii="仿宋_GB2312" w:eastAsia="仿宋_GB2312" w:hint="eastAsia"/>
          <w:bCs/>
          <w:sz w:val="32"/>
          <w:szCs w:val="32"/>
        </w:rPr>
        <w:lastRenderedPageBreak/>
        <w:t>合医疗服务产业链，探索健康管理组织等新型健康服务提供形式。</w:t>
      </w:r>
    </w:p>
    <w:p w:rsidR="00982E5F" w:rsidRDefault="00BC06AC">
      <w:pPr>
        <w:pStyle w:val="2"/>
        <w:spacing w:before="0" w:after="0" w:line="570" w:lineRule="exact"/>
        <w:jc w:val="center"/>
        <w:rPr>
          <w:rFonts w:ascii="楷体" w:eastAsia="楷体" w:hAnsi="楷体" w:cs="楷体"/>
          <w:b w:val="0"/>
        </w:rPr>
      </w:pPr>
      <w:bookmarkStart w:id="335" w:name="_Toc119681333"/>
      <w:bookmarkStart w:id="336" w:name="_Toc115100539"/>
      <w:bookmarkStart w:id="337" w:name="_Toc17521"/>
      <w:bookmarkStart w:id="338" w:name="_Toc11189"/>
      <w:r>
        <w:rPr>
          <w:rFonts w:ascii="楷体" w:eastAsia="楷体" w:hAnsi="楷体" w:cs="楷体" w:hint="eastAsia"/>
          <w:b w:val="0"/>
        </w:rPr>
        <w:t>六、优化营商环境</w:t>
      </w:r>
      <w:bookmarkEnd w:id="335"/>
      <w:bookmarkEnd w:id="336"/>
      <w:bookmarkEnd w:id="337"/>
      <w:bookmarkEnd w:id="338"/>
    </w:p>
    <w:p w:rsidR="00982E5F" w:rsidRDefault="00BC06AC">
      <w:pPr>
        <w:spacing w:line="560" w:lineRule="exact"/>
        <w:ind w:firstLineChars="200" w:firstLine="640"/>
        <w:rPr>
          <w:bCs/>
        </w:rPr>
      </w:pPr>
      <w:r>
        <w:rPr>
          <w:rFonts w:ascii="仿宋_GB2312" w:eastAsia="仿宋_GB2312" w:hint="eastAsia"/>
          <w:bCs/>
          <w:sz w:val="32"/>
          <w:szCs w:val="32"/>
        </w:rPr>
        <w:t>推进“放管服”改革，按照“非禁即入”的原则，全面清理、取消不合理的前置审批事项，整合社会办医疗机构设置、执业许可等审批环节，推进社会办医疗机构行政审批标准化，进一步明确并缩短审批时限，简化审批流程，精简申请材料。允许境外投资者以合资、合作形式设立医疗机构。鼓励社会办医疗机构实行连锁、集团化经营。社会办医疗机构可自主选择设置医学检验、病理、医学影像、消毒供应等诊疗科目（科室）；不设置相关诊疗科目（科室）的，可由其他具备资质的医院、独立医学检验、医学影像和消毒供应等机构承担相关业务。优先支持社会力量举办非营利性医疗机构，加快形成以非营利性医疗机构为主体、营利性医疗机构为补充的社会办医体系。执行与公立医院统一的城镇职工、城乡居民基本医疗保险定点机构的准入条件。鼓励社会力量举办康复专科医院、老年病医院、护理院和高端医疗服务机构，以及举办中医类专科医院和只提供传统中医药服务的中医门诊部、中医诊所，加快社会办中医类机构发展。</w:t>
      </w:r>
    </w:p>
    <w:sectPr w:rsidR="00982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C36" w:rsidRDefault="00DC7C36">
      <w:r>
        <w:separator/>
      </w:r>
    </w:p>
  </w:endnote>
  <w:endnote w:type="continuationSeparator" w:id="0">
    <w:p w:rsidR="00DC7C36" w:rsidRDefault="00DC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26499"/>
    </w:sdtPr>
    <w:sdtEndPr/>
    <w:sdtContent>
      <w:p w:rsidR="00781914" w:rsidRDefault="00781914">
        <w:pPr>
          <w:pStyle w:val="a0"/>
          <w:jc w:val="center"/>
        </w:pPr>
        <w:r>
          <w:fldChar w:fldCharType="begin"/>
        </w:r>
        <w:r>
          <w:instrText>PAGE   \* MERGEFORMAT</w:instrText>
        </w:r>
        <w:r>
          <w:fldChar w:fldCharType="separate"/>
        </w:r>
        <w:r w:rsidR="00DC6E87" w:rsidRPr="00DC6E87">
          <w:rPr>
            <w:noProof/>
            <w:lang w:val="zh-CN"/>
          </w:rPr>
          <w:t>VI</w:t>
        </w:r>
        <w:r>
          <w:fldChar w:fldCharType="end"/>
        </w:r>
      </w:p>
    </w:sdtContent>
  </w:sdt>
  <w:p w:rsidR="00781914" w:rsidRDefault="00781914">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82805"/>
    </w:sdtPr>
    <w:sdtEndPr/>
    <w:sdtContent>
      <w:p w:rsidR="00781914" w:rsidRDefault="00781914">
        <w:pPr>
          <w:pStyle w:val="a0"/>
          <w:jc w:val="center"/>
        </w:pPr>
        <w:r>
          <w:fldChar w:fldCharType="begin"/>
        </w:r>
        <w:r>
          <w:instrText>PAGE   \* MERGEFORMAT</w:instrText>
        </w:r>
        <w:r>
          <w:fldChar w:fldCharType="separate"/>
        </w:r>
        <w:r w:rsidR="00DC6E87" w:rsidRPr="00DC6E87">
          <w:rPr>
            <w:noProof/>
            <w:lang w:val="zh-CN"/>
          </w:rPr>
          <w:t>54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C36" w:rsidRDefault="00DC7C36">
      <w:r>
        <w:separator/>
      </w:r>
    </w:p>
  </w:footnote>
  <w:footnote w:type="continuationSeparator" w:id="0">
    <w:p w:rsidR="00DC7C36" w:rsidRDefault="00DC7C3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xxc">
    <w15:presenceInfo w15:providerId="None" w15:userId="gx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MjI2MTFmOTA1YmUxYzhkNDQyMjczZDliNTkwNTIifQ=="/>
  </w:docVars>
  <w:rsids>
    <w:rsidRoot w:val="007A55BC"/>
    <w:rsid w:val="BF65D264"/>
    <w:rsid w:val="BFE79814"/>
    <w:rsid w:val="CFFF00B1"/>
    <w:rsid w:val="FBF9089B"/>
    <w:rsid w:val="FEF3D6A0"/>
    <w:rsid w:val="00000098"/>
    <w:rsid w:val="00000D88"/>
    <w:rsid w:val="000012B9"/>
    <w:rsid w:val="00002230"/>
    <w:rsid w:val="000026C8"/>
    <w:rsid w:val="00002A11"/>
    <w:rsid w:val="00004199"/>
    <w:rsid w:val="00005732"/>
    <w:rsid w:val="00006434"/>
    <w:rsid w:val="000071F6"/>
    <w:rsid w:val="000078DA"/>
    <w:rsid w:val="00007E7D"/>
    <w:rsid w:val="00010B6E"/>
    <w:rsid w:val="00010D0B"/>
    <w:rsid w:val="00011689"/>
    <w:rsid w:val="00011C5C"/>
    <w:rsid w:val="000123FF"/>
    <w:rsid w:val="0001341B"/>
    <w:rsid w:val="000135DD"/>
    <w:rsid w:val="000153C4"/>
    <w:rsid w:val="00015623"/>
    <w:rsid w:val="00015B3B"/>
    <w:rsid w:val="00016634"/>
    <w:rsid w:val="00017275"/>
    <w:rsid w:val="00017E9C"/>
    <w:rsid w:val="00017EE5"/>
    <w:rsid w:val="000207B8"/>
    <w:rsid w:val="0002118D"/>
    <w:rsid w:val="000214EE"/>
    <w:rsid w:val="00021674"/>
    <w:rsid w:val="000216C2"/>
    <w:rsid w:val="0002193A"/>
    <w:rsid w:val="0002293B"/>
    <w:rsid w:val="00022A21"/>
    <w:rsid w:val="00022B40"/>
    <w:rsid w:val="00023DB2"/>
    <w:rsid w:val="00024265"/>
    <w:rsid w:val="000246DE"/>
    <w:rsid w:val="000254BD"/>
    <w:rsid w:val="00025793"/>
    <w:rsid w:val="00025EB7"/>
    <w:rsid w:val="00026163"/>
    <w:rsid w:val="000262A9"/>
    <w:rsid w:val="00027156"/>
    <w:rsid w:val="00027330"/>
    <w:rsid w:val="000274AD"/>
    <w:rsid w:val="00027AAE"/>
    <w:rsid w:val="00030916"/>
    <w:rsid w:val="00030B14"/>
    <w:rsid w:val="00030F7C"/>
    <w:rsid w:val="0003163F"/>
    <w:rsid w:val="00031C48"/>
    <w:rsid w:val="000326FD"/>
    <w:rsid w:val="00032FF0"/>
    <w:rsid w:val="00034252"/>
    <w:rsid w:val="00034ED8"/>
    <w:rsid w:val="00035718"/>
    <w:rsid w:val="00035A4E"/>
    <w:rsid w:val="00035AE9"/>
    <w:rsid w:val="00035FE8"/>
    <w:rsid w:val="00036E37"/>
    <w:rsid w:val="00036FB3"/>
    <w:rsid w:val="0003730D"/>
    <w:rsid w:val="000377A6"/>
    <w:rsid w:val="000379D8"/>
    <w:rsid w:val="00037F5C"/>
    <w:rsid w:val="000403FE"/>
    <w:rsid w:val="000406A0"/>
    <w:rsid w:val="00044048"/>
    <w:rsid w:val="00044190"/>
    <w:rsid w:val="000446F5"/>
    <w:rsid w:val="000448F0"/>
    <w:rsid w:val="00044BAF"/>
    <w:rsid w:val="000459E1"/>
    <w:rsid w:val="0004653F"/>
    <w:rsid w:val="00047957"/>
    <w:rsid w:val="00050A0B"/>
    <w:rsid w:val="00050C71"/>
    <w:rsid w:val="00051522"/>
    <w:rsid w:val="0005161F"/>
    <w:rsid w:val="0005183F"/>
    <w:rsid w:val="00051A22"/>
    <w:rsid w:val="00052CB3"/>
    <w:rsid w:val="00052DDA"/>
    <w:rsid w:val="00052E13"/>
    <w:rsid w:val="000542A7"/>
    <w:rsid w:val="00054954"/>
    <w:rsid w:val="00055029"/>
    <w:rsid w:val="00055D24"/>
    <w:rsid w:val="000567A1"/>
    <w:rsid w:val="00056BA7"/>
    <w:rsid w:val="0005754F"/>
    <w:rsid w:val="000576F2"/>
    <w:rsid w:val="0005775F"/>
    <w:rsid w:val="00057B50"/>
    <w:rsid w:val="00057C64"/>
    <w:rsid w:val="00057D4A"/>
    <w:rsid w:val="00057D66"/>
    <w:rsid w:val="00060050"/>
    <w:rsid w:val="000603FF"/>
    <w:rsid w:val="00061361"/>
    <w:rsid w:val="0006232C"/>
    <w:rsid w:val="000629ED"/>
    <w:rsid w:val="00062CA2"/>
    <w:rsid w:val="000632B1"/>
    <w:rsid w:val="000635E2"/>
    <w:rsid w:val="00063D31"/>
    <w:rsid w:val="000654AA"/>
    <w:rsid w:val="00065B8A"/>
    <w:rsid w:val="00066275"/>
    <w:rsid w:val="000665E3"/>
    <w:rsid w:val="000666F2"/>
    <w:rsid w:val="00066BB6"/>
    <w:rsid w:val="0006721B"/>
    <w:rsid w:val="00067464"/>
    <w:rsid w:val="00067EFB"/>
    <w:rsid w:val="00070904"/>
    <w:rsid w:val="00070CAB"/>
    <w:rsid w:val="000713E6"/>
    <w:rsid w:val="00071EDE"/>
    <w:rsid w:val="00072004"/>
    <w:rsid w:val="000725C2"/>
    <w:rsid w:val="0007307B"/>
    <w:rsid w:val="00073458"/>
    <w:rsid w:val="0007365B"/>
    <w:rsid w:val="00073775"/>
    <w:rsid w:val="00074931"/>
    <w:rsid w:val="00076FED"/>
    <w:rsid w:val="000808C9"/>
    <w:rsid w:val="00080BE2"/>
    <w:rsid w:val="00080C4E"/>
    <w:rsid w:val="0008100C"/>
    <w:rsid w:val="00081752"/>
    <w:rsid w:val="00082092"/>
    <w:rsid w:val="000850C8"/>
    <w:rsid w:val="0008550A"/>
    <w:rsid w:val="00086332"/>
    <w:rsid w:val="00086D08"/>
    <w:rsid w:val="000909D4"/>
    <w:rsid w:val="00091319"/>
    <w:rsid w:val="000918B0"/>
    <w:rsid w:val="00091EAF"/>
    <w:rsid w:val="00092312"/>
    <w:rsid w:val="000935A7"/>
    <w:rsid w:val="00093821"/>
    <w:rsid w:val="00093AC6"/>
    <w:rsid w:val="0009550D"/>
    <w:rsid w:val="00095729"/>
    <w:rsid w:val="00095A89"/>
    <w:rsid w:val="00097D37"/>
    <w:rsid w:val="00097DBA"/>
    <w:rsid w:val="000A01DC"/>
    <w:rsid w:val="000A0E31"/>
    <w:rsid w:val="000A0FB6"/>
    <w:rsid w:val="000A1063"/>
    <w:rsid w:val="000A17C2"/>
    <w:rsid w:val="000A1A15"/>
    <w:rsid w:val="000A1ED2"/>
    <w:rsid w:val="000A206D"/>
    <w:rsid w:val="000A41A0"/>
    <w:rsid w:val="000A44D5"/>
    <w:rsid w:val="000A4CEB"/>
    <w:rsid w:val="000A5C9B"/>
    <w:rsid w:val="000A5EBB"/>
    <w:rsid w:val="000A6547"/>
    <w:rsid w:val="000A65F2"/>
    <w:rsid w:val="000A6992"/>
    <w:rsid w:val="000A6F4F"/>
    <w:rsid w:val="000B02E2"/>
    <w:rsid w:val="000B0812"/>
    <w:rsid w:val="000B10BA"/>
    <w:rsid w:val="000B1630"/>
    <w:rsid w:val="000B24C0"/>
    <w:rsid w:val="000B2C53"/>
    <w:rsid w:val="000B5369"/>
    <w:rsid w:val="000B54EB"/>
    <w:rsid w:val="000B55B0"/>
    <w:rsid w:val="000B5CD9"/>
    <w:rsid w:val="000B64F9"/>
    <w:rsid w:val="000B702B"/>
    <w:rsid w:val="000B722F"/>
    <w:rsid w:val="000B725B"/>
    <w:rsid w:val="000B77FC"/>
    <w:rsid w:val="000C0016"/>
    <w:rsid w:val="000C01AA"/>
    <w:rsid w:val="000C035E"/>
    <w:rsid w:val="000C082E"/>
    <w:rsid w:val="000C08D3"/>
    <w:rsid w:val="000C111A"/>
    <w:rsid w:val="000C16F8"/>
    <w:rsid w:val="000C18AC"/>
    <w:rsid w:val="000C25C0"/>
    <w:rsid w:val="000C326A"/>
    <w:rsid w:val="000C3A1B"/>
    <w:rsid w:val="000C3FD7"/>
    <w:rsid w:val="000C41F3"/>
    <w:rsid w:val="000C433B"/>
    <w:rsid w:val="000C4EBE"/>
    <w:rsid w:val="000C4F3A"/>
    <w:rsid w:val="000C5B99"/>
    <w:rsid w:val="000C5CC1"/>
    <w:rsid w:val="000C6000"/>
    <w:rsid w:val="000C6443"/>
    <w:rsid w:val="000C6798"/>
    <w:rsid w:val="000C6846"/>
    <w:rsid w:val="000C7187"/>
    <w:rsid w:val="000C757D"/>
    <w:rsid w:val="000C77A2"/>
    <w:rsid w:val="000C7B17"/>
    <w:rsid w:val="000D0507"/>
    <w:rsid w:val="000D08FB"/>
    <w:rsid w:val="000D118F"/>
    <w:rsid w:val="000D1994"/>
    <w:rsid w:val="000D1C94"/>
    <w:rsid w:val="000D1D66"/>
    <w:rsid w:val="000D222C"/>
    <w:rsid w:val="000D3B25"/>
    <w:rsid w:val="000D4087"/>
    <w:rsid w:val="000D4943"/>
    <w:rsid w:val="000D4995"/>
    <w:rsid w:val="000D52A1"/>
    <w:rsid w:val="000D5742"/>
    <w:rsid w:val="000D57F6"/>
    <w:rsid w:val="000D655F"/>
    <w:rsid w:val="000D7BEE"/>
    <w:rsid w:val="000E0652"/>
    <w:rsid w:val="000E0792"/>
    <w:rsid w:val="000E1000"/>
    <w:rsid w:val="000E14A2"/>
    <w:rsid w:val="000E1D00"/>
    <w:rsid w:val="000E1EF2"/>
    <w:rsid w:val="000E2E0A"/>
    <w:rsid w:val="000E3B38"/>
    <w:rsid w:val="000E4191"/>
    <w:rsid w:val="000E41A0"/>
    <w:rsid w:val="000E5570"/>
    <w:rsid w:val="000E703A"/>
    <w:rsid w:val="000F02E2"/>
    <w:rsid w:val="000F0E89"/>
    <w:rsid w:val="000F26A3"/>
    <w:rsid w:val="000F2A38"/>
    <w:rsid w:val="000F2F7F"/>
    <w:rsid w:val="000F3070"/>
    <w:rsid w:val="000F3173"/>
    <w:rsid w:val="000F3F4B"/>
    <w:rsid w:val="000F54C0"/>
    <w:rsid w:val="000F63D8"/>
    <w:rsid w:val="000F65B6"/>
    <w:rsid w:val="001000F6"/>
    <w:rsid w:val="00102004"/>
    <w:rsid w:val="0010260F"/>
    <w:rsid w:val="0010288D"/>
    <w:rsid w:val="00102F92"/>
    <w:rsid w:val="001049D1"/>
    <w:rsid w:val="0010511C"/>
    <w:rsid w:val="0010599D"/>
    <w:rsid w:val="00105A3B"/>
    <w:rsid w:val="00106EE8"/>
    <w:rsid w:val="00110726"/>
    <w:rsid w:val="00110AC0"/>
    <w:rsid w:val="0011146E"/>
    <w:rsid w:val="00111609"/>
    <w:rsid w:val="00112103"/>
    <w:rsid w:val="001122F6"/>
    <w:rsid w:val="0011359E"/>
    <w:rsid w:val="00113C81"/>
    <w:rsid w:val="001147F9"/>
    <w:rsid w:val="00115893"/>
    <w:rsid w:val="00115914"/>
    <w:rsid w:val="0011703F"/>
    <w:rsid w:val="0011793D"/>
    <w:rsid w:val="00117A68"/>
    <w:rsid w:val="0012017D"/>
    <w:rsid w:val="00120837"/>
    <w:rsid w:val="00120964"/>
    <w:rsid w:val="00121217"/>
    <w:rsid w:val="00121DD2"/>
    <w:rsid w:val="00121DF6"/>
    <w:rsid w:val="00122236"/>
    <w:rsid w:val="00123175"/>
    <w:rsid w:val="001236EA"/>
    <w:rsid w:val="001236F0"/>
    <w:rsid w:val="0012458B"/>
    <w:rsid w:val="0012460F"/>
    <w:rsid w:val="00124C3F"/>
    <w:rsid w:val="00125293"/>
    <w:rsid w:val="00125CDC"/>
    <w:rsid w:val="00125E59"/>
    <w:rsid w:val="00126E1A"/>
    <w:rsid w:val="001272A4"/>
    <w:rsid w:val="001279D3"/>
    <w:rsid w:val="00127CE5"/>
    <w:rsid w:val="001302DE"/>
    <w:rsid w:val="0013067B"/>
    <w:rsid w:val="001311F7"/>
    <w:rsid w:val="00131C52"/>
    <w:rsid w:val="0013263F"/>
    <w:rsid w:val="00132BDE"/>
    <w:rsid w:val="00132E67"/>
    <w:rsid w:val="00132FC9"/>
    <w:rsid w:val="0013498C"/>
    <w:rsid w:val="0013585B"/>
    <w:rsid w:val="00136216"/>
    <w:rsid w:val="00136CC1"/>
    <w:rsid w:val="00137BAF"/>
    <w:rsid w:val="0014039D"/>
    <w:rsid w:val="00142551"/>
    <w:rsid w:val="00143F10"/>
    <w:rsid w:val="001442F0"/>
    <w:rsid w:val="00144926"/>
    <w:rsid w:val="0014579F"/>
    <w:rsid w:val="00145D88"/>
    <w:rsid w:val="001464F4"/>
    <w:rsid w:val="0014677A"/>
    <w:rsid w:val="00147E99"/>
    <w:rsid w:val="00150E19"/>
    <w:rsid w:val="00152734"/>
    <w:rsid w:val="00152FA9"/>
    <w:rsid w:val="00153C17"/>
    <w:rsid w:val="00154103"/>
    <w:rsid w:val="001557C5"/>
    <w:rsid w:val="001559B3"/>
    <w:rsid w:val="00156120"/>
    <w:rsid w:val="00156329"/>
    <w:rsid w:val="001563B9"/>
    <w:rsid w:val="0015682D"/>
    <w:rsid w:val="001570BC"/>
    <w:rsid w:val="0015757A"/>
    <w:rsid w:val="00157C68"/>
    <w:rsid w:val="00157E28"/>
    <w:rsid w:val="0016063C"/>
    <w:rsid w:val="00160A1F"/>
    <w:rsid w:val="00160C48"/>
    <w:rsid w:val="00161A77"/>
    <w:rsid w:val="001629F7"/>
    <w:rsid w:val="00163473"/>
    <w:rsid w:val="0016396E"/>
    <w:rsid w:val="00163B20"/>
    <w:rsid w:val="00164DFD"/>
    <w:rsid w:val="00165354"/>
    <w:rsid w:val="00166157"/>
    <w:rsid w:val="001670CB"/>
    <w:rsid w:val="00167C52"/>
    <w:rsid w:val="001708C6"/>
    <w:rsid w:val="00170DEF"/>
    <w:rsid w:val="001713C4"/>
    <w:rsid w:val="0017179A"/>
    <w:rsid w:val="00171A3B"/>
    <w:rsid w:val="00171F18"/>
    <w:rsid w:val="00172EC8"/>
    <w:rsid w:val="00172FEA"/>
    <w:rsid w:val="00173304"/>
    <w:rsid w:val="00173369"/>
    <w:rsid w:val="00173DEB"/>
    <w:rsid w:val="00174922"/>
    <w:rsid w:val="0017494D"/>
    <w:rsid w:val="00174A27"/>
    <w:rsid w:val="0017521B"/>
    <w:rsid w:val="0017630A"/>
    <w:rsid w:val="0017634D"/>
    <w:rsid w:val="001769B4"/>
    <w:rsid w:val="00176A98"/>
    <w:rsid w:val="00176AF4"/>
    <w:rsid w:val="00177038"/>
    <w:rsid w:val="00177CDD"/>
    <w:rsid w:val="00181644"/>
    <w:rsid w:val="00181A53"/>
    <w:rsid w:val="00181B47"/>
    <w:rsid w:val="00181E1E"/>
    <w:rsid w:val="001835E6"/>
    <w:rsid w:val="00183AD2"/>
    <w:rsid w:val="00183EAE"/>
    <w:rsid w:val="00183EDE"/>
    <w:rsid w:val="0018497F"/>
    <w:rsid w:val="00184E6E"/>
    <w:rsid w:val="001860DB"/>
    <w:rsid w:val="0018640A"/>
    <w:rsid w:val="001870C8"/>
    <w:rsid w:val="00190614"/>
    <w:rsid w:val="001921E5"/>
    <w:rsid w:val="001928D3"/>
    <w:rsid w:val="00192C26"/>
    <w:rsid w:val="001935F3"/>
    <w:rsid w:val="00193711"/>
    <w:rsid w:val="00193BC1"/>
    <w:rsid w:val="00193D69"/>
    <w:rsid w:val="001942B4"/>
    <w:rsid w:val="00195939"/>
    <w:rsid w:val="00195E1D"/>
    <w:rsid w:val="00195E36"/>
    <w:rsid w:val="00197759"/>
    <w:rsid w:val="00197D53"/>
    <w:rsid w:val="00197D76"/>
    <w:rsid w:val="001A040B"/>
    <w:rsid w:val="001A0B12"/>
    <w:rsid w:val="001A1123"/>
    <w:rsid w:val="001A17C1"/>
    <w:rsid w:val="001A17DB"/>
    <w:rsid w:val="001A1829"/>
    <w:rsid w:val="001A1F5A"/>
    <w:rsid w:val="001A2CA6"/>
    <w:rsid w:val="001A4CBB"/>
    <w:rsid w:val="001A5887"/>
    <w:rsid w:val="001A5F1A"/>
    <w:rsid w:val="001A6198"/>
    <w:rsid w:val="001A66DD"/>
    <w:rsid w:val="001A7FFC"/>
    <w:rsid w:val="001B04B3"/>
    <w:rsid w:val="001B0846"/>
    <w:rsid w:val="001B09FE"/>
    <w:rsid w:val="001B0CEC"/>
    <w:rsid w:val="001B0D4E"/>
    <w:rsid w:val="001B10C7"/>
    <w:rsid w:val="001B137E"/>
    <w:rsid w:val="001B2A5F"/>
    <w:rsid w:val="001B3017"/>
    <w:rsid w:val="001B351C"/>
    <w:rsid w:val="001B35CB"/>
    <w:rsid w:val="001B3B66"/>
    <w:rsid w:val="001B43C8"/>
    <w:rsid w:val="001B481E"/>
    <w:rsid w:val="001B5070"/>
    <w:rsid w:val="001B59EB"/>
    <w:rsid w:val="001B5B02"/>
    <w:rsid w:val="001B6B14"/>
    <w:rsid w:val="001B71B5"/>
    <w:rsid w:val="001B71F2"/>
    <w:rsid w:val="001B7A15"/>
    <w:rsid w:val="001B7CD2"/>
    <w:rsid w:val="001C033A"/>
    <w:rsid w:val="001C0CE8"/>
    <w:rsid w:val="001C1AD3"/>
    <w:rsid w:val="001C2929"/>
    <w:rsid w:val="001C3010"/>
    <w:rsid w:val="001C3822"/>
    <w:rsid w:val="001C42B8"/>
    <w:rsid w:val="001C59BC"/>
    <w:rsid w:val="001C5D39"/>
    <w:rsid w:val="001C6400"/>
    <w:rsid w:val="001C64AF"/>
    <w:rsid w:val="001C7158"/>
    <w:rsid w:val="001D0074"/>
    <w:rsid w:val="001D0384"/>
    <w:rsid w:val="001D07F5"/>
    <w:rsid w:val="001D0DE1"/>
    <w:rsid w:val="001D0E80"/>
    <w:rsid w:val="001D157D"/>
    <w:rsid w:val="001D1656"/>
    <w:rsid w:val="001D1F5B"/>
    <w:rsid w:val="001D2652"/>
    <w:rsid w:val="001D33EA"/>
    <w:rsid w:val="001D377D"/>
    <w:rsid w:val="001D442D"/>
    <w:rsid w:val="001D577D"/>
    <w:rsid w:val="001D68D4"/>
    <w:rsid w:val="001D6C57"/>
    <w:rsid w:val="001D7942"/>
    <w:rsid w:val="001E0151"/>
    <w:rsid w:val="001E0533"/>
    <w:rsid w:val="001E08E1"/>
    <w:rsid w:val="001E0928"/>
    <w:rsid w:val="001E1011"/>
    <w:rsid w:val="001E1499"/>
    <w:rsid w:val="001E19A2"/>
    <w:rsid w:val="001E1E92"/>
    <w:rsid w:val="001E2448"/>
    <w:rsid w:val="001E2689"/>
    <w:rsid w:val="001E2E20"/>
    <w:rsid w:val="001E47D5"/>
    <w:rsid w:val="001E6F08"/>
    <w:rsid w:val="001F0CA6"/>
    <w:rsid w:val="001F16C4"/>
    <w:rsid w:val="001F2CEE"/>
    <w:rsid w:val="001F2EAC"/>
    <w:rsid w:val="001F3424"/>
    <w:rsid w:val="001F350F"/>
    <w:rsid w:val="001F3C01"/>
    <w:rsid w:val="001F3E44"/>
    <w:rsid w:val="001F4729"/>
    <w:rsid w:val="001F4BDC"/>
    <w:rsid w:val="001F4E29"/>
    <w:rsid w:val="001F4EB0"/>
    <w:rsid w:val="001F532A"/>
    <w:rsid w:val="001F64C9"/>
    <w:rsid w:val="001F6697"/>
    <w:rsid w:val="001F6A0D"/>
    <w:rsid w:val="001F6A20"/>
    <w:rsid w:val="002005DD"/>
    <w:rsid w:val="00200704"/>
    <w:rsid w:val="00200A27"/>
    <w:rsid w:val="00201044"/>
    <w:rsid w:val="002011A7"/>
    <w:rsid w:val="00201708"/>
    <w:rsid w:val="00201A28"/>
    <w:rsid w:val="0020298B"/>
    <w:rsid w:val="00202CFC"/>
    <w:rsid w:val="00202D52"/>
    <w:rsid w:val="00202F43"/>
    <w:rsid w:val="00204159"/>
    <w:rsid w:val="0020425A"/>
    <w:rsid w:val="00204811"/>
    <w:rsid w:val="0020515C"/>
    <w:rsid w:val="0020517A"/>
    <w:rsid w:val="00205A97"/>
    <w:rsid w:val="00206466"/>
    <w:rsid w:val="002065B5"/>
    <w:rsid w:val="0020670D"/>
    <w:rsid w:val="00206894"/>
    <w:rsid w:val="002071CD"/>
    <w:rsid w:val="002072F7"/>
    <w:rsid w:val="00210160"/>
    <w:rsid w:val="00210E16"/>
    <w:rsid w:val="002133CE"/>
    <w:rsid w:val="0021368C"/>
    <w:rsid w:val="0021387F"/>
    <w:rsid w:val="00213B8E"/>
    <w:rsid w:val="00213D14"/>
    <w:rsid w:val="00214285"/>
    <w:rsid w:val="002152AB"/>
    <w:rsid w:val="002153C0"/>
    <w:rsid w:val="0021552A"/>
    <w:rsid w:val="00215672"/>
    <w:rsid w:val="0021579B"/>
    <w:rsid w:val="0021677E"/>
    <w:rsid w:val="00216CA2"/>
    <w:rsid w:val="00216CB3"/>
    <w:rsid w:val="00216E47"/>
    <w:rsid w:val="002173D8"/>
    <w:rsid w:val="00217640"/>
    <w:rsid w:val="002176B3"/>
    <w:rsid w:val="00217912"/>
    <w:rsid w:val="00220470"/>
    <w:rsid w:val="0022070B"/>
    <w:rsid w:val="00221014"/>
    <w:rsid w:val="00221785"/>
    <w:rsid w:val="00222AA5"/>
    <w:rsid w:val="00223323"/>
    <w:rsid w:val="002234ED"/>
    <w:rsid w:val="00225932"/>
    <w:rsid w:val="00225F5D"/>
    <w:rsid w:val="00226067"/>
    <w:rsid w:val="002261E3"/>
    <w:rsid w:val="0022625B"/>
    <w:rsid w:val="00226B30"/>
    <w:rsid w:val="0022720C"/>
    <w:rsid w:val="0023087B"/>
    <w:rsid w:val="00230ADD"/>
    <w:rsid w:val="00230CC5"/>
    <w:rsid w:val="002317A8"/>
    <w:rsid w:val="00231BE5"/>
    <w:rsid w:val="00232717"/>
    <w:rsid w:val="00232838"/>
    <w:rsid w:val="002330B5"/>
    <w:rsid w:val="002330BA"/>
    <w:rsid w:val="002333E6"/>
    <w:rsid w:val="002343FC"/>
    <w:rsid w:val="0023486D"/>
    <w:rsid w:val="00234ADB"/>
    <w:rsid w:val="002354EC"/>
    <w:rsid w:val="002357D9"/>
    <w:rsid w:val="00235B1E"/>
    <w:rsid w:val="00236BE3"/>
    <w:rsid w:val="00236D9C"/>
    <w:rsid w:val="002370AE"/>
    <w:rsid w:val="00237A1F"/>
    <w:rsid w:val="00237C32"/>
    <w:rsid w:val="00237CBA"/>
    <w:rsid w:val="002402F0"/>
    <w:rsid w:val="002402FA"/>
    <w:rsid w:val="002405CE"/>
    <w:rsid w:val="00240AAF"/>
    <w:rsid w:val="00241442"/>
    <w:rsid w:val="00241856"/>
    <w:rsid w:val="00242159"/>
    <w:rsid w:val="002423A5"/>
    <w:rsid w:val="002424E2"/>
    <w:rsid w:val="00242E82"/>
    <w:rsid w:val="00242F8E"/>
    <w:rsid w:val="0024395B"/>
    <w:rsid w:val="00245534"/>
    <w:rsid w:val="00245E72"/>
    <w:rsid w:val="00246620"/>
    <w:rsid w:val="00246DA4"/>
    <w:rsid w:val="00246F5C"/>
    <w:rsid w:val="00247A3C"/>
    <w:rsid w:val="00247A88"/>
    <w:rsid w:val="00247D8A"/>
    <w:rsid w:val="0025055F"/>
    <w:rsid w:val="0025156A"/>
    <w:rsid w:val="002537FE"/>
    <w:rsid w:val="00253BDE"/>
    <w:rsid w:val="002540E6"/>
    <w:rsid w:val="0025449C"/>
    <w:rsid w:val="002545DD"/>
    <w:rsid w:val="00254A9C"/>
    <w:rsid w:val="0025611C"/>
    <w:rsid w:val="002568F1"/>
    <w:rsid w:val="00256F4A"/>
    <w:rsid w:val="00257078"/>
    <w:rsid w:val="00260201"/>
    <w:rsid w:val="0026201D"/>
    <w:rsid w:val="00262C6E"/>
    <w:rsid w:val="002630E3"/>
    <w:rsid w:val="00263C70"/>
    <w:rsid w:val="002645D9"/>
    <w:rsid w:val="002649EB"/>
    <w:rsid w:val="00264B07"/>
    <w:rsid w:val="00264FE8"/>
    <w:rsid w:val="00265463"/>
    <w:rsid w:val="00266762"/>
    <w:rsid w:val="0027091C"/>
    <w:rsid w:val="00270B0C"/>
    <w:rsid w:val="0027167B"/>
    <w:rsid w:val="00272019"/>
    <w:rsid w:val="0027229F"/>
    <w:rsid w:val="0027459B"/>
    <w:rsid w:val="00275500"/>
    <w:rsid w:val="00276715"/>
    <w:rsid w:val="002769C4"/>
    <w:rsid w:val="00276AD5"/>
    <w:rsid w:val="00276D46"/>
    <w:rsid w:val="00277689"/>
    <w:rsid w:val="0028193C"/>
    <w:rsid w:val="00282622"/>
    <w:rsid w:val="0028264C"/>
    <w:rsid w:val="00283F64"/>
    <w:rsid w:val="0028442D"/>
    <w:rsid w:val="0028506B"/>
    <w:rsid w:val="002857CD"/>
    <w:rsid w:val="00285B52"/>
    <w:rsid w:val="00286068"/>
    <w:rsid w:val="00286901"/>
    <w:rsid w:val="00286F61"/>
    <w:rsid w:val="00287848"/>
    <w:rsid w:val="002918CB"/>
    <w:rsid w:val="00291FE3"/>
    <w:rsid w:val="00292CA7"/>
    <w:rsid w:val="00292DD4"/>
    <w:rsid w:val="002930FB"/>
    <w:rsid w:val="00293915"/>
    <w:rsid w:val="00293F89"/>
    <w:rsid w:val="0029449C"/>
    <w:rsid w:val="0029501C"/>
    <w:rsid w:val="002956DB"/>
    <w:rsid w:val="002969B0"/>
    <w:rsid w:val="002969B2"/>
    <w:rsid w:val="00296EA8"/>
    <w:rsid w:val="00296EC1"/>
    <w:rsid w:val="00296F6A"/>
    <w:rsid w:val="0029790D"/>
    <w:rsid w:val="00297CF3"/>
    <w:rsid w:val="002A0905"/>
    <w:rsid w:val="002A12F7"/>
    <w:rsid w:val="002A1733"/>
    <w:rsid w:val="002A1BF2"/>
    <w:rsid w:val="002A1E64"/>
    <w:rsid w:val="002A2590"/>
    <w:rsid w:val="002A29AA"/>
    <w:rsid w:val="002A30F3"/>
    <w:rsid w:val="002A6412"/>
    <w:rsid w:val="002A692B"/>
    <w:rsid w:val="002A6E0E"/>
    <w:rsid w:val="002A737C"/>
    <w:rsid w:val="002A7D35"/>
    <w:rsid w:val="002A7F5A"/>
    <w:rsid w:val="002B037E"/>
    <w:rsid w:val="002B0576"/>
    <w:rsid w:val="002B061C"/>
    <w:rsid w:val="002B0E51"/>
    <w:rsid w:val="002B1276"/>
    <w:rsid w:val="002B15A4"/>
    <w:rsid w:val="002B1A2B"/>
    <w:rsid w:val="002B1B2D"/>
    <w:rsid w:val="002B2957"/>
    <w:rsid w:val="002B2A85"/>
    <w:rsid w:val="002B2BE4"/>
    <w:rsid w:val="002B2E1F"/>
    <w:rsid w:val="002B3B29"/>
    <w:rsid w:val="002B3DDD"/>
    <w:rsid w:val="002B4B25"/>
    <w:rsid w:val="002B5336"/>
    <w:rsid w:val="002B5468"/>
    <w:rsid w:val="002B6CCA"/>
    <w:rsid w:val="002C036A"/>
    <w:rsid w:val="002C04AA"/>
    <w:rsid w:val="002C1547"/>
    <w:rsid w:val="002C21E0"/>
    <w:rsid w:val="002C278E"/>
    <w:rsid w:val="002C3668"/>
    <w:rsid w:val="002C4F43"/>
    <w:rsid w:val="002C4F7F"/>
    <w:rsid w:val="002C57C4"/>
    <w:rsid w:val="002C7002"/>
    <w:rsid w:val="002C72C3"/>
    <w:rsid w:val="002C770C"/>
    <w:rsid w:val="002D0D59"/>
    <w:rsid w:val="002D2419"/>
    <w:rsid w:val="002D2B3C"/>
    <w:rsid w:val="002D2C69"/>
    <w:rsid w:val="002D2C72"/>
    <w:rsid w:val="002D32D4"/>
    <w:rsid w:val="002D3405"/>
    <w:rsid w:val="002D3A45"/>
    <w:rsid w:val="002D4002"/>
    <w:rsid w:val="002D42C5"/>
    <w:rsid w:val="002D4946"/>
    <w:rsid w:val="002D53B5"/>
    <w:rsid w:val="002D6659"/>
    <w:rsid w:val="002D66B7"/>
    <w:rsid w:val="002D773F"/>
    <w:rsid w:val="002D7F0A"/>
    <w:rsid w:val="002E009E"/>
    <w:rsid w:val="002E07CA"/>
    <w:rsid w:val="002E091D"/>
    <w:rsid w:val="002E0F36"/>
    <w:rsid w:val="002E20F1"/>
    <w:rsid w:val="002E280D"/>
    <w:rsid w:val="002E2CF6"/>
    <w:rsid w:val="002E300B"/>
    <w:rsid w:val="002E4DE9"/>
    <w:rsid w:val="002E55EA"/>
    <w:rsid w:val="002E5B77"/>
    <w:rsid w:val="002E5BE8"/>
    <w:rsid w:val="002E65F9"/>
    <w:rsid w:val="002E6674"/>
    <w:rsid w:val="002E6725"/>
    <w:rsid w:val="002E6E9F"/>
    <w:rsid w:val="002F0F30"/>
    <w:rsid w:val="002F12A2"/>
    <w:rsid w:val="002F1F98"/>
    <w:rsid w:val="002F20F2"/>
    <w:rsid w:val="002F210F"/>
    <w:rsid w:val="002F3BAD"/>
    <w:rsid w:val="002F426D"/>
    <w:rsid w:val="002F4995"/>
    <w:rsid w:val="002F51D5"/>
    <w:rsid w:val="002F61F8"/>
    <w:rsid w:val="002F6A3A"/>
    <w:rsid w:val="002F6BBE"/>
    <w:rsid w:val="002F6DFA"/>
    <w:rsid w:val="002F7673"/>
    <w:rsid w:val="002F7E8C"/>
    <w:rsid w:val="00300789"/>
    <w:rsid w:val="00300B29"/>
    <w:rsid w:val="00300C2B"/>
    <w:rsid w:val="003019F3"/>
    <w:rsid w:val="00302854"/>
    <w:rsid w:val="00302D41"/>
    <w:rsid w:val="003037FD"/>
    <w:rsid w:val="00303A6B"/>
    <w:rsid w:val="0030407A"/>
    <w:rsid w:val="003043EF"/>
    <w:rsid w:val="00304D42"/>
    <w:rsid w:val="00304D5D"/>
    <w:rsid w:val="00305467"/>
    <w:rsid w:val="003057F3"/>
    <w:rsid w:val="00306399"/>
    <w:rsid w:val="003076BE"/>
    <w:rsid w:val="003079E1"/>
    <w:rsid w:val="003100CD"/>
    <w:rsid w:val="003109F4"/>
    <w:rsid w:val="00310B35"/>
    <w:rsid w:val="003119C7"/>
    <w:rsid w:val="00311D63"/>
    <w:rsid w:val="00311FCB"/>
    <w:rsid w:val="0031281C"/>
    <w:rsid w:val="00313EC6"/>
    <w:rsid w:val="003141EB"/>
    <w:rsid w:val="003145B9"/>
    <w:rsid w:val="003147A9"/>
    <w:rsid w:val="0031543E"/>
    <w:rsid w:val="003155A1"/>
    <w:rsid w:val="003156F6"/>
    <w:rsid w:val="00315C43"/>
    <w:rsid w:val="00315C4D"/>
    <w:rsid w:val="00315DFE"/>
    <w:rsid w:val="003169A8"/>
    <w:rsid w:val="00316F6A"/>
    <w:rsid w:val="0031776F"/>
    <w:rsid w:val="00320385"/>
    <w:rsid w:val="0032063C"/>
    <w:rsid w:val="00320978"/>
    <w:rsid w:val="00321252"/>
    <w:rsid w:val="00321B89"/>
    <w:rsid w:val="00322067"/>
    <w:rsid w:val="003224CC"/>
    <w:rsid w:val="003232ED"/>
    <w:rsid w:val="003233F4"/>
    <w:rsid w:val="003238F1"/>
    <w:rsid w:val="003246EE"/>
    <w:rsid w:val="00325ACC"/>
    <w:rsid w:val="00326FFB"/>
    <w:rsid w:val="00327832"/>
    <w:rsid w:val="003278B5"/>
    <w:rsid w:val="00327918"/>
    <w:rsid w:val="00327B49"/>
    <w:rsid w:val="003300F4"/>
    <w:rsid w:val="0033111F"/>
    <w:rsid w:val="0033162A"/>
    <w:rsid w:val="00331917"/>
    <w:rsid w:val="00331D65"/>
    <w:rsid w:val="00331FC2"/>
    <w:rsid w:val="0033279D"/>
    <w:rsid w:val="00332BEE"/>
    <w:rsid w:val="00332EAB"/>
    <w:rsid w:val="00332F37"/>
    <w:rsid w:val="0033369F"/>
    <w:rsid w:val="00333D46"/>
    <w:rsid w:val="00333FB1"/>
    <w:rsid w:val="00334092"/>
    <w:rsid w:val="003345CE"/>
    <w:rsid w:val="0033500F"/>
    <w:rsid w:val="00335970"/>
    <w:rsid w:val="00335D3F"/>
    <w:rsid w:val="00335F0C"/>
    <w:rsid w:val="00336006"/>
    <w:rsid w:val="003364E0"/>
    <w:rsid w:val="0033797C"/>
    <w:rsid w:val="00337EE8"/>
    <w:rsid w:val="0034119C"/>
    <w:rsid w:val="00341827"/>
    <w:rsid w:val="00342013"/>
    <w:rsid w:val="00342C98"/>
    <w:rsid w:val="00343521"/>
    <w:rsid w:val="003446B2"/>
    <w:rsid w:val="00346A19"/>
    <w:rsid w:val="0034720A"/>
    <w:rsid w:val="003474A3"/>
    <w:rsid w:val="00347E5C"/>
    <w:rsid w:val="0035036D"/>
    <w:rsid w:val="00351578"/>
    <w:rsid w:val="003527D3"/>
    <w:rsid w:val="00352C0D"/>
    <w:rsid w:val="0035327D"/>
    <w:rsid w:val="003537C7"/>
    <w:rsid w:val="003541DF"/>
    <w:rsid w:val="00354620"/>
    <w:rsid w:val="003546B1"/>
    <w:rsid w:val="003554CD"/>
    <w:rsid w:val="00355681"/>
    <w:rsid w:val="00355ED2"/>
    <w:rsid w:val="003577A2"/>
    <w:rsid w:val="0035797E"/>
    <w:rsid w:val="00357F57"/>
    <w:rsid w:val="003600C8"/>
    <w:rsid w:val="00361068"/>
    <w:rsid w:val="0036192C"/>
    <w:rsid w:val="00362711"/>
    <w:rsid w:val="00363EDC"/>
    <w:rsid w:val="0036534B"/>
    <w:rsid w:val="00366BFC"/>
    <w:rsid w:val="00366E82"/>
    <w:rsid w:val="00366F34"/>
    <w:rsid w:val="00366FB9"/>
    <w:rsid w:val="00367944"/>
    <w:rsid w:val="0036797C"/>
    <w:rsid w:val="00367CB7"/>
    <w:rsid w:val="0037043B"/>
    <w:rsid w:val="00370A46"/>
    <w:rsid w:val="00370C96"/>
    <w:rsid w:val="00370E2F"/>
    <w:rsid w:val="00371027"/>
    <w:rsid w:val="003724EB"/>
    <w:rsid w:val="0037340C"/>
    <w:rsid w:val="00373B0A"/>
    <w:rsid w:val="003749E9"/>
    <w:rsid w:val="00375094"/>
    <w:rsid w:val="003751CD"/>
    <w:rsid w:val="003751ED"/>
    <w:rsid w:val="00375217"/>
    <w:rsid w:val="00375698"/>
    <w:rsid w:val="0037609D"/>
    <w:rsid w:val="00376EA7"/>
    <w:rsid w:val="00377451"/>
    <w:rsid w:val="003774DF"/>
    <w:rsid w:val="00377B86"/>
    <w:rsid w:val="00380371"/>
    <w:rsid w:val="0038046C"/>
    <w:rsid w:val="00380490"/>
    <w:rsid w:val="00380A47"/>
    <w:rsid w:val="00380C3B"/>
    <w:rsid w:val="00380EBB"/>
    <w:rsid w:val="00380EC3"/>
    <w:rsid w:val="0038123F"/>
    <w:rsid w:val="00381CF2"/>
    <w:rsid w:val="00382B41"/>
    <w:rsid w:val="00384B13"/>
    <w:rsid w:val="00385F5D"/>
    <w:rsid w:val="00386269"/>
    <w:rsid w:val="00386D25"/>
    <w:rsid w:val="0039026F"/>
    <w:rsid w:val="003906EE"/>
    <w:rsid w:val="00390C7F"/>
    <w:rsid w:val="00391585"/>
    <w:rsid w:val="00392538"/>
    <w:rsid w:val="00392EDF"/>
    <w:rsid w:val="00393854"/>
    <w:rsid w:val="00394648"/>
    <w:rsid w:val="0039511E"/>
    <w:rsid w:val="00395823"/>
    <w:rsid w:val="00395A49"/>
    <w:rsid w:val="00395C92"/>
    <w:rsid w:val="00395CCB"/>
    <w:rsid w:val="003965A2"/>
    <w:rsid w:val="003967F0"/>
    <w:rsid w:val="00396D44"/>
    <w:rsid w:val="00397F25"/>
    <w:rsid w:val="003A0067"/>
    <w:rsid w:val="003A012F"/>
    <w:rsid w:val="003A10B8"/>
    <w:rsid w:val="003A11F0"/>
    <w:rsid w:val="003A1CE4"/>
    <w:rsid w:val="003A1E84"/>
    <w:rsid w:val="003A3622"/>
    <w:rsid w:val="003A38D3"/>
    <w:rsid w:val="003A3A25"/>
    <w:rsid w:val="003A4307"/>
    <w:rsid w:val="003A4710"/>
    <w:rsid w:val="003A50DF"/>
    <w:rsid w:val="003A51ED"/>
    <w:rsid w:val="003A554B"/>
    <w:rsid w:val="003A5C32"/>
    <w:rsid w:val="003A683C"/>
    <w:rsid w:val="003A6E28"/>
    <w:rsid w:val="003B129F"/>
    <w:rsid w:val="003B1A8A"/>
    <w:rsid w:val="003B1EA6"/>
    <w:rsid w:val="003B20E2"/>
    <w:rsid w:val="003B2904"/>
    <w:rsid w:val="003B2B32"/>
    <w:rsid w:val="003B2FB2"/>
    <w:rsid w:val="003B3A41"/>
    <w:rsid w:val="003B3CEE"/>
    <w:rsid w:val="003B4B5D"/>
    <w:rsid w:val="003B58DF"/>
    <w:rsid w:val="003B67FB"/>
    <w:rsid w:val="003B6C1F"/>
    <w:rsid w:val="003B6EFF"/>
    <w:rsid w:val="003B71A9"/>
    <w:rsid w:val="003C0A8D"/>
    <w:rsid w:val="003C0C16"/>
    <w:rsid w:val="003C0F4A"/>
    <w:rsid w:val="003C0FD0"/>
    <w:rsid w:val="003C1173"/>
    <w:rsid w:val="003C1B83"/>
    <w:rsid w:val="003C39BA"/>
    <w:rsid w:val="003C3D19"/>
    <w:rsid w:val="003C616E"/>
    <w:rsid w:val="003C7285"/>
    <w:rsid w:val="003C7943"/>
    <w:rsid w:val="003C7947"/>
    <w:rsid w:val="003D0E12"/>
    <w:rsid w:val="003D1838"/>
    <w:rsid w:val="003D189E"/>
    <w:rsid w:val="003D1B4E"/>
    <w:rsid w:val="003D1C86"/>
    <w:rsid w:val="003D2174"/>
    <w:rsid w:val="003D260B"/>
    <w:rsid w:val="003D37CB"/>
    <w:rsid w:val="003D3C15"/>
    <w:rsid w:val="003D470D"/>
    <w:rsid w:val="003D4F94"/>
    <w:rsid w:val="003D56F2"/>
    <w:rsid w:val="003D57D3"/>
    <w:rsid w:val="003D5B8B"/>
    <w:rsid w:val="003D6444"/>
    <w:rsid w:val="003D6BD7"/>
    <w:rsid w:val="003D7BD6"/>
    <w:rsid w:val="003E0F4E"/>
    <w:rsid w:val="003E1055"/>
    <w:rsid w:val="003E1CA4"/>
    <w:rsid w:val="003E2FDB"/>
    <w:rsid w:val="003E3126"/>
    <w:rsid w:val="003E3BB4"/>
    <w:rsid w:val="003E4271"/>
    <w:rsid w:val="003E4481"/>
    <w:rsid w:val="003E4697"/>
    <w:rsid w:val="003E59E3"/>
    <w:rsid w:val="003E6422"/>
    <w:rsid w:val="003E6B78"/>
    <w:rsid w:val="003E741A"/>
    <w:rsid w:val="003F1FF9"/>
    <w:rsid w:val="003F200D"/>
    <w:rsid w:val="003F2119"/>
    <w:rsid w:val="003F2334"/>
    <w:rsid w:val="003F2EA5"/>
    <w:rsid w:val="003F3E8A"/>
    <w:rsid w:val="003F46E0"/>
    <w:rsid w:val="003F6B68"/>
    <w:rsid w:val="003F6C31"/>
    <w:rsid w:val="003F6FDB"/>
    <w:rsid w:val="00400274"/>
    <w:rsid w:val="00401689"/>
    <w:rsid w:val="00401C63"/>
    <w:rsid w:val="004037B2"/>
    <w:rsid w:val="00403D8C"/>
    <w:rsid w:val="004042D7"/>
    <w:rsid w:val="00404A44"/>
    <w:rsid w:val="00404E8B"/>
    <w:rsid w:val="00405005"/>
    <w:rsid w:val="00405231"/>
    <w:rsid w:val="004059ED"/>
    <w:rsid w:val="00405A41"/>
    <w:rsid w:val="00405B07"/>
    <w:rsid w:val="004064D2"/>
    <w:rsid w:val="0040688E"/>
    <w:rsid w:val="00406968"/>
    <w:rsid w:val="00406C0D"/>
    <w:rsid w:val="00406E96"/>
    <w:rsid w:val="0040752A"/>
    <w:rsid w:val="004076CA"/>
    <w:rsid w:val="00410112"/>
    <w:rsid w:val="0041075F"/>
    <w:rsid w:val="00410C8D"/>
    <w:rsid w:val="0041130C"/>
    <w:rsid w:val="00411BEC"/>
    <w:rsid w:val="004139D3"/>
    <w:rsid w:val="00413BF8"/>
    <w:rsid w:val="00413E82"/>
    <w:rsid w:val="004147F7"/>
    <w:rsid w:val="0041487D"/>
    <w:rsid w:val="00414CC8"/>
    <w:rsid w:val="00415C2F"/>
    <w:rsid w:val="004170A4"/>
    <w:rsid w:val="004175BB"/>
    <w:rsid w:val="00417885"/>
    <w:rsid w:val="00417C21"/>
    <w:rsid w:val="00417DC1"/>
    <w:rsid w:val="00421C24"/>
    <w:rsid w:val="00423E9F"/>
    <w:rsid w:val="0042499E"/>
    <w:rsid w:val="00424C5D"/>
    <w:rsid w:val="0042508C"/>
    <w:rsid w:val="00425B30"/>
    <w:rsid w:val="00425FB0"/>
    <w:rsid w:val="00426226"/>
    <w:rsid w:val="00426E92"/>
    <w:rsid w:val="004273C1"/>
    <w:rsid w:val="00427B2B"/>
    <w:rsid w:val="00430C26"/>
    <w:rsid w:val="00431944"/>
    <w:rsid w:val="00431F87"/>
    <w:rsid w:val="0043393A"/>
    <w:rsid w:val="00433F45"/>
    <w:rsid w:val="00434A43"/>
    <w:rsid w:val="00436279"/>
    <w:rsid w:val="00437168"/>
    <w:rsid w:val="00437429"/>
    <w:rsid w:val="00437587"/>
    <w:rsid w:val="004376C7"/>
    <w:rsid w:val="00437FCB"/>
    <w:rsid w:val="00440380"/>
    <w:rsid w:val="00440602"/>
    <w:rsid w:val="004418E4"/>
    <w:rsid w:val="0044309C"/>
    <w:rsid w:val="0044385C"/>
    <w:rsid w:val="00443B17"/>
    <w:rsid w:val="00444E99"/>
    <w:rsid w:val="00446137"/>
    <w:rsid w:val="0044650F"/>
    <w:rsid w:val="00446A28"/>
    <w:rsid w:val="00446A80"/>
    <w:rsid w:val="004473BD"/>
    <w:rsid w:val="00450FFF"/>
    <w:rsid w:val="00451E5E"/>
    <w:rsid w:val="00451EB2"/>
    <w:rsid w:val="00452F55"/>
    <w:rsid w:val="0045307E"/>
    <w:rsid w:val="004530F8"/>
    <w:rsid w:val="004538E1"/>
    <w:rsid w:val="0045490E"/>
    <w:rsid w:val="00455B18"/>
    <w:rsid w:val="0045603F"/>
    <w:rsid w:val="004572A4"/>
    <w:rsid w:val="004578C1"/>
    <w:rsid w:val="00460008"/>
    <w:rsid w:val="00460776"/>
    <w:rsid w:val="00460BC8"/>
    <w:rsid w:val="0046169B"/>
    <w:rsid w:val="00461BEF"/>
    <w:rsid w:val="00462DCC"/>
    <w:rsid w:val="004636CA"/>
    <w:rsid w:val="00466241"/>
    <w:rsid w:val="004663B6"/>
    <w:rsid w:val="0046680C"/>
    <w:rsid w:val="00466FAF"/>
    <w:rsid w:val="00466FE5"/>
    <w:rsid w:val="0046748A"/>
    <w:rsid w:val="0046752E"/>
    <w:rsid w:val="004679C2"/>
    <w:rsid w:val="00467DBE"/>
    <w:rsid w:val="0047068D"/>
    <w:rsid w:val="00470C92"/>
    <w:rsid w:val="004710B6"/>
    <w:rsid w:val="00471545"/>
    <w:rsid w:val="004717F2"/>
    <w:rsid w:val="0047196C"/>
    <w:rsid w:val="0047214D"/>
    <w:rsid w:val="00472498"/>
    <w:rsid w:val="004727D7"/>
    <w:rsid w:val="00472907"/>
    <w:rsid w:val="00473811"/>
    <w:rsid w:val="00474E64"/>
    <w:rsid w:val="004754A0"/>
    <w:rsid w:val="004756A5"/>
    <w:rsid w:val="004766D7"/>
    <w:rsid w:val="00476A74"/>
    <w:rsid w:val="00477C57"/>
    <w:rsid w:val="0048081E"/>
    <w:rsid w:val="00480BB8"/>
    <w:rsid w:val="00481EE1"/>
    <w:rsid w:val="00482C20"/>
    <w:rsid w:val="00482FED"/>
    <w:rsid w:val="00483FD6"/>
    <w:rsid w:val="00484929"/>
    <w:rsid w:val="00485AC3"/>
    <w:rsid w:val="0048796D"/>
    <w:rsid w:val="00490274"/>
    <w:rsid w:val="0049136E"/>
    <w:rsid w:val="00491A46"/>
    <w:rsid w:val="004932C2"/>
    <w:rsid w:val="00493A25"/>
    <w:rsid w:val="004942C1"/>
    <w:rsid w:val="00494421"/>
    <w:rsid w:val="00494689"/>
    <w:rsid w:val="004962A3"/>
    <w:rsid w:val="0049659A"/>
    <w:rsid w:val="0049675B"/>
    <w:rsid w:val="00496DE5"/>
    <w:rsid w:val="00497B99"/>
    <w:rsid w:val="004A0186"/>
    <w:rsid w:val="004A0195"/>
    <w:rsid w:val="004A0325"/>
    <w:rsid w:val="004A126B"/>
    <w:rsid w:val="004A267D"/>
    <w:rsid w:val="004A2737"/>
    <w:rsid w:val="004A2AA6"/>
    <w:rsid w:val="004A407E"/>
    <w:rsid w:val="004A40F6"/>
    <w:rsid w:val="004A4121"/>
    <w:rsid w:val="004A4539"/>
    <w:rsid w:val="004A4AF9"/>
    <w:rsid w:val="004A4B3B"/>
    <w:rsid w:val="004A576C"/>
    <w:rsid w:val="004A5A58"/>
    <w:rsid w:val="004A65B0"/>
    <w:rsid w:val="004A73C7"/>
    <w:rsid w:val="004B0277"/>
    <w:rsid w:val="004B08AD"/>
    <w:rsid w:val="004B0A1E"/>
    <w:rsid w:val="004B0A29"/>
    <w:rsid w:val="004B1651"/>
    <w:rsid w:val="004B19CD"/>
    <w:rsid w:val="004B2CF1"/>
    <w:rsid w:val="004B3646"/>
    <w:rsid w:val="004B3AA6"/>
    <w:rsid w:val="004B3D5E"/>
    <w:rsid w:val="004B4489"/>
    <w:rsid w:val="004B4704"/>
    <w:rsid w:val="004B4CD5"/>
    <w:rsid w:val="004B5D1C"/>
    <w:rsid w:val="004B66B0"/>
    <w:rsid w:val="004B6BF3"/>
    <w:rsid w:val="004C0BA6"/>
    <w:rsid w:val="004C1C78"/>
    <w:rsid w:val="004C200B"/>
    <w:rsid w:val="004C2684"/>
    <w:rsid w:val="004C2C11"/>
    <w:rsid w:val="004C2F0F"/>
    <w:rsid w:val="004C3102"/>
    <w:rsid w:val="004C3EE4"/>
    <w:rsid w:val="004C40B8"/>
    <w:rsid w:val="004C41AD"/>
    <w:rsid w:val="004C60D2"/>
    <w:rsid w:val="004C72E6"/>
    <w:rsid w:val="004D000E"/>
    <w:rsid w:val="004D010B"/>
    <w:rsid w:val="004D0407"/>
    <w:rsid w:val="004D085B"/>
    <w:rsid w:val="004D10EA"/>
    <w:rsid w:val="004D1176"/>
    <w:rsid w:val="004D2C3E"/>
    <w:rsid w:val="004D2C50"/>
    <w:rsid w:val="004D304B"/>
    <w:rsid w:val="004D313E"/>
    <w:rsid w:val="004D33C1"/>
    <w:rsid w:val="004D35D0"/>
    <w:rsid w:val="004D37E5"/>
    <w:rsid w:val="004D3988"/>
    <w:rsid w:val="004D3F45"/>
    <w:rsid w:val="004D4711"/>
    <w:rsid w:val="004D49F7"/>
    <w:rsid w:val="004D4D76"/>
    <w:rsid w:val="004D5DF8"/>
    <w:rsid w:val="004D700A"/>
    <w:rsid w:val="004D7387"/>
    <w:rsid w:val="004E0036"/>
    <w:rsid w:val="004E04DB"/>
    <w:rsid w:val="004E086F"/>
    <w:rsid w:val="004E0A86"/>
    <w:rsid w:val="004E15A7"/>
    <w:rsid w:val="004E18D8"/>
    <w:rsid w:val="004E1A6A"/>
    <w:rsid w:val="004E1F95"/>
    <w:rsid w:val="004E2D11"/>
    <w:rsid w:val="004E3BE1"/>
    <w:rsid w:val="004E4762"/>
    <w:rsid w:val="004E4B6D"/>
    <w:rsid w:val="004E5535"/>
    <w:rsid w:val="004E60FC"/>
    <w:rsid w:val="004E6EDF"/>
    <w:rsid w:val="004E7502"/>
    <w:rsid w:val="004E77D8"/>
    <w:rsid w:val="004E7B9F"/>
    <w:rsid w:val="004E7FDF"/>
    <w:rsid w:val="004F0629"/>
    <w:rsid w:val="004F0727"/>
    <w:rsid w:val="004F0A83"/>
    <w:rsid w:val="004F1358"/>
    <w:rsid w:val="004F1AD5"/>
    <w:rsid w:val="004F1AFE"/>
    <w:rsid w:val="004F1FCF"/>
    <w:rsid w:val="004F2302"/>
    <w:rsid w:val="004F2FD0"/>
    <w:rsid w:val="004F557F"/>
    <w:rsid w:val="004F7020"/>
    <w:rsid w:val="004F71D1"/>
    <w:rsid w:val="00500586"/>
    <w:rsid w:val="0050059B"/>
    <w:rsid w:val="0050067D"/>
    <w:rsid w:val="00500A5F"/>
    <w:rsid w:val="00500B40"/>
    <w:rsid w:val="0050119D"/>
    <w:rsid w:val="00501416"/>
    <w:rsid w:val="00501D3A"/>
    <w:rsid w:val="00503144"/>
    <w:rsid w:val="00505642"/>
    <w:rsid w:val="00505FA9"/>
    <w:rsid w:val="0050603A"/>
    <w:rsid w:val="00506629"/>
    <w:rsid w:val="00507741"/>
    <w:rsid w:val="00507C79"/>
    <w:rsid w:val="00510E55"/>
    <w:rsid w:val="00511E71"/>
    <w:rsid w:val="00512885"/>
    <w:rsid w:val="00512AA4"/>
    <w:rsid w:val="005137A7"/>
    <w:rsid w:val="0051406C"/>
    <w:rsid w:val="005141C6"/>
    <w:rsid w:val="0051420C"/>
    <w:rsid w:val="00514BE8"/>
    <w:rsid w:val="00514CBC"/>
    <w:rsid w:val="00514CF4"/>
    <w:rsid w:val="005158CF"/>
    <w:rsid w:val="00515A45"/>
    <w:rsid w:val="00516338"/>
    <w:rsid w:val="00516519"/>
    <w:rsid w:val="00517419"/>
    <w:rsid w:val="00517C27"/>
    <w:rsid w:val="00517CB7"/>
    <w:rsid w:val="00520534"/>
    <w:rsid w:val="0052063A"/>
    <w:rsid w:val="00521F1A"/>
    <w:rsid w:val="00522140"/>
    <w:rsid w:val="005222E9"/>
    <w:rsid w:val="005225F2"/>
    <w:rsid w:val="005234CB"/>
    <w:rsid w:val="00523E19"/>
    <w:rsid w:val="00524579"/>
    <w:rsid w:val="00525101"/>
    <w:rsid w:val="005253EF"/>
    <w:rsid w:val="00525F78"/>
    <w:rsid w:val="00525FF1"/>
    <w:rsid w:val="00526D3E"/>
    <w:rsid w:val="0052745E"/>
    <w:rsid w:val="00527682"/>
    <w:rsid w:val="00527EE3"/>
    <w:rsid w:val="0053022A"/>
    <w:rsid w:val="005308F4"/>
    <w:rsid w:val="00530CA2"/>
    <w:rsid w:val="00530D52"/>
    <w:rsid w:val="0053136F"/>
    <w:rsid w:val="005313E0"/>
    <w:rsid w:val="005314CD"/>
    <w:rsid w:val="00531A44"/>
    <w:rsid w:val="00531ADA"/>
    <w:rsid w:val="00531D7D"/>
    <w:rsid w:val="00532A11"/>
    <w:rsid w:val="00532D43"/>
    <w:rsid w:val="00532E21"/>
    <w:rsid w:val="005333C7"/>
    <w:rsid w:val="005347BE"/>
    <w:rsid w:val="00535781"/>
    <w:rsid w:val="00535975"/>
    <w:rsid w:val="00535AAE"/>
    <w:rsid w:val="0053690D"/>
    <w:rsid w:val="00536F17"/>
    <w:rsid w:val="0053710B"/>
    <w:rsid w:val="00537463"/>
    <w:rsid w:val="005415FE"/>
    <w:rsid w:val="005417A0"/>
    <w:rsid w:val="00541993"/>
    <w:rsid w:val="00541AF9"/>
    <w:rsid w:val="00541C21"/>
    <w:rsid w:val="00542388"/>
    <w:rsid w:val="005424B9"/>
    <w:rsid w:val="00542657"/>
    <w:rsid w:val="0054374C"/>
    <w:rsid w:val="00543BE3"/>
    <w:rsid w:val="00544456"/>
    <w:rsid w:val="00544BFF"/>
    <w:rsid w:val="005454E4"/>
    <w:rsid w:val="00546138"/>
    <w:rsid w:val="005463C3"/>
    <w:rsid w:val="005473F4"/>
    <w:rsid w:val="00547DDF"/>
    <w:rsid w:val="00550C93"/>
    <w:rsid w:val="00550D5C"/>
    <w:rsid w:val="00551324"/>
    <w:rsid w:val="00551E99"/>
    <w:rsid w:val="00551EB1"/>
    <w:rsid w:val="0055212D"/>
    <w:rsid w:val="00552424"/>
    <w:rsid w:val="00553046"/>
    <w:rsid w:val="00553AE0"/>
    <w:rsid w:val="00554D5C"/>
    <w:rsid w:val="00555664"/>
    <w:rsid w:val="005556E8"/>
    <w:rsid w:val="00556A03"/>
    <w:rsid w:val="00556CF9"/>
    <w:rsid w:val="00557364"/>
    <w:rsid w:val="00557397"/>
    <w:rsid w:val="0055791D"/>
    <w:rsid w:val="00557E4F"/>
    <w:rsid w:val="0056069F"/>
    <w:rsid w:val="005606AD"/>
    <w:rsid w:val="00560871"/>
    <w:rsid w:val="00560999"/>
    <w:rsid w:val="00561509"/>
    <w:rsid w:val="005617CF"/>
    <w:rsid w:val="0056222A"/>
    <w:rsid w:val="0056499E"/>
    <w:rsid w:val="00564A44"/>
    <w:rsid w:val="005651F4"/>
    <w:rsid w:val="00565AD6"/>
    <w:rsid w:val="00566306"/>
    <w:rsid w:val="00566D09"/>
    <w:rsid w:val="005674F0"/>
    <w:rsid w:val="005677BD"/>
    <w:rsid w:val="00567F3A"/>
    <w:rsid w:val="005706ED"/>
    <w:rsid w:val="005709AA"/>
    <w:rsid w:val="0057100B"/>
    <w:rsid w:val="0057133D"/>
    <w:rsid w:val="005723B7"/>
    <w:rsid w:val="0057241B"/>
    <w:rsid w:val="005726ED"/>
    <w:rsid w:val="005729D4"/>
    <w:rsid w:val="00572DD8"/>
    <w:rsid w:val="005736AD"/>
    <w:rsid w:val="0057545E"/>
    <w:rsid w:val="0057610D"/>
    <w:rsid w:val="005763CF"/>
    <w:rsid w:val="0057751A"/>
    <w:rsid w:val="00577CFB"/>
    <w:rsid w:val="0058042E"/>
    <w:rsid w:val="005807E5"/>
    <w:rsid w:val="00581666"/>
    <w:rsid w:val="00581FD2"/>
    <w:rsid w:val="005830EF"/>
    <w:rsid w:val="005843A9"/>
    <w:rsid w:val="005849A2"/>
    <w:rsid w:val="00584C23"/>
    <w:rsid w:val="0058557E"/>
    <w:rsid w:val="005861A5"/>
    <w:rsid w:val="0058665F"/>
    <w:rsid w:val="005868D5"/>
    <w:rsid w:val="00587F7D"/>
    <w:rsid w:val="00590940"/>
    <w:rsid w:val="00590E13"/>
    <w:rsid w:val="00590E87"/>
    <w:rsid w:val="005911CC"/>
    <w:rsid w:val="00591317"/>
    <w:rsid w:val="005913EB"/>
    <w:rsid w:val="00591D44"/>
    <w:rsid w:val="00591FB4"/>
    <w:rsid w:val="00591FF7"/>
    <w:rsid w:val="005923F7"/>
    <w:rsid w:val="005929D9"/>
    <w:rsid w:val="00592B2A"/>
    <w:rsid w:val="00592C17"/>
    <w:rsid w:val="00592E3E"/>
    <w:rsid w:val="00593D32"/>
    <w:rsid w:val="0059484B"/>
    <w:rsid w:val="0059581D"/>
    <w:rsid w:val="005958DC"/>
    <w:rsid w:val="00595B64"/>
    <w:rsid w:val="00597440"/>
    <w:rsid w:val="005978C5"/>
    <w:rsid w:val="005A1488"/>
    <w:rsid w:val="005A160D"/>
    <w:rsid w:val="005A2E63"/>
    <w:rsid w:val="005A4A23"/>
    <w:rsid w:val="005A4C88"/>
    <w:rsid w:val="005A5CED"/>
    <w:rsid w:val="005A5DA1"/>
    <w:rsid w:val="005A6640"/>
    <w:rsid w:val="005A687E"/>
    <w:rsid w:val="005A719A"/>
    <w:rsid w:val="005A7A3F"/>
    <w:rsid w:val="005B0A16"/>
    <w:rsid w:val="005B0C87"/>
    <w:rsid w:val="005B0E85"/>
    <w:rsid w:val="005B12C6"/>
    <w:rsid w:val="005B130B"/>
    <w:rsid w:val="005B13A8"/>
    <w:rsid w:val="005B19A2"/>
    <w:rsid w:val="005B2307"/>
    <w:rsid w:val="005B29E9"/>
    <w:rsid w:val="005B2DC3"/>
    <w:rsid w:val="005B304D"/>
    <w:rsid w:val="005B5ECB"/>
    <w:rsid w:val="005B605C"/>
    <w:rsid w:val="005B6634"/>
    <w:rsid w:val="005B709D"/>
    <w:rsid w:val="005B745F"/>
    <w:rsid w:val="005C069E"/>
    <w:rsid w:val="005C085C"/>
    <w:rsid w:val="005C218E"/>
    <w:rsid w:val="005C271F"/>
    <w:rsid w:val="005C311D"/>
    <w:rsid w:val="005C339D"/>
    <w:rsid w:val="005C382A"/>
    <w:rsid w:val="005C3DBD"/>
    <w:rsid w:val="005C49F6"/>
    <w:rsid w:val="005C53C3"/>
    <w:rsid w:val="005C5480"/>
    <w:rsid w:val="005C584D"/>
    <w:rsid w:val="005C6493"/>
    <w:rsid w:val="005C66E0"/>
    <w:rsid w:val="005C66EB"/>
    <w:rsid w:val="005C72F0"/>
    <w:rsid w:val="005D02EB"/>
    <w:rsid w:val="005D06C0"/>
    <w:rsid w:val="005D0D2D"/>
    <w:rsid w:val="005D0DE0"/>
    <w:rsid w:val="005D24B9"/>
    <w:rsid w:val="005D278E"/>
    <w:rsid w:val="005D36B3"/>
    <w:rsid w:val="005D4C2F"/>
    <w:rsid w:val="005D4D9B"/>
    <w:rsid w:val="005D5E90"/>
    <w:rsid w:val="005D6189"/>
    <w:rsid w:val="005D65DC"/>
    <w:rsid w:val="005D6B40"/>
    <w:rsid w:val="005D6ECB"/>
    <w:rsid w:val="005D782C"/>
    <w:rsid w:val="005D79C6"/>
    <w:rsid w:val="005D7A9F"/>
    <w:rsid w:val="005E064F"/>
    <w:rsid w:val="005E10CA"/>
    <w:rsid w:val="005E1B80"/>
    <w:rsid w:val="005E2A00"/>
    <w:rsid w:val="005E2EFB"/>
    <w:rsid w:val="005E4449"/>
    <w:rsid w:val="005E4472"/>
    <w:rsid w:val="005E4D61"/>
    <w:rsid w:val="005E4F95"/>
    <w:rsid w:val="005E5908"/>
    <w:rsid w:val="005E6F11"/>
    <w:rsid w:val="005F0CAD"/>
    <w:rsid w:val="005F0EAD"/>
    <w:rsid w:val="005F1AE5"/>
    <w:rsid w:val="005F214F"/>
    <w:rsid w:val="005F2E93"/>
    <w:rsid w:val="005F332B"/>
    <w:rsid w:val="005F41EB"/>
    <w:rsid w:val="005F4B8F"/>
    <w:rsid w:val="005F4F1C"/>
    <w:rsid w:val="005F5628"/>
    <w:rsid w:val="005F5696"/>
    <w:rsid w:val="005F5A76"/>
    <w:rsid w:val="005F5B24"/>
    <w:rsid w:val="005F69E6"/>
    <w:rsid w:val="005F6EE8"/>
    <w:rsid w:val="005F7040"/>
    <w:rsid w:val="005F77B5"/>
    <w:rsid w:val="0060078C"/>
    <w:rsid w:val="00600809"/>
    <w:rsid w:val="006010B2"/>
    <w:rsid w:val="0060161D"/>
    <w:rsid w:val="0060298A"/>
    <w:rsid w:val="00602C9E"/>
    <w:rsid w:val="00603404"/>
    <w:rsid w:val="00603872"/>
    <w:rsid w:val="00603D99"/>
    <w:rsid w:val="0060439D"/>
    <w:rsid w:val="00604839"/>
    <w:rsid w:val="006048B8"/>
    <w:rsid w:val="006052C8"/>
    <w:rsid w:val="00605D87"/>
    <w:rsid w:val="00606746"/>
    <w:rsid w:val="00606E36"/>
    <w:rsid w:val="00607419"/>
    <w:rsid w:val="0060752F"/>
    <w:rsid w:val="0060785F"/>
    <w:rsid w:val="006102CD"/>
    <w:rsid w:val="0061046F"/>
    <w:rsid w:val="0061072F"/>
    <w:rsid w:val="00611DE3"/>
    <w:rsid w:val="00611F28"/>
    <w:rsid w:val="00611F70"/>
    <w:rsid w:val="00612317"/>
    <w:rsid w:val="00612AA4"/>
    <w:rsid w:val="00613225"/>
    <w:rsid w:val="00613256"/>
    <w:rsid w:val="00613427"/>
    <w:rsid w:val="00613632"/>
    <w:rsid w:val="00613716"/>
    <w:rsid w:val="00613E8B"/>
    <w:rsid w:val="00613F54"/>
    <w:rsid w:val="006143BD"/>
    <w:rsid w:val="00614782"/>
    <w:rsid w:val="00614A4A"/>
    <w:rsid w:val="00614C57"/>
    <w:rsid w:val="00614F67"/>
    <w:rsid w:val="0061582C"/>
    <w:rsid w:val="00615FFA"/>
    <w:rsid w:val="0061696B"/>
    <w:rsid w:val="00616F37"/>
    <w:rsid w:val="00617511"/>
    <w:rsid w:val="00620C8E"/>
    <w:rsid w:val="00620F60"/>
    <w:rsid w:val="00621694"/>
    <w:rsid w:val="006219E6"/>
    <w:rsid w:val="006222A0"/>
    <w:rsid w:val="006224C7"/>
    <w:rsid w:val="006230A3"/>
    <w:rsid w:val="00624BCA"/>
    <w:rsid w:val="00624EB8"/>
    <w:rsid w:val="00624ECC"/>
    <w:rsid w:val="006253F6"/>
    <w:rsid w:val="00625A62"/>
    <w:rsid w:val="0062613B"/>
    <w:rsid w:val="00626587"/>
    <w:rsid w:val="00627738"/>
    <w:rsid w:val="00632409"/>
    <w:rsid w:val="00632B91"/>
    <w:rsid w:val="006330D3"/>
    <w:rsid w:val="00633838"/>
    <w:rsid w:val="00633ECA"/>
    <w:rsid w:val="00634110"/>
    <w:rsid w:val="006362A2"/>
    <w:rsid w:val="00636DD9"/>
    <w:rsid w:val="0063717E"/>
    <w:rsid w:val="00637B08"/>
    <w:rsid w:val="00637D1B"/>
    <w:rsid w:val="00640200"/>
    <w:rsid w:val="00640659"/>
    <w:rsid w:val="00640BD4"/>
    <w:rsid w:val="00642465"/>
    <w:rsid w:val="006428BB"/>
    <w:rsid w:val="00642B32"/>
    <w:rsid w:val="00643807"/>
    <w:rsid w:val="00643907"/>
    <w:rsid w:val="00643CE0"/>
    <w:rsid w:val="006448AC"/>
    <w:rsid w:val="00644C26"/>
    <w:rsid w:val="006453E5"/>
    <w:rsid w:val="00646B42"/>
    <w:rsid w:val="00646C22"/>
    <w:rsid w:val="00646E10"/>
    <w:rsid w:val="006476CC"/>
    <w:rsid w:val="00650CF0"/>
    <w:rsid w:val="0065111D"/>
    <w:rsid w:val="00651AFE"/>
    <w:rsid w:val="00651F0D"/>
    <w:rsid w:val="0065326C"/>
    <w:rsid w:val="0065441D"/>
    <w:rsid w:val="00654C53"/>
    <w:rsid w:val="006550A3"/>
    <w:rsid w:val="00655AB4"/>
    <w:rsid w:val="0065606A"/>
    <w:rsid w:val="006567E4"/>
    <w:rsid w:val="006578EF"/>
    <w:rsid w:val="006579E4"/>
    <w:rsid w:val="00657E0D"/>
    <w:rsid w:val="00660118"/>
    <w:rsid w:val="00660F2D"/>
    <w:rsid w:val="006611F2"/>
    <w:rsid w:val="00662209"/>
    <w:rsid w:val="006630DC"/>
    <w:rsid w:val="00663D20"/>
    <w:rsid w:val="006642E3"/>
    <w:rsid w:val="00664CDA"/>
    <w:rsid w:val="0066685A"/>
    <w:rsid w:val="00666AF6"/>
    <w:rsid w:val="00667C61"/>
    <w:rsid w:val="00670928"/>
    <w:rsid w:val="00670CD8"/>
    <w:rsid w:val="00671220"/>
    <w:rsid w:val="006719D4"/>
    <w:rsid w:val="00671D3F"/>
    <w:rsid w:val="006726A9"/>
    <w:rsid w:val="00673297"/>
    <w:rsid w:val="00673E8F"/>
    <w:rsid w:val="0067415E"/>
    <w:rsid w:val="00674234"/>
    <w:rsid w:val="006743C4"/>
    <w:rsid w:val="006746EA"/>
    <w:rsid w:val="006748CA"/>
    <w:rsid w:val="00675F78"/>
    <w:rsid w:val="00676B37"/>
    <w:rsid w:val="00676CE0"/>
    <w:rsid w:val="0067775A"/>
    <w:rsid w:val="00680191"/>
    <w:rsid w:val="00680D4A"/>
    <w:rsid w:val="00681375"/>
    <w:rsid w:val="00681414"/>
    <w:rsid w:val="00681F5F"/>
    <w:rsid w:val="00682013"/>
    <w:rsid w:val="0068256C"/>
    <w:rsid w:val="00682B94"/>
    <w:rsid w:val="0068311B"/>
    <w:rsid w:val="006839FD"/>
    <w:rsid w:val="00683B78"/>
    <w:rsid w:val="00683D7E"/>
    <w:rsid w:val="00683E05"/>
    <w:rsid w:val="006843C0"/>
    <w:rsid w:val="0068440B"/>
    <w:rsid w:val="006844CE"/>
    <w:rsid w:val="006848DB"/>
    <w:rsid w:val="006851F2"/>
    <w:rsid w:val="0068543E"/>
    <w:rsid w:val="0068568E"/>
    <w:rsid w:val="00685FF4"/>
    <w:rsid w:val="0068648F"/>
    <w:rsid w:val="00687549"/>
    <w:rsid w:val="006879DE"/>
    <w:rsid w:val="00687BCC"/>
    <w:rsid w:val="00692608"/>
    <w:rsid w:val="006929FA"/>
    <w:rsid w:val="00693816"/>
    <w:rsid w:val="00693CBB"/>
    <w:rsid w:val="00693E70"/>
    <w:rsid w:val="00694904"/>
    <w:rsid w:val="00694C65"/>
    <w:rsid w:val="00694DBC"/>
    <w:rsid w:val="00695C4F"/>
    <w:rsid w:val="00695CFC"/>
    <w:rsid w:val="006960FB"/>
    <w:rsid w:val="00696580"/>
    <w:rsid w:val="00697E1D"/>
    <w:rsid w:val="006A0A2E"/>
    <w:rsid w:val="006A11A2"/>
    <w:rsid w:val="006A140C"/>
    <w:rsid w:val="006A2200"/>
    <w:rsid w:val="006A242C"/>
    <w:rsid w:val="006A2F90"/>
    <w:rsid w:val="006A3838"/>
    <w:rsid w:val="006A4C23"/>
    <w:rsid w:val="006A4CA0"/>
    <w:rsid w:val="006A50D5"/>
    <w:rsid w:val="006A5E8D"/>
    <w:rsid w:val="006A6559"/>
    <w:rsid w:val="006A6A5F"/>
    <w:rsid w:val="006A6EA0"/>
    <w:rsid w:val="006A7351"/>
    <w:rsid w:val="006A7839"/>
    <w:rsid w:val="006A7A39"/>
    <w:rsid w:val="006B0D73"/>
    <w:rsid w:val="006B1595"/>
    <w:rsid w:val="006B169F"/>
    <w:rsid w:val="006B1C4B"/>
    <w:rsid w:val="006B23B9"/>
    <w:rsid w:val="006B2780"/>
    <w:rsid w:val="006B2A20"/>
    <w:rsid w:val="006B2C51"/>
    <w:rsid w:val="006B37E4"/>
    <w:rsid w:val="006B5E5F"/>
    <w:rsid w:val="006B6401"/>
    <w:rsid w:val="006B66AB"/>
    <w:rsid w:val="006B6891"/>
    <w:rsid w:val="006B6C4D"/>
    <w:rsid w:val="006C041D"/>
    <w:rsid w:val="006C06F3"/>
    <w:rsid w:val="006C1337"/>
    <w:rsid w:val="006C24A2"/>
    <w:rsid w:val="006C2D4F"/>
    <w:rsid w:val="006C36A4"/>
    <w:rsid w:val="006C3914"/>
    <w:rsid w:val="006C3B52"/>
    <w:rsid w:val="006C4881"/>
    <w:rsid w:val="006C4AE3"/>
    <w:rsid w:val="006C608A"/>
    <w:rsid w:val="006C6E36"/>
    <w:rsid w:val="006C71D8"/>
    <w:rsid w:val="006C7DF4"/>
    <w:rsid w:val="006C7E75"/>
    <w:rsid w:val="006C7EB2"/>
    <w:rsid w:val="006D0515"/>
    <w:rsid w:val="006D0559"/>
    <w:rsid w:val="006D0896"/>
    <w:rsid w:val="006D0BCD"/>
    <w:rsid w:val="006D0EA0"/>
    <w:rsid w:val="006D0FF7"/>
    <w:rsid w:val="006D2579"/>
    <w:rsid w:val="006D308B"/>
    <w:rsid w:val="006D31E9"/>
    <w:rsid w:val="006D3737"/>
    <w:rsid w:val="006D3801"/>
    <w:rsid w:val="006D3F36"/>
    <w:rsid w:val="006D409A"/>
    <w:rsid w:val="006D4A11"/>
    <w:rsid w:val="006D6632"/>
    <w:rsid w:val="006D6ED9"/>
    <w:rsid w:val="006D6F96"/>
    <w:rsid w:val="006D75B1"/>
    <w:rsid w:val="006E0141"/>
    <w:rsid w:val="006E01ED"/>
    <w:rsid w:val="006E1FF9"/>
    <w:rsid w:val="006E23B6"/>
    <w:rsid w:val="006E2E50"/>
    <w:rsid w:val="006E370F"/>
    <w:rsid w:val="006E3EB8"/>
    <w:rsid w:val="006E4E9B"/>
    <w:rsid w:val="006E5782"/>
    <w:rsid w:val="006E57A3"/>
    <w:rsid w:val="006E59C5"/>
    <w:rsid w:val="006E5B35"/>
    <w:rsid w:val="006E7129"/>
    <w:rsid w:val="006E757B"/>
    <w:rsid w:val="006F0555"/>
    <w:rsid w:val="006F08CB"/>
    <w:rsid w:val="006F1493"/>
    <w:rsid w:val="006F150E"/>
    <w:rsid w:val="006F1D71"/>
    <w:rsid w:val="006F33CA"/>
    <w:rsid w:val="006F3EE4"/>
    <w:rsid w:val="006F43E5"/>
    <w:rsid w:val="006F5DE6"/>
    <w:rsid w:val="006F5DF6"/>
    <w:rsid w:val="006F6037"/>
    <w:rsid w:val="006F632E"/>
    <w:rsid w:val="006F6A74"/>
    <w:rsid w:val="006F6DD2"/>
    <w:rsid w:val="006F78E9"/>
    <w:rsid w:val="00700116"/>
    <w:rsid w:val="007004FD"/>
    <w:rsid w:val="007023AB"/>
    <w:rsid w:val="0070266A"/>
    <w:rsid w:val="00702676"/>
    <w:rsid w:val="007027E8"/>
    <w:rsid w:val="0070293F"/>
    <w:rsid w:val="00703942"/>
    <w:rsid w:val="00703EEA"/>
    <w:rsid w:val="0070414D"/>
    <w:rsid w:val="007049BF"/>
    <w:rsid w:val="00704CFA"/>
    <w:rsid w:val="00705649"/>
    <w:rsid w:val="007056F2"/>
    <w:rsid w:val="00705836"/>
    <w:rsid w:val="00706E65"/>
    <w:rsid w:val="007078D2"/>
    <w:rsid w:val="0071027F"/>
    <w:rsid w:val="00710999"/>
    <w:rsid w:val="00712BD4"/>
    <w:rsid w:val="00713289"/>
    <w:rsid w:val="00713327"/>
    <w:rsid w:val="007134E2"/>
    <w:rsid w:val="00714155"/>
    <w:rsid w:val="007147A7"/>
    <w:rsid w:val="00714DF4"/>
    <w:rsid w:val="00715B7C"/>
    <w:rsid w:val="00717240"/>
    <w:rsid w:val="0071793E"/>
    <w:rsid w:val="00717EA4"/>
    <w:rsid w:val="00720837"/>
    <w:rsid w:val="00720B5A"/>
    <w:rsid w:val="00721A22"/>
    <w:rsid w:val="00721E01"/>
    <w:rsid w:val="007222C2"/>
    <w:rsid w:val="00722342"/>
    <w:rsid w:val="007228FA"/>
    <w:rsid w:val="0072314B"/>
    <w:rsid w:val="00723DDF"/>
    <w:rsid w:val="007242B5"/>
    <w:rsid w:val="0072456D"/>
    <w:rsid w:val="0072498B"/>
    <w:rsid w:val="00724F3C"/>
    <w:rsid w:val="00725919"/>
    <w:rsid w:val="00727000"/>
    <w:rsid w:val="00727263"/>
    <w:rsid w:val="00727A93"/>
    <w:rsid w:val="00727E25"/>
    <w:rsid w:val="007300C5"/>
    <w:rsid w:val="00730CE4"/>
    <w:rsid w:val="00732989"/>
    <w:rsid w:val="00732BA2"/>
    <w:rsid w:val="00732CFC"/>
    <w:rsid w:val="00732D58"/>
    <w:rsid w:val="00732ED7"/>
    <w:rsid w:val="00733909"/>
    <w:rsid w:val="00733ADD"/>
    <w:rsid w:val="007348F1"/>
    <w:rsid w:val="00735CC0"/>
    <w:rsid w:val="007366F4"/>
    <w:rsid w:val="00736917"/>
    <w:rsid w:val="00736C63"/>
    <w:rsid w:val="00737D5E"/>
    <w:rsid w:val="00740852"/>
    <w:rsid w:val="007408D1"/>
    <w:rsid w:val="0074158E"/>
    <w:rsid w:val="0074167D"/>
    <w:rsid w:val="0074178C"/>
    <w:rsid w:val="00741A70"/>
    <w:rsid w:val="00742760"/>
    <w:rsid w:val="00742A8B"/>
    <w:rsid w:val="007434BB"/>
    <w:rsid w:val="00743A1F"/>
    <w:rsid w:val="00743AD9"/>
    <w:rsid w:val="00744654"/>
    <w:rsid w:val="00744A4A"/>
    <w:rsid w:val="00745139"/>
    <w:rsid w:val="00745BFD"/>
    <w:rsid w:val="007461D1"/>
    <w:rsid w:val="0074651F"/>
    <w:rsid w:val="0074666B"/>
    <w:rsid w:val="00746D4D"/>
    <w:rsid w:val="007472EF"/>
    <w:rsid w:val="007509D8"/>
    <w:rsid w:val="0075101C"/>
    <w:rsid w:val="0075121A"/>
    <w:rsid w:val="007515EA"/>
    <w:rsid w:val="0075204E"/>
    <w:rsid w:val="007524E8"/>
    <w:rsid w:val="00752918"/>
    <w:rsid w:val="00753263"/>
    <w:rsid w:val="007537F1"/>
    <w:rsid w:val="00753DFC"/>
    <w:rsid w:val="007540C5"/>
    <w:rsid w:val="00754324"/>
    <w:rsid w:val="007546B2"/>
    <w:rsid w:val="007575D8"/>
    <w:rsid w:val="007578C7"/>
    <w:rsid w:val="007578DC"/>
    <w:rsid w:val="00757999"/>
    <w:rsid w:val="00757B9A"/>
    <w:rsid w:val="00757E88"/>
    <w:rsid w:val="00760B01"/>
    <w:rsid w:val="00761A85"/>
    <w:rsid w:val="00762239"/>
    <w:rsid w:val="0076376C"/>
    <w:rsid w:val="00763F7B"/>
    <w:rsid w:val="007641CB"/>
    <w:rsid w:val="00766C90"/>
    <w:rsid w:val="007671F4"/>
    <w:rsid w:val="007671FB"/>
    <w:rsid w:val="00767B4A"/>
    <w:rsid w:val="007707CD"/>
    <w:rsid w:val="00770A75"/>
    <w:rsid w:val="00770DAF"/>
    <w:rsid w:val="00770E8C"/>
    <w:rsid w:val="00771996"/>
    <w:rsid w:val="00772E69"/>
    <w:rsid w:val="00772F2A"/>
    <w:rsid w:val="00773381"/>
    <w:rsid w:val="00773819"/>
    <w:rsid w:val="007738B1"/>
    <w:rsid w:val="007738ED"/>
    <w:rsid w:val="00774989"/>
    <w:rsid w:val="00774CF7"/>
    <w:rsid w:val="007752D7"/>
    <w:rsid w:val="007754AE"/>
    <w:rsid w:val="00776EA8"/>
    <w:rsid w:val="00777FC7"/>
    <w:rsid w:val="00780DCD"/>
    <w:rsid w:val="00780E2F"/>
    <w:rsid w:val="00781263"/>
    <w:rsid w:val="00781914"/>
    <w:rsid w:val="0078192C"/>
    <w:rsid w:val="00781FA6"/>
    <w:rsid w:val="007824AA"/>
    <w:rsid w:val="0078279F"/>
    <w:rsid w:val="0078330C"/>
    <w:rsid w:val="00784D8D"/>
    <w:rsid w:val="00785D49"/>
    <w:rsid w:val="00786655"/>
    <w:rsid w:val="007873D7"/>
    <w:rsid w:val="007873F5"/>
    <w:rsid w:val="0078758A"/>
    <w:rsid w:val="00787C45"/>
    <w:rsid w:val="00787D19"/>
    <w:rsid w:val="007900A4"/>
    <w:rsid w:val="00790334"/>
    <w:rsid w:val="007903C0"/>
    <w:rsid w:val="007908C9"/>
    <w:rsid w:val="00791268"/>
    <w:rsid w:val="00791421"/>
    <w:rsid w:val="00791631"/>
    <w:rsid w:val="00791848"/>
    <w:rsid w:val="00792944"/>
    <w:rsid w:val="00792B8A"/>
    <w:rsid w:val="00793FD7"/>
    <w:rsid w:val="00794B7C"/>
    <w:rsid w:val="00794F4D"/>
    <w:rsid w:val="00795954"/>
    <w:rsid w:val="00795DC3"/>
    <w:rsid w:val="00796125"/>
    <w:rsid w:val="00796B25"/>
    <w:rsid w:val="00796DEC"/>
    <w:rsid w:val="00797DFE"/>
    <w:rsid w:val="00797F22"/>
    <w:rsid w:val="007A0FBB"/>
    <w:rsid w:val="007A1705"/>
    <w:rsid w:val="007A2FDE"/>
    <w:rsid w:val="007A3E22"/>
    <w:rsid w:val="007A3EEC"/>
    <w:rsid w:val="007A42DC"/>
    <w:rsid w:val="007A43F0"/>
    <w:rsid w:val="007A48F5"/>
    <w:rsid w:val="007A51A5"/>
    <w:rsid w:val="007A51B4"/>
    <w:rsid w:val="007A55BC"/>
    <w:rsid w:val="007A66BC"/>
    <w:rsid w:val="007A6763"/>
    <w:rsid w:val="007A6A80"/>
    <w:rsid w:val="007A6B30"/>
    <w:rsid w:val="007A6D5F"/>
    <w:rsid w:val="007A7A14"/>
    <w:rsid w:val="007A7B6F"/>
    <w:rsid w:val="007A7D4D"/>
    <w:rsid w:val="007B05F6"/>
    <w:rsid w:val="007B0D8E"/>
    <w:rsid w:val="007B1376"/>
    <w:rsid w:val="007B2536"/>
    <w:rsid w:val="007B2800"/>
    <w:rsid w:val="007B3116"/>
    <w:rsid w:val="007B382F"/>
    <w:rsid w:val="007B443E"/>
    <w:rsid w:val="007B4454"/>
    <w:rsid w:val="007B4533"/>
    <w:rsid w:val="007B485D"/>
    <w:rsid w:val="007B4CBC"/>
    <w:rsid w:val="007B4D9D"/>
    <w:rsid w:val="007B4DA7"/>
    <w:rsid w:val="007B4E07"/>
    <w:rsid w:val="007B5A24"/>
    <w:rsid w:val="007B66F4"/>
    <w:rsid w:val="007B70B2"/>
    <w:rsid w:val="007B73D5"/>
    <w:rsid w:val="007B7647"/>
    <w:rsid w:val="007C0223"/>
    <w:rsid w:val="007C04A7"/>
    <w:rsid w:val="007C1406"/>
    <w:rsid w:val="007C15D9"/>
    <w:rsid w:val="007C213A"/>
    <w:rsid w:val="007C251D"/>
    <w:rsid w:val="007C31BF"/>
    <w:rsid w:val="007C3469"/>
    <w:rsid w:val="007C3626"/>
    <w:rsid w:val="007C4176"/>
    <w:rsid w:val="007C4423"/>
    <w:rsid w:val="007C457E"/>
    <w:rsid w:val="007C4613"/>
    <w:rsid w:val="007C4AE1"/>
    <w:rsid w:val="007C5570"/>
    <w:rsid w:val="007C6015"/>
    <w:rsid w:val="007C6969"/>
    <w:rsid w:val="007C6C7E"/>
    <w:rsid w:val="007C7DFE"/>
    <w:rsid w:val="007D0019"/>
    <w:rsid w:val="007D07AE"/>
    <w:rsid w:val="007D0A6A"/>
    <w:rsid w:val="007D10BC"/>
    <w:rsid w:val="007D2568"/>
    <w:rsid w:val="007D2821"/>
    <w:rsid w:val="007D3CC6"/>
    <w:rsid w:val="007D43CB"/>
    <w:rsid w:val="007D47D3"/>
    <w:rsid w:val="007D4C41"/>
    <w:rsid w:val="007D4FA7"/>
    <w:rsid w:val="007D67D7"/>
    <w:rsid w:val="007D7109"/>
    <w:rsid w:val="007D7AC4"/>
    <w:rsid w:val="007E0C6C"/>
    <w:rsid w:val="007E0F12"/>
    <w:rsid w:val="007E139E"/>
    <w:rsid w:val="007E3AE3"/>
    <w:rsid w:val="007E3F6D"/>
    <w:rsid w:val="007E4490"/>
    <w:rsid w:val="007E4631"/>
    <w:rsid w:val="007E47F8"/>
    <w:rsid w:val="007E49B7"/>
    <w:rsid w:val="007E4A92"/>
    <w:rsid w:val="007E4C2F"/>
    <w:rsid w:val="007E50E1"/>
    <w:rsid w:val="007E56F0"/>
    <w:rsid w:val="007E5A59"/>
    <w:rsid w:val="007E5CF0"/>
    <w:rsid w:val="007E5E6F"/>
    <w:rsid w:val="007E5E9E"/>
    <w:rsid w:val="007E6650"/>
    <w:rsid w:val="007E6BD3"/>
    <w:rsid w:val="007E6D26"/>
    <w:rsid w:val="007E6D76"/>
    <w:rsid w:val="007E781A"/>
    <w:rsid w:val="007E7BA4"/>
    <w:rsid w:val="007F01D6"/>
    <w:rsid w:val="007F06EB"/>
    <w:rsid w:val="007F0ACC"/>
    <w:rsid w:val="007F0B6E"/>
    <w:rsid w:val="007F0C5A"/>
    <w:rsid w:val="007F1222"/>
    <w:rsid w:val="007F172C"/>
    <w:rsid w:val="007F1BE9"/>
    <w:rsid w:val="007F1E28"/>
    <w:rsid w:val="007F34A5"/>
    <w:rsid w:val="007F3C5F"/>
    <w:rsid w:val="007F42AC"/>
    <w:rsid w:val="007F49C4"/>
    <w:rsid w:val="007F6189"/>
    <w:rsid w:val="007F6AD8"/>
    <w:rsid w:val="007F6B7A"/>
    <w:rsid w:val="00801A97"/>
    <w:rsid w:val="00802A2D"/>
    <w:rsid w:val="00802A58"/>
    <w:rsid w:val="00803557"/>
    <w:rsid w:val="00803B8F"/>
    <w:rsid w:val="00803CDF"/>
    <w:rsid w:val="008042AC"/>
    <w:rsid w:val="008049D2"/>
    <w:rsid w:val="008050BC"/>
    <w:rsid w:val="008052C5"/>
    <w:rsid w:val="008052C7"/>
    <w:rsid w:val="008054FF"/>
    <w:rsid w:val="00805BA0"/>
    <w:rsid w:val="00805C37"/>
    <w:rsid w:val="00805D92"/>
    <w:rsid w:val="00806862"/>
    <w:rsid w:val="008070E9"/>
    <w:rsid w:val="00810478"/>
    <w:rsid w:val="00810B55"/>
    <w:rsid w:val="00811399"/>
    <w:rsid w:val="00812F32"/>
    <w:rsid w:val="00812F78"/>
    <w:rsid w:val="00813017"/>
    <w:rsid w:val="00813675"/>
    <w:rsid w:val="008145CD"/>
    <w:rsid w:val="00814662"/>
    <w:rsid w:val="00814BB9"/>
    <w:rsid w:val="00815845"/>
    <w:rsid w:val="008162F4"/>
    <w:rsid w:val="00816376"/>
    <w:rsid w:val="00816478"/>
    <w:rsid w:val="00816E5A"/>
    <w:rsid w:val="00817002"/>
    <w:rsid w:val="0081765E"/>
    <w:rsid w:val="00817A61"/>
    <w:rsid w:val="0082017C"/>
    <w:rsid w:val="008201F7"/>
    <w:rsid w:val="00820B34"/>
    <w:rsid w:val="0082128E"/>
    <w:rsid w:val="00821DFF"/>
    <w:rsid w:val="00821FE2"/>
    <w:rsid w:val="0082343E"/>
    <w:rsid w:val="00823D64"/>
    <w:rsid w:val="00823E36"/>
    <w:rsid w:val="0082448C"/>
    <w:rsid w:val="008244D3"/>
    <w:rsid w:val="00824661"/>
    <w:rsid w:val="00825579"/>
    <w:rsid w:val="00826833"/>
    <w:rsid w:val="008274EC"/>
    <w:rsid w:val="00827798"/>
    <w:rsid w:val="00827D22"/>
    <w:rsid w:val="008307C8"/>
    <w:rsid w:val="00830A74"/>
    <w:rsid w:val="00831223"/>
    <w:rsid w:val="00832024"/>
    <w:rsid w:val="0083204D"/>
    <w:rsid w:val="0083221A"/>
    <w:rsid w:val="00833368"/>
    <w:rsid w:val="00833A43"/>
    <w:rsid w:val="00834092"/>
    <w:rsid w:val="008345D6"/>
    <w:rsid w:val="00835B41"/>
    <w:rsid w:val="00835F6E"/>
    <w:rsid w:val="00836857"/>
    <w:rsid w:val="00837169"/>
    <w:rsid w:val="008373BA"/>
    <w:rsid w:val="00842754"/>
    <w:rsid w:val="00842A49"/>
    <w:rsid w:val="0084379C"/>
    <w:rsid w:val="0084458B"/>
    <w:rsid w:val="0084477E"/>
    <w:rsid w:val="00844BFB"/>
    <w:rsid w:val="00844DF8"/>
    <w:rsid w:val="008454F2"/>
    <w:rsid w:val="00847999"/>
    <w:rsid w:val="00847A30"/>
    <w:rsid w:val="00847D01"/>
    <w:rsid w:val="00850216"/>
    <w:rsid w:val="008512CE"/>
    <w:rsid w:val="00851364"/>
    <w:rsid w:val="00851F70"/>
    <w:rsid w:val="00852548"/>
    <w:rsid w:val="00852CF1"/>
    <w:rsid w:val="00853CAF"/>
    <w:rsid w:val="00854784"/>
    <w:rsid w:val="0085533C"/>
    <w:rsid w:val="008554EC"/>
    <w:rsid w:val="00855D0E"/>
    <w:rsid w:val="008567C2"/>
    <w:rsid w:val="008576E5"/>
    <w:rsid w:val="00857BC5"/>
    <w:rsid w:val="00857C51"/>
    <w:rsid w:val="00857C57"/>
    <w:rsid w:val="00860243"/>
    <w:rsid w:val="008603C4"/>
    <w:rsid w:val="00860491"/>
    <w:rsid w:val="008608F9"/>
    <w:rsid w:val="0086122F"/>
    <w:rsid w:val="008616A3"/>
    <w:rsid w:val="0086193A"/>
    <w:rsid w:val="00861ADB"/>
    <w:rsid w:val="00861C9D"/>
    <w:rsid w:val="008628FB"/>
    <w:rsid w:val="00862D44"/>
    <w:rsid w:val="00863185"/>
    <w:rsid w:val="00863224"/>
    <w:rsid w:val="00863567"/>
    <w:rsid w:val="00864153"/>
    <w:rsid w:val="0086488D"/>
    <w:rsid w:val="00864D91"/>
    <w:rsid w:val="0086521B"/>
    <w:rsid w:val="00865599"/>
    <w:rsid w:val="00865A51"/>
    <w:rsid w:val="008675A4"/>
    <w:rsid w:val="0086779C"/>
    <w:rsid w:val="00870095"/>
    <w:rsid w:val="00870500"/>
    <w:rsid w:val="008713A9"/>
    <w:rsid w:val="008714D1"/>
    <w:rsid w:val="00872075"/>
    <w:rsid w:val="00873BB0"/>
    <w:rsid w:val="00874110"/>
    <w:rsid w:val="0087445F"/>
    <w:rsid w:val="00874A4B"/>
    <w:rsid w:val="00874C06"/>
    <w:rsid w:val="00874FF6"/>
    <w:rsid w:val="0087533C"/>
    <w:rsid w:val="0087768C"/>
    <w:rsid w:val="008776BD"/>
    <w:rsid w:val="0087783B"/>
    <w:rsid w:val="00877DD5"/>
    <w:rsid w:val="00880670"/>
    <w:rsid w:val="00880E01"/>
    <w:rsid w:val="008817D2"/>
    <w:rsid w:val="008819C0"/>
    <w:rsid w:val="00881FA4"/>
    <w:rsid w:val="0088222C"/>
    <w:rsid w:val="008822DB"/>
    <w:rsid w:val="00882334"/>
    <w:rsid w:val="0088292C"/>
    <w:rsid w:val="00882BFB"/>
    <w:rsid w:val="00882EDA"/>
    <w:rsid w:val="00883463"/>
    <w:rsid w:val="00883F65"/>
    <w:rsid w:val="00884797"/>
    <w:rsid w:val="0088536A"/>
    <w:rsid w:val="00885BE7"/>
    <w:rsid w:val="00885D63"/>
    <w:rsid w:val="008862BC"/>
    <w:rsid w:val="00886D27"/>
    <w:rsid w:val="00887222"/>
    <w:rsid w:val="008905D5"/>
    <w:rsid w:val="00890B66"/>
    <w:rsid w:val="008912B1"/>
    <w:rsid w:val="00891C20"/>
    <w:rsid w:val="0089248F"/>
    <w:rsid w:val="008924FA"/>
    <w:rsid w:val="00892AA3"/>
    <w:rsid w:val="00892D42"/>
    <w:rsid w:val="00894972"/>
    <w:rsid w:val="008951B3"/>
    <w:rsid w:val="008955DF"/>
    <w:rsid w:val="00895A80"/>
    <w:rsid w:val="0089658F"/>
    <w:rsid w:val="0089694C"/>
    <w:rsid w:val="00897785"/>
    <w:rsid w:val="0089794D"/>
    <w:rsid w:val="008A1921"/>
    <w:rsid w:val="008A23D0"/>
    <w:rsid w:val="008A251B"/>
    <w:rsid w:val="008A3C31"/>
    <w:rsid w:val="008A4188"/>
    <w:rsid w:val="008A452D"/>
    <w:rsid w:val="008A480C"/>
    <w:rsid w:val="008A4E6B"/>
    <w:rsid w:val="008A534B"/>
    <w:rsid w:val="008A574F"/>
    <w:rsid w:val="008A5B82"/>
    <w:rsid w:val="008A5C53"/>
    <w:rsid w:val="008A6523"/>
    <w:rsid w:val="008A71A1"/>
    <w:rsid w:val="008A7CD4"/>
    <w:rsid w:val="008B0ECE"/>
    <w:rsid w:val="008B0F7D"/>
    <w:rsid w:val="008B0F90"/>
    <w:rsid w:val="008B0FCF"/>
    <w:rsid w:val="008B2450"/>
    <w:rsid w:val="008B302F"/>
    <w:rsid w:val="008B391D"/>
    <w:rsid w:val="008B5600"/>
    <w:rsid w:val="008B576A"/>
    <w:rsid w:val="008B5DEA"/>
    <w:rsid w:val="008B6D1C"/>
    <w:rsid w:val="008B7ECD"/>
    <w:rsid w:val="008C0251"/>
    <w:rsid w:val="008C0E23"/>
    <w:rsid w:val="008C138E"/>
    <w:rsid w:val="008C1702"/>
    <w:rsid w:val="008C1A82"/>
    <w:rsid w:val="008C1B05"/>
    <w:rsid w:val="008C1EC3"/>
    <w:rsid w:val="008C2922"/>
    <w:rsid w:val="008C3D7A"/>
    <w:rsid w:val="008C3E0F"/>
    <w:rsid w:val="008C3F11"/>
    <w:rsid w:val="008C4311"/>
    <w:rsid w:val="008C53F9"/>
    <w:rsid w:val="008C6266"/>
    <w:rsid w:val="008C665E"/>
    <w:rsid w:val="008C702B"/>
    <w:rsid w:val="008C744E"/>
    <w:rsid w:val="008C7C93"/>
    <w:rsid w:val="008D1272"/>
    <w:rsid w:val="008D1FC7"/>
    <w:rsid w:val="008D21BC"/>
    <w:rsid w:val="008D27D2"/>
    <w:rsid w:val="008D2B9D"/>
    <w:rsid w:val="008D2E0C"/>
    <w:rsid w:val="008D3188"/>
    <w:rsid w:val="008D320F"/>
    <w:rsid w:val="008D331D"/>
    <w:rsid w:val="008D3F8B"/>
    <w:rsid w:val="008D4446"/>
    <w:rsid w:val="008D4E40"/>
    <w:rsid w:val="008D554C"/>
    <w:rsid w:val="008D55C5"/>
    <w:rsid w:val="008D575A"/>
    <w:rsid w:val="008D6306"/>
    <w:rsid w:val="008D64CE"/>
    <w:rsid w:val="008D762B"/>
    <w:rsid w:val="008D7BE3"/>
    <w:rsid w:val="008E0815"/>
    <w:rsid w:val="008E1E20"/>
    <w:rsid w:val="008E21B7"/>
    <w:rsid w:val="008E2E80"/>
    <w:rsid w:val="008E3F82"/>
    <w:rsid w:val="008E45C0"/>
    <w:rsid w:val="008E4625"/>
    <w:rsid w:val="008E46EA"/>
    <w:rsid w:val="008E53CE"/>
    <w:rsid w:val="008E5923"/>
    <w:rsid w:val="008E5CA5"/>
    <w:rsid w:val="008E5E5B"/>
    <w:rsid w:val="008E6237"/>
    <w:rsid w:val="008E64CE"/>
    <w:rsid w:val="008E6786"/>
    <w:rsid w:val="008E67A8"/>
    <w:rsid w:val="008E7493"/>
    <w:rsid w:val="008E7802"/>
    <w:rsid w:val="008F02EC"/>
    <w:rsid w:val="008F1D82"/>
    <w:rsid w:val="008F1EBB"/>
    <w:rsid w:val="008F1FCA"/>
    <w:rsid w:val="008F256D"/>
    <w:rsid w:val="008F2F2A"/>
    <w:rsid w:val="008F3845"/>
    <w:rsid w:val="008F3B81"/>
    <w:rsid w:val="008F3BD4"/>
    <w:rsid w:val="008F577C"/>
    <w:rsid w:val="008F65CC"/>
    <w:rsid w:val="008F6DA7"/>
    <w:rsid w:val="008F7516"/>
    <w:rsid w:val="008F770C"/>
    <w:rsid w:val="00900504"/>
    <w:rsid w:val="00900D23"/>
    <w:rsid w:val="0090106C"/>
    <w:rsid w:val="00901143"/>
    <w:rsid w:val="00901849"/>
    <w:rsid w:val="00901B71"/>
    <w:rsid w:val="00901C9A"/>
    <w:rsid w:val="009021FE"/>
    <w:rsid w:val="009022D7"/>
    <w:rsid w:val="009025BA"/>
    <w:rsid w:val="00902969"/>
    <w:rsid w:val="0090343E"/>
    <w:rsid w:val="009047FF"/>
    <w:rsid w:val="00904985"/>
    <w:rsid w:val="009050E2"/>
    <w:rsid w:val="00905181"/>
    <w:rsid w:val="00905983"/>
    <w:rsid w:val="00905A01"/>
    <w:rsid w:val="00905A57"/>
    <w:rsid w:val="00905BAC"/>
    <w:rsid w:val="009063C5"/>
    <w:rsid w:val="00906FD2"/>
    <w:rsid w:val="0090754E"/>
    <w:rsid w:val="00907797"/>
    <w:rsid w:val="009079EA"/>
    <w:rsid w:val="00907A84"/>
    <w:rsid w:val="009102AD"/>
    <w:rsid w:val="009116DB"/>
    <w:rsid w:val="00911851"/>
    <w:rsid w:val="0091231E"/>
    <w:rsid w:val="009129BB"/>
    <w:rsid w:val="00913001"/>
    <w:rsid w:val="00913FF7"/>
    <w:rsid w:val="00914002"/>
    <w:rsid w:val="00914E21"/>
    <w:rsid w:val="009161EB"/>
    <w:rsid w:val="00916619"/>
    <w:rsid w:val="0091662D"/>
    <w:rsid w:val="00916717"/>
    <w:rsid w:val="00916DD3"/>
    <w:rsid w:val="00917D7E"/>
    <w:rsid w:val="009210B1"/>
    <w:rsid w:val="00921C1F"/>
    <w:rsid w:val="00921EDB"/>
    <w:rsid w:val="00922A73"/>
    <w:rsid w:val="00922B44"/>
    <w:rsid w:val="00922D57"/>
    <w:rsid w:val="00923111"/>
    <w:rsid w:val="0092326C"/>
    <w:rsid w:val="0092333B"/>
    <w:rsid w:val="00923BC3"/>
    <w:rsid w:val="009250A2"/>
    <w:rsid w:val="00925391"/>
    <w:rsid w:val="00925931"/>
    <w:rsid w:val="00926319"/>
    <w:rsid w:val="00926682"/>
    <w:rsid w:val="009268ED"/>
    <w:rsid w:val="009269B0"/>
    <w:rsid w:val="00927161"/>
    <w:rsid w:val="00927F16"/>
    <w:rsid w:val="00931A40"/>
    <w:rsid w:val="00932E4D"/>
    <w:rsid w:val="009336D2"/>
    <w:rsid w:val="009336FB"/>
    <w:rsid w:val="00933CAC"/>
    <w:rsid w:val="009340E4"/>
    <w:rsid w:val="0093443D"/>
    <w:rsid w:val="00935358"/>
    <w:rsid w:val="00935392"/>
    <w:rsid w:val="009358FA"/>
    <w:rsid w:val="00936B1D"/>
    <w:rsid w:val="00937638"/>
    <w:rsid w:val="0093790E"/>
    <w:rsid w:val="009406D2"/>
    <w:rsid w:val="00940A4F"/>
    <w:rsid w:val="00940B2C"/>
    <w:rsid w:val="00940ED1"/>
    <w:rsid w:val="00941E65"/>
    <w:rsid w:val="00942E44"/>
    <w:rsid w:val="00943759"/>
    <w:rsid w:val="00943883"/>
    <w:rsid w:val="00943AD4"/>
    <w:rsid w:val="00944DC3"/>
    <w:rsid w:val="0094573E"/>
    <w:rsid w:val="00945C8D"/>
    <w:rsid w:val="009466C1"/>
    <w:rsid w:val="00946EEC"/>
    <w:rsid w:val="00946F3B"/>
    <w:rsid w:val="00946FD3"/>
    <w:rsid w:val="009471F2"/>
    <w:rsid w:val="00947AD8"/>
    <w:rsid w:val="00947BB9"/>
    <w:rsid w:val="009513D1"/>
    <w:rsid w:val="0095184E"/>
    <w:rsid w:val="00951EAA"/>
    <w:rsid w:val="00952E67"/>
    <w:rsid w:val="00953132"/>
    <w:rsid w:val="009531A1"/>
    <w:rsid w:val="00953A42"/>
    <w:rsid w:val="00953F4D"/>
    <w:rsid w:val="009545E1"/>
    <w:rsid w:val="009562F7"/>
    <w:rsid w:val="009563EB"/>
    <w:rsid w:val="00956665"/>
    <w:rsid w:val="009567BA"/>
    <w:rsid w:val="00956BEE"/>
    <w:rsid w:val="00956CCF"/>
    <w:rsid w:val="00957CC9"/>
    <w:rsid w:val="00960153"/>
    <w:rsid w:val="00960517"/>
    <w:rsid w:val="00960CC8"/>
    <w:rsid w:val="0096135D"/>
    <w:rsid w:val="009627F6"/>
    <w:rsid w:val="00962FFA"/>
    <w:rsid w:val="00963890"/>
    <w:rsid w:val="00963D02"/>
    <w:rsid w:val="009655D5"/>
    <w:rsid w:val="0096595B"/>
    <w:rsid w:val="00965D2A"/>
    <w:rsid w:val="00966005"/>
    <w:rsid w:val="009660CB"/>
    <w:rsid w:val="00966EE0"/>
    <w:rsid w:val="00967E22"/>
    <w:rsid w:val="0097215F"/>
    <w:rsid w:val="00972B2B"/>
    <w:rsid w:val="00973180"/>
    <w:rsid w:val="009734D0"/>
    <w:rsid w:val="00973876"/>
    <w:rsid w:val="00973B9B"/>
    <w:rsid w:val="00973F23"/>
    <w:rsid w:val="0097420D"/>
    <w:rsid w:val="00974BCA"/>
    <w:rsid w:val="00974C0E"/>
    <w:rsid w:val="009759D2"/>
    <w:rsid w:val="00975E55"/>
    <w:rsid w:val="00976734"/>
    <w:rsid w:val="00976ABF"/>
    <w:rsid w:val="00976D1A"/>
    <w:rsid w:val="00977DF4"/>
    <w:rsid w:val="0098118A"/>
    <w:rsid w:val="009823CC"/>
    <w:rsid w:val="00982981"/>
    <w:rsid w:val="00982C60"/>
    <w:rsid w:val="00982E5F"/>
    <w:rsid w:val="0098357C"/>
    <w:rsid w:val="00984A0D"/>
    <w:rsid w:val="00984FC4"/>
    <w:rsid w:val="00985B5C"/>
    <w:rsid w:val="00985E5C"/>
    <w:rsid w:val="00986C21"/>
    <w:rsid w:val="009878E1"/>
    <w:rsid w:val="00987A95"/>
    <w:rsid w:val="00987D4A"/>
    <w:rsid w:val="00990321"/>
    <w:rsid w:val="00990328"/>
    <w:rsid w:val="0099034D"/>
    <w:rsid w:val="0099039D"/>
    <w:rsid w:val="009911FA"/>
    <w:rsid w:val="009918F2"/>
    <w:rsid w:val="00991B52"/>
    <w:rsid w:val="00993083"/>
    <w:rsid w:val="00993F0A"/>
    <w:rsid w:val="0099536C"/>
    <w:rsid w:val="009969F9"/>
    <w:rsid w:val="00996AF9"/>
    <w:rsid w:val="00996EDA"/>
    <w:rsid w:val="009976D5"/>
    <w:rsid w:val="009A01B0"/>
    <w:rsid w:val="009A0C72"/>
    <w:rsid w:val="009A0CDF"/>
    <w:rsid w:val="009A0E15"/>
    <w:rsid w:val="009A14AD"/>
    <w:rsid w:val="009A1AC4"/>
    <w:rsid w:val="009A2131"/>
    <w:rsid w:val="009A286F"/>
    <w:rsid w:val="009A33CA"/>
    <w:rsid w:val="009A5811"/>
    <w:rsid w:val="009A6980"/>
    <w:rsid w:val="009A7543"/>
    <w:rsid w:val="009A7E36"/>
    <w:rsid w:val="009A7F94"/>
    <w:rsid w:val="009B03C6"/>
    <w:rsid w:val="009B1D66"/>
    <w:rsid w:val="009B3664"/>
    <w:rsid w:val="009B3952"/>
    <w:rsid w:val="009B3B8B"/>
    <w:rsid w:val="009B44C1"/>
    <w:rsid w:val="009B4CF3"/>
    <w:rsid w:val="009B505A"/>
    <w:rsid w:val="009B649C"/>
    <w:rsid w:val="009B704B"/>
    <w:rsid w:val="009B7230"/>
    <w:rsid w:val="009B744C"/>
    <w:rsid w:val="009B793B"/>
    <w:rsid w:val="009B7CA9"/>
    <w:rsid w:val="009C0204"/>
    <w:rsid w:val="009C05B3"/>
    <w:rsid w:val="009C0614"/>
    <w:rsid w:val="009C0FF8"/>
    <w:rsid w:val="009C1D71"/>
    <w:rsid w:val="009C1E5C"/>
    <w:rsid w:val="009C2193"/>
    <w:rsid w:val="009C2363"/>
    <w:rsid w:val="009C3D06"/>
    <w:rsid w:val="009C4842"/>
    <w:rsid w:val="009C4E38"/>
    <w:rsid w:val="009C4FF7"/>
    <w:rsid w:val="009C52A9"/>
    <w:rsid w:val="009C52D7"/>
    <w:rsid w:val="009C5BD7"/>
    <w:rsid w:val="009C651F"/>
    <w:rsid w:val="009C71AA"/>
    <w:rsid w:val="009C729A"/>
    <w:rsid w:val="009C752B"/>
    <w:rsid w:val="009C7D6D"/>
    <w:rsid w:val="009C7ECF"/>
    <w:rsid w:val="009D0894"/>
    <w:rsid w:val="009D1002"/>
    <w:rsid w:val="009D1924"/>
    <w:rsid w:val="009D1B01"/>
    <w:rsid w:val="009D20F4"/>
    <w:rsid w:val="009D2271"/>
    <w:rsid w:val="009D23E7"/>
    <w:rsid w:val="009D2451"/>
    <w:rsid w:val="009D3A6B"/>
    <w:rsid w:val="009D3CB7"/>
    <w:rsid w:val="009D4B1D"/>
    <w:rsid w:val="009D5C0C"/>
    <w:rsid w:val="009D5C69"/>
    <w:rsid w:val="009D5EA2"/>
    <w:rsid w:val="009D6029"/>
    <w:rsid w:val="009D6551"/>
    <w:rsid w:val="009D662B"/>
    <w:rsid w:val="009D6C35"/>
    <w:rsid w:val="009D710A"/>
    <w:rsid w:val="009D72D1"/>
    <w:rsid w:val="009D7C84"/>
    <w:rsid w:val="009E037D"/>
    <w:rsid w:val="009E04A7"/>
    <w:rsid w:val="009E1053"/>
    <w:rsid w:val="009E1536"/>
    <w:rsid w:val="009E1570"/>
    <w:rsid w:val="009E180A"/>
    <w:rsid w:val="009E1DF3"/>
    <w:rsid w:val="009E2243"/>
    <w:rsid w:val="009E32B4"/>
    <w:rsid w:val="009E3B86"/>
    <w:rsid w:val="009E503E"/>
    <w:rsid w:val="009E5ADB"/>
    <w:rsid w:val="009E6293"/>
    <w:rsid w:val="009E62DC"/>
    <w:rsid w:val="009E660C"/>
    <w:rsid w:val="009E6E16"/>
    <w:rsid w:val="009E711C"/>
    <w:rsid w:val="009F0356"/>
    <w:rsid w:val="009F0637"/>
    <w:rsid w:val="009F1AD4"/>
    <w:rsid w:val="009F1AF0"/>
    <w:rsid w:val="009F265D"/>
    <w:rsid w:val="009F27CF"/>
    <w:rsid w:val="009F280E"/>
    <w:rsid w:val="009F3795"/>
    <w:rsid w:val="009F49CD"/>
    <w:rsid w:val="009F4D5D"/>
    <w:rsid w:val="009F5968"/>
    <w:rsid w:val="009F5F20"/>
    <w:rsid w:val="009F6876"/>
    <w:rsid w:val="009F698A"/>
    <w:rsid w:val="009F6EE6"/>
    <w:rsid w:val="009F7F9B"/>
    <w:rsid w:val="00A00019"/>
    <w:rsid w:val="00A004B6"/>
    <w:rsid w:val="00A006A4"/>
    <w:rsid w:val="00A0080B"/>
    <w:rsid w:val="00A0182A"/>
    <w:rsid w:val="00A03596"/>
    <w:rsid w:val="00A039BF"/>
    <w:rsid w:val="00A05FC9"/>
    <w:rsid w:val="00A0605F"/>
    <w:rsid w:val="00A06C5B"/>
    <w:rsid w:val="00A074CB"/>
    <w:rsid w:val="00A07B9E"/>
    <w:rsid w:val="00A07E05"/>
    <w:rsid w:val="00A07FDE"/>
    <w:rsid w:val="00A10460"/>
    <w:rsid w:val="00A10693"/>
    <w:rsid w:val="00A113D7"/>
    <w:rsid w:val="00A11FC3"/>
    <w:rsid w:val="00A124DF"/>
    <w:rsid w:val="00A12693"/>
    <w:rsid w:val="00A129BE"/>
    <w:rsid w:val="00A12E1B"/>
    <w:rsid w:val="00A13425"/>
    <w:rsid w:val="00A13769"/>
    <w:rsid w:val="00A13B81"/>
    <w:rsid w:val="00A153E2"/>
    <w:rsid w:val="00A15A19"/>
    <w:rsid w:val="00A15B94"/>
    <w:rsid w:val="00A160CD"/>
    <w:rsid w:val="00A17067"/>
    <w:rsid w:val="00A21889"/>
    <w:rsid w:val="00A225AB"/>
    <w:rsid w:val="00A22A75"/>
    <w:rsid w:val="00A239F8"/>
    <w:rsid w:val="00A24B1B"/>
    <w:rsid w:val="00A25256"/>
    <w:rsid w:val="00A25699"/>
    <w:rsid w:val="00A2605B"/>
    <w:rsid w:val="00A27767"/>
    <w:rsid w:val="00A27814"/>
    <w:rsid w:val="00A27D8A"/>
    <w:rsid w:val="00A27E16"/>
    <w:rsid w:val="00A3063F"/>
    <w:rsid w:val="00A3120F"/>
    <w:rsid w:val="00A3150B"/>
    <w:rsid w:val="00A315EE"/>
    <w:rsid w:val="00A3170A"/>
    <w:rsid w:val="00A32134"/>
    <w:rsid w:val="00A328F9"/>
    <w:rsid w:val="00A32B70"/>
    <w:rsid w:val="00A32FE9"/>
    <w:rsid w:val="00A3341E"/>
    <w:rsid w:val="00A3437F"/>
    <w:rsid w:val="00A34796"/>
    <w:rsid w:val="00A347C4"/>
    <w:rsid w:val="00A35883"/>
    <w:rsid w:val="00A35A9C"/>
    <w:rsid w:val="00A35B3C"/>
    <w:rsid w:val="00A35D95"/>
    <w:rsid w:val="00A363BB"/>
    <w:rsid w:val="00A36429"/>
    <w:rsid w:val="00A36C1E"/>
    <w:rsid w:val="00A406E3"/>
    <w:rsid w:val="00A40850"/>
    <w:rsid w:val="00A40BE2"/>
    <w:rsid w:val="00A41D0E"/>
    <w:rsid w:val="00A42BBA"/>
    <w:rsid w:val="00A42E99"/>
    <w:rsid w:val="00A43762"/>
    <w:rsid w:val="00A43CF1"/>
    <w:rsid w:val="00A44277"/>
    <w:rsid w:val="00A44BF4"/>
    <w:rsid w:val="00A46987"/>
    <w:rsid w:val="00A474D2"/>
    <w:rsid w:val="00A47A7B"/>
    <w:rsid w:val="00A47EB5"/>
    <w:rsid w:val="00A505F5"/>
    <w:rsid w:val="00A50C07"/>
    <w:rsid w:val="00A50C38"/>
    <w:rsid w:val="00A51FE8"/>
    <w:rsid w:val="00A52730"/>
    <w:rsid w:val="00A5323A"/>
    <w:rsid w:val="00A53596"/>
    <w:rsid w:val="00A543B0"/>
    <w:rsid w:val="00A548C2"/>
    <w:rsid w:val="00A5498E"/>
    <w:rsid w:val="00A54E61"/>
    <w:rsid w:val="00A54F05"/>
    <w:rsid w:val="00A555D6"/>
    <w:rsid w:val="00A5592F"/>
    <w:rsid w:val="00A55B5B"/>
    <w:rsid w:val="00A56BCC"/>
    <w:rsid w:val="00A56E4B"/>
    <w:rsid w:val="00A56EC9"/>
    <w:rsid w:val="00A5704B"/>
    <w:rsid w:val="00A57649"/>
    <w:rsid w:val="00A60D41"/>
    <w:rsid w:val="00A615ED"/>
    <w:rsid w:val="00A61A94"/>
    <w:rsid w:val="00A620FD"/>
    <w:rsid w:val="00A6247E"/>
    <w:rsid w:val="00A63C2C"/>
    <w:rsid w:val="00A64554"/>
    <w:rsid w:val="00A6481F"/>
    <w:rsid w:val="00A65087"/>
    <w:rsid w:val="00A65B19"/>
    <w:rsid w:val="00A65E36"/>
    <w:rsid w:val="00A70B83"/>
    <w:rsid w:val="00A71576"/>
    <w:rsid w:val="00A71FE3"/>
    <w:rsid w:val="00A72D91"/>
    <w:rsid w:val="00A738D1"/>
    <w:rsid w:val="00A73C3F"/>
    <w:rsid w:val="00A73EDC"/>
    <w:rsid w:val="00A74A31"/>
    <w:rsid w:val="00A7551E"/>
    <w:rsid w:val="00A75577"/>
    <w:rsid w:val="00A75DB2"/>
    <w:rsid w:val="00A761A1"/>
    <w:rsid w:val="00A777E2"/>
    <w:rsid w:val="00A803D0"/>
    <w:rsid w:val="00A811F5"/>
    <w:rsid w:val="00A8144B"/>
    <w:rsid w:val="00A82242"/>
    <w:rsid w:val="00A83256"/>
    <w:rsid w:val="00A83C58"/>
    <w:rsid w:val="00A84504"/>
    <w:rsid w:val="00A846BD"/>
    <w:rsid w:val="00A855D8"/>
    <w:rsid w:val="00A860DD"/>
    <w:rsid w:val="00A86CFF"/>
    <w:rsid w:val="00A86F15"/>
    <w:rsid w:val="00A874A5"/>
    <w:rsid w:val="00A90A62"/>
    <w:rsid w:val="00A91CA2"/>
    <w:rsid w:val="00A91D31"/>
    <w:rsid w:val="00A91E6F"/>
    <w:rsid w:val="00A92297"/>
    <w:rsid w:val="00A92637"/>
    <w:rsid w:val="00A93CBF"/>
    <w:rsid w:val="00A93FCE"/>
    <w:rsid w:val="00A94F47"/>
    <w:rsid w:val="00A95376"/>
    <w:rsid w:val="00A96F5B"/>
    <w:rsid w:val="00A977F0"/>
    <w:rsid w:val="00AA0154"/>
    <w:rsid w:val="00AA02E5"/>
    <w:rsid w:val="00AA06B7"/>
    <w:rsid w:val="00AA0E7C"/>
    <w:rsid w:val="00AA12D6"/>
    <w:rsid w:val="00AA13AB"/>
    <w:rsid w:val="00AA16A9"/>
    <w:rsid w:val="00AA1CAF"/>
    <w:rsid w:val="00AA2315"/>
    <w:rsid w:val="00AA2533"/>
    <w:rsid w:val="00AA2661"/>
    <w:rsid w:val="00AA2F49"/>
    <w:rsid w:val="00AA37D3"/>
    <w:rsid w:val="00AA3818"/>
    <w:rsid w:val="00AA3D99"/>
    <w:rsid w:val="00AA3E4E"/>
    <w:rsid w:val="00AA4C7C"/>
    <w:rsid w:val="00AA59C1"/>
    <w:rsid w:val="00AA5C81"/>
    <w:rsid w:val="00AA624D"/>
    <w:rsid w:val="00AA68DD"/>
    <w:rsid w:val="00AA746C"/>
    <w:rsid w:val="00AB0530"/>
    <w:rsid w:val="00AB07B7"/>
    <w:rsid w:val="00AB11C4"/>
    <w:rsid w:val="00AB22C8"/>
    <w:rsid w:val="00AB3935"/>
    <w:rsid w:val="00AB3C0B"/>
    <w:rsid w:val="00AB41F7"/>
    <w:rsid w:val="00AB50FB"/>
    <w:rsid w:val="00AB5EFC"/>
    <w:rsid w:val="00AB6543"/>
    <w:rsid w:val="00AB65F9"/>
    <w:rsid w:val="00AB705B"/>
    <w:rsid w:val="00AB7509"/>
    <w:rsid w:val="00AC0683"/>
    <w:rsid w:val="00AC15EF"/>
    <w:rsid w:val="00AC1859"/>
    <w:rsid w:val="00AC218F"/>
    <w:rsid w:val="00AC26C2"/>
    <w:rsid w:val="00AC2766"/>
    <w:rsid w:val="00AC485E"/>
    <w:rsid w:val="00AC4E42"/>
    <w:rsid w:val="00AC505D"/>
    <w:rsid w:val="00AC5105"/>
    <w:rsid w:val="00AC5439"/>
    <w:rsid w:val="00AC64AA"/>
    <w:rsid w:val="00AC66D5"/>
    <w:rsid w:val="00AC6BB7"/>
    <w:rsid w:val="00AD1D2A"/>
    <w:rsid w:val="00AD1D45"/>
    <w:rsid w:val="00AD1FA8"/>
    <w:rsid w:val="00AD233B"/>
    <w:rsid w:val="00AD23A7"/>
    <w:rsid w:val="00AD34B1"/>
    <w:rsid w:val="00AD429A"/>
    <w:rsid w:val="00AD47FD"/>
    <w:rsid w:val="00AD4A07"/>
    <w:rsid w:val="00AD50D7"/>
    <w:rsid w:val="00AD5324"/>
    <w:rsid w:val="00AD5441"/>
    <w:rsid w:val="00AD571D"/>
    <w:rsid w:val="00AD5B48"/>
    <w:rsid w:val="00AD5E49"/>
    <w:rsid w:val="00AD6175"/>
    <w:rsid w:val="00AD669F"/>
    <w:rsid w:val="00AD67DD"/>
    <w:rsid w:val="00AD69A5"/>
    <w:rsid w:val="00AD69AC"/>
    <w:rsid w:val="00AD7462"/>
    <w:rsid w:val="00AD7716"/>
    <w:rsid w:val="00AD77BE"/>
    <w:rsid w:val="00AD7A34"/>
    <w:rsid w:val="00AD7E39"/>
    <w:rsid w:val="00AE027E"/>
    <w:rsid w:val="00AE1E43"/>
    <w:rsid w:val="00AE23E5"/>
    <w:rsid w:val="00AE2721"/>
    <w:rsid w:val="00AE292F"/>
    <w:rsid w:val="00AE35C1"/>
    <w:rsid w:val="00AE387E"/>
    <w:rsid w:val="00AE3BDC"/>
    <w:rsid w:val="00AE4C0C"/>
    <w:rsid w:val="00AE4DFE"/>
    <w:rsid w:val="00AE526F"/>
    <w:rsid w:val="00AE7836"/>
    <w:rsid w:val="00AE7B3F"/>
    <w:rsid w:val="00AE7B85"/>
    <w:rsid w:val="00AF0869"/>
    <w:rsid w:val="00AF0984"/>
    <w:rsid w:val="00AF157A"/>
    <w:rsid w:val="00AF15DB"/>
    <w:rsid w:val="00AF23CD"/>
    <w:rsid w:val="00AF24B7"/>
    <w:rsid w:val="00AF2E5B"/>
    <w:rsid w:val="00AF3417"/>
    <w:rsid w:val="00AF3632"/>
    <w:rsid w:val="00AF3CC7"/>
    <w:rsid w:val="00AF3ED0"/>
    <w:rsid w:val="00AF4816"/>
    <w:rsid w:val="00AF4DC6"/>
    <w:rsid w:val="00AF5E67"/>
    <w:rsid w:val="00AF6588"/>
    <w:rsid w:val="00AF7013"/>
    <w:rsid w:val="00AF74F5"/>
    <w:rsid w:val="00AF77A1"/>
    <w:rsid w:val="00B005DF"/>
    <w:rsid w:val="00B00A37"/>
    <w:rsid w:val="00B013C0"/>
    <w:rsid w:val="00B0170C"/>
    <w:rsid w:val="00B017EC"/>
    <w:rsid w:val="00B0190F"/>
    <w:rsid w:val="00B03CBD"/>
    <w:rsid w:val="00B040E2"/>
    <w:rsid w:val="00B04D51"/>
    <w:rsid w:val="00B04DB1"/>
    <w:rsid w:val="00B05278"/>
    <w:rsid w:val="00B05294"/>
    <w:rsid w:val="00B0554B"/>
    <w:rsid w:val="00B05A8F"/>
    <w:rsid w:val="00B0614D"/>
    <w:rsid w:val="00B06F10"/>
    <w:rsid w:val="00B07915"/>
    <w:rsid w:val="00B07E61"/>
    <w:rsid w:val="00B10AD9"/>
    <w:rsid w:val="00B10B81"/>
    <w:rsid w:val="00B10CAB"/>
    <w:rsid w:val="00B10CC4"/>
    <w:rsid w:val="00B10EAD"/>
    <w:rsid w:val="00B10FA1"/>
    <w:rsid w:val="00B11791"/>
    <w:rsid w:val="00B11AD9"/>
    <w:rsid w:val="00B11D18"/>
    <w:rsid w:val="00B1202C"/>
    <w:rsid w:val="00B1239D"/>
    <w:rsid w:val="00B124BB"/>
    <w:rsid w:val="00B12D5A"/>
    <w:rsid w:val="00B137EC"/>
    <w:rsid w:val="00B14A65"/>
    <w:rsid w:val="00B14F68"/>
    <w:rsid w:val="00B15204"/>
    <w:rsid w:val="00B1541B"/>
    <w:rsid w:val="00B155AE"/>
    <w:rsid w:val="00B168E2"/>
    <w:rsid w:val="00B213F2"/>
    <w:rsid w:val="00B22981"/>
    <w:rsid w:val="00B22EA3"/>
    <w:rsid w:val="00B2331A"/>
    <w:rsid w:val="00B239B3"/>
    <w:rsid w:val="00B23D71"/>
    <w:rsid w:val="00B23DE9"/>
    <w:rsid w:val="00B23F6A"/>
    <w:rsid w:val="00B24D5C"/>
    <w:rsid w:val="00B24FC2"/>
    <w:rsid w:val="00B26DA6"/>
    <w:rsid w:val="00B3102D"/>
    <w:rsid w:val="00B33106"/>
    <w:rsid w:val="00B336D8"/>
    <w:rsid w:val="00B34619"/>
    <w:rsid w:val="00B35127"/>
    <w:rsid w:val="00B36BF7"/>
    <w:rsid w:val="00B37174"/>
    <w:rsid w:val="00B37418"/>
    <w:rsid w:val="00B37FE6"/>
    <w:rsid w:val="00B402A1"/>
    <w:rsid w:val="00B411FC"/>
    <w:rsid w:val="00B4307C"/>
    <w:rsid w:val="00B432C7"/>
    <w:rsid w:val="00B4374A"/>
    <w:rsid w:val="00B43C8D"/>
    <w:rsid w:val="00B45025"/>
    <w:rsid w:val="00B464FC"/>
    <w:rsid w:val="00B46906"/>
    <w:rsid w:val="00B473ED"/>
    <w:rsid w:val="00B4786F"/>
    <w:rsid w:val="00B47ACD"/>
    <w:rsid w:val="00B47D8B"/>
    <w:rsid w:val="00B50430"/>
    <w:rsid w:val="00B50A64"/>
    <w:rsid w:val="00B50D35"/>
    <w:rsid w:val="00B50EC6"/>
    <w:rsid w:val="00B511FE"/>
    <w:rsid w:val="00B5256E"/>
    <w:rsid w:val="00B526CD"/>
    <w:rsid w:val="00B52945"/>
    <w:rsid w:val="00B537EF"/>
    <w:rsid w:val="00B53896"/>
    <w:rsid w:val="00B539A6"/>
    <w:rsid w:val="00B53C91"/>
    <w:rsid w:val="00B53DA8"/>
    <w:rsid w:val="00B54D07"/>
    <w:rsid w:val="00B55EA6"/>
    <w:rsid w:val="00B566B4"/>
    <w:rsid w:val="00B568D0"/>
    <w:rsid w:val="00B57325"/>
    <w:rsid w:val="00B57802"/>
    <w:rsid w:val="00B57C99"/>
    <w:rsid w:val="00B603F3"/>
    <w:rsid w:val="00B60656"/>
    <w:rsid w:val="00B60EF7"/>
    <w:rsid w:val="00B60FD8"/>
    <w:rsid w:val="00B61867"/>
    <w:rsid w:val="00B618D9"/>
    <w:rsid w:val="00B61AC2"/>
    <w:rsid w:val="00B62354"/>
    <w:rsid w:val="00B63277"/>
    <w:rsid w:val="00B6360B"/>
    <w:rsid w:val="00B638BC"/>
    <w:rsid w:val="00B63FFF"/>
    <w:rsid w:val="00B640B0"/>
    <w:rsid w:val="00B6447B"/>
    <w:rsid w:val="00B6495B"/>
    <w:rsid w:val="00B65A61"/>
    <w:rsid w:val="00B665A8"/>
    <w:rsid w:val="00B66B9D"/>
    <w:rsid w:val="00B6752A"/>
    <w:rsid w:val="00B702E7"/>
    <w:rsid w:val="00B708DA"/>
    <w:rsid w:val="00B71532"/>
    <w:rsid w:val="00B71B6C"/>
    <w:rsid w:val="00B71C55"/>
    <w:rsid w:val="00B72310"/>
    <w:rsid w:val="00B72473"/>
    <w:rsid w:val="00B72DA6"/>
    <w:rsid w:val="00B7331B"/>
    <w:rsid w:val="00B734F3"/>
    <w:rsid w:val="00B74D06"/>
    <w:rsid w:val="00B75017"/>
    <w:rsid w:val="00B75578"/>
    <w:rsid w:val="00B75C4C"/>
    <w:rsid w:val="00B767DD"/>
    <w:rsid w:val="00B76A76"/>
    <w:rsid w:val="00B77018"/>
    <w:rsid w:val="00B77515"/>
    <w:rsid w:val="00B779CB"/>
    <w:rsid w:val="00B77CE1"/>
    <w:rsid w:val="00B81222"/>
    <w:rsid w:val="00B813AD"/>
    <w:rsid w:val="00B81CE6"/>
    <w:rsid w:val="00B826BC"/>
    <w:rsid w:val="00B827AE"/>
    <w:rsid w:val="00B82876"/>
    <w:rsid w:val="00B83AE9"/>
    <w:rsid w:val="00B83CC1"/>
    <w:rsid w:val="00B8435A"/>
    <w:rsid w:val="00B84669"/>
    <w:rsid w:val="00B847A3"/>
    <w:rsid w:val="00B847DE"/>
    <w:rsid w:val="00B84E5A"/>
    <w:rsid w:val="00B87651"/>
    <w:rsid w:val="00B90E10"/>
    <w:rsid w:val="00B910A0"/>
    <w:rsid w:val="00B910F0"/>
    <w:rsid w:val="00B915DD"/>
    <w:rsid w:val="00B91E48"/>
    <w:rsid w:val="00B91E8B"/>
    <w:rsid w:val="00B92E2E"/>
    <w:rsid w:val="00B944BA"/>
    <w:rsid w:val="00B94796"/>
    <w:rsid w:val="00B94F6B"/>
    <w:rsid w:val="00B952B1"/>
    <w:rsid w:val="00B95574"/>
    <w:rsid w:val="00B9575D"/>
    <w:rsid w:val="00B96200"/>
    <w:rsid w:val="00B96A72"/>
    <w:rsid w:val="00B9768C"/>
    <w:rsid w:val="00B979FB"/>
    <w:rsid w:val="00B97FD5"/>
    <w:rsid w:val="00BA03F9"/>
    <w:rsid w:val="00BA081C"/>
    <w:rsid w:val="00BA168C"/>
    <w:rsid w:val="00BA1CA2"/>
    <w:rsid w:val="00BA208D"/>
    <w:rsid w:val="00BA24D6"/>
    <w:rsid w:val="00BA2E10"/>
    <w:rsid w:val="00BA3109"/>
    <w:rsid w:val="00BA316F"/>
    <w:rsid w:val="00BA4CBB"/>
    <w:rsid w:val="00BA4E86"/>
    <w:rsid w:val="00BA5672"/>
    <w:rsid w:val="00BA73E3"/>
    <w:rsid w:val="00BA7B25"/>
    <w:rsid w:val="00BA7DCD"/>
    <w:rsid w:val="00BB0649"/>
    <w:rsid w:val="00BB0A03"/>
    <w:rsid w:val="00BB1AC2"/>
    <w:rsid w:val="00BB3B3C"/>
    <w:rsid w:val="00BB4349"/>
    <w:rsid w:val="00BB4551"/>
    <w:rsid w:val="00BB5483"/>
    <w:rsid w:val="00BB5622"/>
    <w:rsid w:val="00BB5BF8"/>
    <w:rsid w:val="00BB6608"/>
    <w:rsid w:val="00BB6928"/>
    <w:rsid w:val="00BB6A64"/>
    <w:rsid w:val="00BC032E"/>
    <w:rsid w:val="00BC06AC"/>
    <w:rsid w:val="00BC08EA"/>
    <w:rsid w:val="00BC09ED"/>
    <w:rsid w:val="00BC0DD7"/>
    <w:rsid w:val="00BC15C8"/>
    <w:rsid w:val="00BC2612"/>
    <w:rsid w:val="00BC274E"/>
    <w:rsid w:val="00BC2C2D"/>
    <w:rsid w:val="00BC339C"/>
    <w:rsid w:val="00BC3754"/>
    <w:rsid w:val="00BC3CF5"/>
    <w:rsid w:val="00BC4908"/>
    <w:rsid w:val="00BC49D2"/>
    <w:rsid w:val="00BC4FB5"/>
    <w:rsid w:val="00BC5A07"/>
    <w:rsid w:val="00BC5DDC"/>
    <w:rsid w:val="00BC67CE"/>
    <w:rsid w:val="00BC77D9"/>
    <w:rsid w:val="00BC7900"/>
    <w:rsid w:val="00BC7A94"/>
    <w:rsid w:val="00BD17B4"/>
    <w:rsid w:val="00BD2764"/>
    <w:rsid w:val="00BD2EEF"/>
    <w:rsid w:val="00BD3159"/>
    <w:rsid w:val="00BD4E27"/>
    <w:rsid w:val="00BD523A"/>
    <w:rsid w:val="00BD5DD3"/>
    <w:rsid w:val="00BD6347"/>
    <w:rsid w:val="00BD6596"/>
    <w:rsid w:val="00BD6852"/>
    <w:rsid w:val="00BD6BF1"/>
    <w:rsid w:val="00BD7213"/>
    <w:rsid w:val="00BD7EB5"/>
    <w:rsid w:val="00BE01F2"/>
    <w:rsid w:val="00BE057B"/>
    <w:rsid w:val="00BE070A"/>
    <w:rsid w:val="00BE0983"/>
    <w:rsid w:val="00BE0B60"/>
    <w:rsid w:val="00BE0E6E"/>
    <w:rsid w:val="00BE0F16"/>
    <w:rsid w:val="00BE12A0"/>
    <w:rsid w:val="00BE1544"/>
    <w:rsid w:val="00BE18D4"/>
    <w:rsid w:val="00BE294F"/>
    <w:rsid w:val="00BE31C4"/>
    <w:rsid w:val="00BE352E"/>
    <w:rsid w:val="00BE3F78"/>
    <w:rsid w:val="00BE55C8"/>
    <w:rsid w:val="00BE5EF3"/>
    <w:rsid w:val="00BE69EB"/>
    <w:rsid w:val="00BE7000"/>
    <w:rsid w:val="00BE704B"/>
    <w:rsid w:val="00BE7BEC"/>
    <w:rsid w:val="00BF0EC9"/>
    <w:rsid w:val="00BF23F7"/>
    <w:rsid w:val="00BF25CC"/>
    <w:rsid w:val="00BF2EC3"/>
    <w:rsid w:val="00BF307E"/>
    <w:rsid w:val="00BF46BC"/>
    <w:rsid w:val="00BF577F"/>
    <w:rsid w:val="00BF6861"/>
    <w:rsid w:val="00BF7223"/>
    <w:rsid w:val="00BF75EF"/>
    <w:rsid w:val="00C00713"/>
    <w:rsid w:val="00C02F35"/>
    <w:rsid w:val="00C02FBA"/>
    <w:rsid w:val="00C03615"/>
    <w:rsid w:val="00C039DD"/>
    <w:rsid w:val="00C04D8E"/>
    <w:rsid w:val="00C059E7"/>
    <w:rsid w:val="00C06F46"/>
    <w:rsid w:val="00C074EE"/>
    <w:rsid w:val="00C07701"/>
    <w:rsid w:val="00C1010C"/>
    <w:rsid w:val="00C10D25"/>
    <w:rsid w:val="00C10E8F"/>
    <w:rsid w:val="00C112C9"/>
    <w:rsid w:val="00C114B3"/>
    <w:rsid w:val="00C11D5F"/>
    <w:rsid w:val="00C12DB6"/>
    <w:rsid w:val="00C14FBF"/>
    <w:rsid w:val="00C1533E"/>
    <w:rsid w:val="00C15D8A"/>
    <w:rsid w:val="00C1718C"/>
    <w:rsid w:val="00C200C1"/>
    <w:rsid w:val="00C20120"/>
    <w:rsid w:val="00C20451"/>
    <w:rsid w:val="00C20687"/>
    <w:rsid w:val="00C20711"/>
    <w:rsid w:val="00C2117A"/>
    <w:rsid w:val="00C2221B"/>
    <w:rsid w:val="00C23498"/>
    <w:rsid w:val="00C25394"/>
    <w:rsid w:val="00C267C0"/>
    <w:rsid w:val="00C26909"/>
    <w:rsid w:val="00C278A3"/>
    <w:rsid w:val="00C27CBF"/>
    <w:rsid w:val="00C27FEA"/>
    <w:rsid w:val="00C30D28"/>
    <w:rsid w:val="00C314F9"/>
    <w:rsid w:val="00C32070"/>
    <w:rsid w:val="00C3216F"/>
    <w:rsid w:val="00C33844"/>
    <w:rsid w:val="00C34120"/>
    <w:rsid w:val="00C34CFF"/>
    <w:rsid w:val="00C35379"/>
    <w:rsid w:val="00C35BB6"/>
    <w:rsid w:val="00C3610D"/>
    <w:rsid w:val="00C37A90"/>
    <w:rsid w:val="00C37EF2"/>
    <w:rsid w:val="00C40045"/>
    <w:rsid w:val="00C401CC"/>
    <w:rsid w:val="00C403ED"/>
    <w:rsid w:val="00C40650"/>
    <w:rsid w:val="00C40B3F"/>
    <w:rsid w:val="00C40D6A"/>
    <w:rsid w:val="00C41084"/>
    <w:rsid w:val="00C412FB"/>
    <w:rsid w:val="00C41634"/>
    <w:rsid w:val="00C41664"/>
    <w:rsid w:val="00C41A8C"/>
    <w:rsid w:val="00C41AAF"/>
    <w:rsid w:val="00C41F6B"/>
    <w:rsid w:val="00C42596"/>
    <w:rsid w:val="00C42EE0"/>
    <w:rsid w:val="00C43B1E"/>
    <w:rsid w:val="00C44126"/>
    <w:rsid w:val="00C44657"/>
    <w:rsid w:val="00C4474E"/>
    <w:rsid w:val="00C447B9"/>
    <w:rsid w:val="00C449A7"/>
    <w:rsid w:val="00C44AD9"/>
    <w:rsid w:val="00C453E2"/>
    <w:rsid w:val="00C46E8A"/>
    <w:rsid w:val="00C470BF"/>
    <w:rsid w:val="00C47C8E"/>
    <w:rsid w:val="00C50603"/>
    <w:rsid w:val="00C509F6"/>
    <w:rsid w:val="00C516CC"/>
    <w:rsid w:val="00C51A2A"/>
    <w:rsid w:val="00C535C4"/>
    <w:rsid w:val="00C5387F"/>
    <w:rsid w:val="00C53F3D"/>
    <w:rsid w:val="00C5549E"/>
    <w:rsid w:val="00C5609B"/>
    <w:rsid w:val="00C56D84"/>
    <w:rsid w:val="00C571C7"/>
    <w:rsid w:val="00C57927"/>
    <w:rsid w:val="00C57C71"/>
    <w:rsid w:val="00C60CEA"/>
    <w:rsid w:val="00C6116F"/>
    <w:rsid w:val="00C614BA"/>
    <w:rsid w:val="00C61C09"/>
    <w:rsid w:val="00C61DA5"/>
    <w:rsid w:val="00C62533"/>
    <w:rsid w:val="00C628F2"/>
    <w:rsid w:val="00C62955"/>
    <w:rsid w:val="00C62B77"/>
    <w:rsid w:val="00C63102"/>
    <w:rsid w:val="00C63253"/>
    <w:rsid w:val="00C64BCB"/>
    <w:rsid w:val="00C64C99"/>
    <w:rsid w:val="00C64D4B"/>
    <w:rsid w:val="00C65030"/>
    <w:rsid w:val="00C65A09"/>
    <w:rsid w:val="00C65D23"/>
    <w:rsid w:val="00C66085"/>
    <w:rsid w:val="00C66F4A"/>
    <w:rsid w:val="00C67BD7"/>
    <w:rsid w:val="00C7057F"/>
    <w:rsid w:val="00C70C46"/>
    <w:rsid w:val="00C70FF2"/>
    <w:rsid w:val="00C710B4"/>
    <w:rsid w:val="00C713B3"/>
    <w:rsid w:val="00C71CA4"/>
    <w:rsid w:val="00C71DD3"/>
    <w:rsid w:val="00C72B63"/>
    <w:rsid w:val="00C7337D"/>
    <w:rsid w:val="00C7342C"/>
    <w:rsid w:val="00C73931"/>
    <w:rsid w:val="00C74985"/>
    <w:rsid w:val="00C7517F"/>
    <w:rsid w:val="00C7522F"/>
    <w:rsid w:val="00C766CC"/>
    <w:rsid w:val="00C76A05"/>
    <w:rsid w:val="00C76A23"/>
    <w:rsid w:val="00C76E7F"/>
    <w:rsid w:val="00C80CE0"/>
    <w:rsid w:val="00C80E49"/>
    <w:rsid w:val="00C814E6"/>
    <w:rsid w:val="00C82103"/>
    <w:rsid w:val="00C8220A"/>
    <w:rsid w:val="00C8221B"/>
    <w:rsid w:val="00C82309"/>
    <w:rsid w:val="00C8259B"/>
    <w:rsid w:val="00C82638"/>
    <w:rsid w:val="00C83055"/>
    <w:rsid w:val="00C83AAA"/>
    <w:rsid w:val="00C83CB9"/>
    <w:rsid w:val="00C841F0"/>
    <w:rsid w:val="00C84437"/>
    <w:rsid w:val="00C84538"/>
    <w:rsid w:val="00C845CB"/>
    <w:rsid w:val="00C866CA"/>
    <w:rsid w:val="00C86A30"/>
    <w:rsid w:val="00C877E1"/>
    <w:rsid w:val="00C9093D"/>
    <w:rsid w:val="00C90D14"/>
    <w:rsid w:val="00C9103B"/>
    <w:rsid w:val="00C91387"/>
    <w:rsid w:val="00C92293"/>
    <w:rsid w:val="00C92439"/>
    <w:rsid w:val="00C92A71"/>
    <w:rsid w:val="00C92E52"/>
    <w:rsid w:val="00C93547"/>
    <w:rsid w:val="00C9374A"/>
    <w:rsid w:val="00C939C9"/>
    <w:rsid w:val="00C95101"/>
    <w:rsid w:val="00C95476"/>
    <w:rsid w:val="00C95485"/>
    <w:rsid w:val="00C958C9"/>
    <w:rsid w:val="00C95935"/>
    <w:rsid w:val="00C961F8"/>
    <w:rsid w:val="00C967D5"/>
    <w:rsid w:val="00C96938"/>
    <w:rsid w:val="00C96A3A"/>
    <w:rsid w:val="00C96B79"/>
    <w:rsid w:val="00C96C1A"/>
    <w:rsid w:val="00C9749C"/>
    <w:rsid w:val="00C97545"/>
    <w:rsid w:val="00C97717"/>
    <w:rsid w:val="00CA0154"/>
    <w:rsid w:val="00CA0389"/>
    <w:rsid w:val="00CA0F50"/>
    <w:rsid w:val="00CA101E"/>
    <w:rsid w:val="00CA162A"/>
    <w:rsid w:val="00CA3023"/>
    <w:rsid w:val="00CA30F9"/>
    <w:rsid w:val="00CA36BF"/>
    <w:rsid w:val="00CA468A"/>
    <w:rsid w:val="00CA4777"/>
    <w:rsid w:val="00CA4883"/>
    <w:rsid w:val="00CA550D"/>
    <w:rsid w:val="00CA555B"/>
    <w:rsid w:val="00CA592A"/>
    <w:rsid w:val="00CA73DA"/>
    <w:rsid w:val="00CA7645"/>
    <w:rsid w:val="00CB0AD3"/>
    <w:rsid w:val="00CB19DB"/>
    <w:rsid w:val="00CB1E69"/>
    <w:rsid w:val="00CB2048"/>
    <w:rsid w:val="00CB211D"/>
    <w:rsid w:val="00CB3015"/>
    <w:rsid w:val="00CB3F5A"/>
    <w:rsid w:val="00CB4EDC"/>
    <w:rsid w:val="00CB5F65"/>
    <w:rsid w:val="00CB6270"/>
    <w:rsid w:val="00CB699A"/>
    <w:rsid w:val="00CB7122"/>
    <w:rsid w:val="00CB7442"/>
    <w:rsid w:val="00CB75DD"/>
    <w:rsid w:val="00CB7E4F"/>
    <w:rsid w:val="00CC02A7"/>
    <w:rsid w:val="00CC06E0"/>
    <w:rsid w:val="00CC3757"/>
    <w:rsid w:val="00CC3B45"/>
    <w:rsid w:val="00CC3F45"/>
    <w:rsid w:val="00CC407A"/>
    <w:rsid w:val="00CC493D"/>
    <w:rsid w:val="00CC4F00"/>
    <w:rsid w:val="00CC4F08"/>
    <w:rsid w:val="00CC5653"/>
    <w:rsid w:val="00CC6922"/>
    <w:rsid w:val="00CC6BFD"/>
    <w:rsid w:val="00CC7FFE"/>
    <w:rsid w:val="00CD138C"/>
    <w:rsid w:val="00CD151D"/>
    <w:rsid w:val="00CD18D8"/>
    <w:rsid w:val="00CD1B27"/>
    <w:rsid w:val="00CD23A4"/>
    <w:rsid w:val="00CD2FA0"/>
    <w:rsid w:val="00CD2FE8"/>
    <w:rsid w:val="00CD3C32"/>
    <w:rsid w:val="00CD3CB1"/>
    <w:rsid w:val="00CD3F56"/>
    <w:rsid w:val="00CD4031"/>
    <w:rsid w:val="00CD415A"/>
    <w:rsid w:val="00CD4872"/>
    <w:rsid w:val="00CD48C1"/>
    <w:rsid w:val="00CD4FB1"/>
    <w:rsid w:val="00CE0D95"/>
    <w:rsid w:val="00CE1598"/>
    <w:rsid w:val="00CE1BB8"/>
    <w:rsid w:val="00CE1C3C"/>
    <w:rsid w:val="00CE2326"/>
    <w:rsid w:val="00CE2B8D"/>
    <w:rsid w:val="00CE2F7F"/>
    <w:rsid w:val="00CE3699"/>
    <w:rsid w:val="00CE3DA0"/>
    <w:rsid w:val="00CE43E6"/>
    <w:rsid w:val="00CE469C"/>
    <w:rsid w:val="00CE48C4"/>
    <w:rsid w:val="00CE49B8"/>
    <w:rsid w:val="00CE6880"/>
    <w:rsid w:val="00CE726E"/>
    <w:rsid w:val="00CF0437"/>
    <w:rsid w:val="00CF073F"/>
    <w:rsid w:val="00CF0D5D"/>
    <w:rsid w:val="00CF11E8"/>
    <w:rsid w:val="00CF1F65"/>
    <w:rsid w:val="00CF20EF"/>
    <w:rsid w:val="00CF306A"/>
    <w:rsid w:val="00CF3118"/>
    <w:rsid w:val="00CF36A0"/>
    <w:rsid w:val="00CF38B3"/>
    <w:rsid w:val="00CF3EA2"/>
    <w:rsid w:val="00CF4383"/>
    <w:rsid w:val="00CF527A"/>
    <w:rsid w:val="00CF52BC"/>
    <w:rsid w:val="00CF52E0"/>
    <w:rsid w:val="00CF53D2"/>
    <w:rsid w:val="00CF5414"/>
    <w:rsid w:val="00CF5EEC"/>
    <w:rsid w:val="00CF679C"/>
    <w:rsid w:val="00CF7561"/>
    <w:rsid w:val="00D0011C"/>
    <w:rsid w:val="00D00D89"/>
    <w:rsid w:val="00D01EFF"/>
    <w:rsid w:val="00D020C7"/>
    <w:rsid w:val="00D0234D"/>
    <w:rsid w:val="00D02943"/>
    <w:rsid w:val="00D02E54"/>
    <w:rsid w:val="00D03878"/>
    <w:rsid w:val="00D03F29"/>
    <w:rsid w:val="00D04B47"/>
    <w:rsid w:val="00D04F7B"/>
    <w:rsid w:val="00D052A2"/>
    <w:rsid w:val="00D05A0D"/>
    <w:rsid w:val="00D062D5"/>
    <w:rsid w:val="00D064C5"/>
    <w:rsid w:val="00D07034"/>
    <w:rsid w:val="00D070BC"/>
    <w:rsid w:val="00D109CC"/>
    <w:rsid w:val="00D109F2"/>
    <w:rsid w:val="00D10BCE"/>
    <w:rsid w:val="00D11287"/>
    <w:rsid w:val="00D1151B"/>
    <w:rsid w:val="00D13305"/>
    <w:rsid w:val="00D1366D"/>
    <w:rsid w:val="00D14633"/>
    <w:rsid w:val="00D1500E"/>
    <w:rsid w:val="00D150F8"/>
    <w:rsid w:val="00D16116"/>
    <w:rsid w:val="00D16E6D"/>
    <w:rsid w:val="00D1713B"/>
    <w:rsid w:val="00D20F61"/>
    <w:rsid w:val="00D22247"/>
    <w:rsid w:val="00D222F9"/>
    <w:rsid w:val="00D2251F"/>
    <w:rsid w:val="00D22970"/>
    <w:rsid w:val="00D22E77"/>
    <w:rsid w:val="00D234D4"/>
    <w:rsid w:val="00D23768"/>
    <w:rsid w:val="00D23E37"/>
    <w:rsid w:val="00D24A7B"/>
    <w:rsid w:val="00D24EF3"/>
    <w:rsid w:val="00D254D5"/>
    <w:rsid w:val="00D25611"/>
    <w:rsid w:val="00D25A63"/>
    <w:rsid w:val="00D25AEF"/>
    <w:rsid w:val="00D260C4"/>
    <w:rsid w:val="00D261B8"/>
    <w:rsid w:val="00D265A6"/>
    <w:rsid w:val="00D27AC9"/>
    <w:rsid w:val="00D27E56"/>
    <w:rsid w:val="00D300D1"/>
    <w:rsid w:val="00D302E1"/>
    <w:rsid w:val="00D306A1"/>
    <w:rsid w:val="00D30F0B"/>
    <w:rsid w:val="00D31170"/>
    <w:rsid w:val="00D314A0"/>
    <w:rsid w:val="00D3284A"/>
    <w:rsid w:val="00D3296A"/>
    <w:rsid w:val="00D32973"/>
    <w:rsid w:val="00D32E74"/>
    <w:rsid w:val="00D32FC8"/>
    <w:rsid w:val="00D34119"/>
    <w:rsid w:val="00D34778"/>
    <w:rsid w:val="00D358A7"/>
    <w:rsid w:val="00D35A1B"/>
    <w:rsid w:val="00D366FF"/>
    <w:rsid w:val="00D373C4"/>
    <w:rsid w:val="00D402C0"/>
    <w:rsid w:val="00D40B2B"/>
    <w:rsid w:val="00D420C2"/>
    <w:rsid w:val="00D426C5"/>
    <w:rsid w:val="00D43756"/>
    <w:rsid w:val="00D444A8"/>
    <w:rsid w:val="00D44780"/>
    <w:rsid w:val="00D44D49"/>
    <w:rsid w:val="00D44DDC"/>
    <w:rsid w:val="00D452B1"/>
    <w:rsid w:val="00D458BA"/>
    <w:rsid w:val="00D4609E"/>
    <w:rsid w:val="00D46317"/>
    <w:rsid w:val="00D46789"/>
    <w:rsid w:val="00D50247"/>
    <w:rsid w:val="00D50542"/>
    <w:rsid w:val="00D50CA5"/>
    <w:rsid w:val="00D513D5"/>
    <w:rsid w:val="00D52936"/>
    <w:rsid w:val="00D529D7"/>
    <w:rsid w:val="00D52B59"/>
    <w:rsid w:val="00D53043"/>
    <w:rsid w:val="00D5308C"/>
    <w:rsid w:val="00D54312"/>
    <w:rsid w:val="00D5447E"/>
    <w:rsid w:val="00D54FA0"/>
    <w:rsid w:val="00D55A7A"/>
    <w:rsid w:val="00D55E43"/>
    <w:rsid w:val="00D5603E"/>
    <w:rsid w:val="00D5612D"/>
    <w:rsid w:val="00D56DB3"/>
    <w:rsid w:val="00D56EC1"/>
    <w:rsid w:val="00D573C9"/>
    <w:rsid w:val="00D60260"/>
    <w:rsid w:val="00D60900"/>
    <w:rsid w:val="00D60D43"/>
    <w:rsid w:val="00D61122"/>
    <w:rsid w:val="00D61134"/>
    <w:rsid w:val="00D62007"/>
    <w:rsid w:val="00D62059"/>
    <w:rsid w:val="00D62B3D"/>
    <w:rsid w:val="00D62ED2"/>
    <w:rsid w:val="00D63217"/>
    <w:rsid w:val="00D63FDA"/>
    <w:rsid w:val="00D6416B"/>
    <w:rsid w:val="00D64A25"/>
    <w:rsid w:val="00D65342"/>
    <w:rsid w:val="00D65349"/>
    <w:rsid w:val="00D6598B"/>
    <w:rsid w:val="00D659CA"/>
    <w:rsid w:val="00D665CE"/>
    <w:rsid w:val="00D6716D"/>
    <w:rsid w:val="00D715A0"/>
    <w:rsid w:val="00D71CA7"/>
    <w:rsid w:val="00D727BA"/>
    <w:rsid w:val="00D72886"/>
    <w:rsid w:val="00D72E10"/>
    <w:rsid w:val="00D731D8"/>
    <w:rsid w:val="00D73427"/>
    <w:rsid w:val="00D737F2"/>
    <w:rsid w:val="00D74120"/>
    <w:rsid w:val="00D74BE8"/>
    <w:rsid w:val="00D74C4D"/>
    <w:rsid w:val="00D74E95"/>
    <w:rsid w:val="00D7607E"/>
    <w:rsid w:val="00D76A0C"/>
    <w:rsid w:val="00D77C33"/>
    <w:rsid w:val="00D77FD8"/>
    <w:rsid w:val="00D80267"/>
    <w:rsid w:val="00D80DF0"/>
    <w:rsid w:val="00D81C45"/>
    <w:rsid w:val="00D821F5"/>
    <w:rsid w:val="00D82EBE"/>
    <w:rsid w:val="00D83781"/>
    <w:rsid w:val="00D83C4B"/>
    <w:rsid w:val="00D86039"/>
    <w:rsid w:val="00D8683B"/>
    <w:rsid w:val="00D8737C"/>
    <w:rsid w:val="00D87D6C"/>
    <w:rsid w:val="00D87E53"/>
    <w:rsid w:val="00D900CF"/>
    <w:rsid w:val="00D9029E"/>
    <w:rsid w:val="00D909B3"/>
    <w:rsid w:val="00D90CB9"/>
    <w:rsid w:val="00D90D42"/>
    <w:rsid w:val="00D913B0"/>
    <w:rsid w:val="00D914EC"/>
    <w:rsid w:val="00D91E74"/>
    <w:rsid w:val="00D92235"/>
    <w:rsid w:val="00D92406"/>
    <w:rsid w:val="00D92FCE"/>
    <w:rsid w:val="00D94A21"/>
    <w:rsid w:val="00D94E0B"/>
    <w:rsid w:val="00D951C3"/>
    <w:rsid w:val="00D96B01"/>
    <w:rsid w:val="00D97036"/>
    <w:rsid w:val="00D97870"/>
    <w:rsid w:val="00DA1135"/>
    <w:rsid w:val="00DA19FE"/>
    <w:rsid w:val="00DA251B"/>
    <w:rsid w:val="00DA2B40"/>
    <w:rsid w:val="00DA3017"/>
    <w:rsid w:val="00DA3110"/>
    <w:rsid w:val="00DA43D1"/>
    <w:rsid w:val="00DA4916"/>
    <w:rsid w:val="00DA4F33"/>
    <w:rsid w:val="00DA5399"/>
    <w:rsid w:val="00DA66AF"/>
    <w:rsid w:val="00DA75A7"/>
    <w:rsid w:val="00DA7B87"/>
    <w:rsid w:val="00DA7D47"/>
    <w:rsid w:val="00DB0070"/>
    <w:rsid w:val="00DB00F0"/>
    <w:rsid w:val="00DB0379"/>
    <w:rsid w:val="00DB03A9"/>
    <w:rsid w:val="00DB0A49"/>
    <w:rsid w:val="00DB0B2A"/>
    <w:rsid w:val="00DB0FC0"/>
    <w:rsid w:val="00DB1C3D"/>
    <w:rsid w:val="00DB2A77"/>
    <w:rsid w:val="00DB3281"/>
    <w:rsid w:val="00DB32D4"/>
    <w:rsid w:val="00DB37CF"/>
    <w:rsid w:val="00DB38CA"/>
    <w:rsid w:val="00DB3F7C"/>
    <w:rsid w:val="00DB4F4B"/>
    <w:rsid w:val="00DB699E"/>
    <w:rsid w:val="00DB6CC8"/>
    <w:rsid w:val="00DB7571"/>
    <w:rsid w:val="00DC034C"/>
    <w:rsid w:val="00DC0966"/>
    <w:rsid w:val="00DC0F0C"/>
    <w:rsid w:val="00DC140D"/>
    <w:rsid w:val="00DC1E84"/>
    <w:rsid w:val="00DC23F6"/>
    <w:rsid w:val="00DC2498"/>
    <w:rsid w:val="00DC2E7D"/>
    <w:rsid w:val="00DC2EA5"/>
    <w:rsid w:val="00DC3073"/>
    <w:rsid w:val="00DC407A"/>
    <w:rsid w:val="00DC459E"/>
    <w:rsid w:val="00DC557F"/>
    <w:rsid w:val="00DC5E73"/>
    <w:rsid w:val="00DC608B"/>
    <w:rsid w:val="00DC616F"/>
    <w:rsid w:val="00DC6D56"/>
    <w:rsid w:val="00DC6E87"/>
    <w:rsid w:val="00DC71A4"/>
    <w:rsid w:val="00DC7A32"/>
    <w:rsid w:val="00DC7C08"/>
    <w:rsid w:val="00DC7C36"/>
    <w:rsid w:val="00DD012B"/>
    <w:rsid w:val="00DD01A2"/>
    <w:rsid w:val="00DD0C4A"/>
    <w:rsid w:val="00DD0F0A"/>
    <w:rsid w:val="00DD25BD"/>
    <w:rsid w:val="00DD2BCD"/>
    <w:rsid w:val="00DD2E67"/>
    <w:rsid w:val="00DD3BFD"/>
    <w:rsid w:val="00DD4322"/>
    <w:rsid w:val="00DD44E6"/>
    <w:rsid w:val="00DD4C07"/>
    <w:rsid w:val="00DD735A"/>
    <w:rsid w:val="00DD7843"/>
    <w:rsid w:val="00DE0549"/>
    <w:rsid w:val="00DE1D43"/>
    <w:rsid w:val="00DE20AB"/>
    <w:rsid w:val="00DE287F"/>
    <w:rsid w:val="00DE32E8"/>
    <w:rsid w:val="00DE33C7"/>
    <w:rsid w:val="00DE33EC"/>
    <w:rsid w:val="00DE3546"/>
    <w:rsid w:val="00DE4629"/>
    <w:rsid w:val="00DE47D9"/>
    <w:rsid w:val="00DE49B7"/>
    <w:rsid w:val="00DE5912"/>
    <w:rsid w:val="00DE62F3"/>
    <w:rsid w:val="00DE6BD6"/>
    <w:rsid w:val="00DE6E7E"/>
    <w:rsid w:val="00DE7115"/>
    <w:rsid w:val="00DE7317"/>
    <w:rsid w:val="00DE7EAE"/>
    <w:rsid w:val="00DF07AD"/>
    <w:rsid w:val="00DF13DC"/>
    <w:rsid w:val="00DF2318"/>
    <w:rsid w:val="00DF26A8"/>
    <w:rsid w:val="00DF28DF"/>
    <w:rsid w:val="00DF2905"/>
    <w:rsid w:val="00DF365B"/>
    <w:rsid w:val="00DF4263"/>
    <w:rsid w:val="00DF4285"/>
    <w:rsid w:val="00DF42D5"/>
    <w:rsid w:val="00DF4A65"/>
    <w:rsid w:val="00DF4DBB"/>
    <w:rsid w:val="00DF4F28"/>
    <w:rsid w:val="00DF5728"/>
    <w:rsid w:val="00DF6DE9"/>
    <w:rsid w:val="00DF7B2F"/>
    <w:rsid w:val="00E0081E"/>
    <w:rsid w:val="00E00EAA"/>
    <w:rsid w:val="00E014DA"/>
    <w:rsid w:val="00E01574"/>
    <w:rsid w:val="00E01EA4"/>
    <w:rsid w:val="00E01F23"/>
    <w:rsid w:val="00E039EA"/>
    <w:rsid w:val="00E03EA7"/>
    <w:rsid w:val="00E049B6"/>
    <w:rsid w:val="00E051ED"/>
    <w:rsid w:val="00E05DEC"/>
    <w:rsid w:val="00E0614A"/>
    <w:rsid w:val="00E06381"/>
    <w:rsid w:val="00E06906"/>
    <w:rsid w:val="00E079B0"/>
    <w:rsid w:val="00E07E28"/>
    <w:rsid w:val="00E10EEC"/>
    <w:rsid w:val="00E110C3"/>
    <w:rsid w:val="00E11343"/>
    <w:rsid w:val="00E11B6C"/>
    <w:rsid w:val="00E11C59"/>
    <w:rsid w:val="00E11CFD"/>
    <w:rsid w:val="00E12023"/>
    <w:rsid w:val="00E12322"/>
    <w:rsid w:val="00E14EFD"/>
    <w:rsid w:val="00E14F75"/>
    <w:rsid w:val="00E162E0"/>
    <w:rsid w:val="00E165C2"/>
    <w:rsid w:val="00E17397"/>
    <w:rsid w:val="00E217B2"/>
    <w:rsid w:val="00E21B69"/>
    <w:rsid w:val="00E224DB"/>
    <w:rsid w:val="00E225D5"/>
    <w:rsid w:val="00E22F96"/>
    <w:rsid w:val="00E231AE"/>
    <w:rsid w:val="00E23528"/>
    <w:rsid w:val="00E23F84"/>
    <w:rsid w:val="00E25BB0"/>
    <w:rsid w:val="00E26313"/>
    <w:rsid w:val="00E266FB"/>
    <w:rsid w:val="00E26A57"/>
    <w:rsid w:val="00E26F19"/>
    <w:rsid w:val="00E27E33"/>
    <w:rsid w:val="00E27EAD"/>
    <w:rsid w:val="00E308F0"/>
    <w:rsid w:val="00E30D52"/>
    <w:rsid w:val="00E31027"/>
    <w:rsid w:val="00E31D0A"/>
    <w:rsid w:val="00E3271F"/>
    <w:rsid w:val="00E32E6A"/>
    <w:rsid w:val="00E33C5B"/>
    <w:rsid w:val="00E40848"/>
    <w:rsid w:val="00E4137D"/>
    <w:rsid w:val="00E41D61"/>
    <w:rsid w:val="00E41D94"/>
    <w:rsid w:val="00E42BA5"/>
    <w:rsid w:val="00E42C25"/>
    <w:rsid w:val="00E43718"/>
    <w:rsid w:val="00E4372C"/>
    <w:rsid w:val="00E43761"/>
    <w:rsid w:val="00E43B36"/>
    <w:rsid w:val="00E441F1"/>
    <w:rsid w:val="00E44436"/>
    <w:rsid w:val="00E444D5"/>
    <w:rsid w:val="00E44E23"/>
    <w:rsid w:val="00E45374"/>
    <w:rsid w:val="00E45AA9"/>
    <w:rsid w:val="00E45CEC"/>
    <w:rsid w:val="00E46226"/>
    <w:rsid w:val="00E47950"/>
    <w:rsid w:val="00E47CA9"/>
    <w:rsid w:val="00E50984"/>
    <w:rsid w:val="00E50A8A"/>
    <w:rsid w:val="00E50E33"/>
    <w:rsid w:val="00E514CE"/>
    <w:rsid w:val="00E528EF"/>
    <w:rsid w:val="00E52EE9"/>
    <w:rsid w:val="00E53225"/>
    <w:rsid w:val="00E53E31"/>
    <w:rsid w:val="00E546D7"/>
    <w:rsid w:val="00E5490F"/>
    <w:rsid w:val="00E54D60"/>
    <w:rsid w:val="00E556CF"/>
    <w:rsid w:val="00E5587A"/>
    <w:rsid w:val="00E55B87"/>
    <w:rsid w:val="00E5685C"/>
    <w:rsid w:val="00E570C1"/>
    <w:rsid w:val="00E571BF"/>
    <w:rsid w:val="00E5721E"/>
    <w:rsid w:val="00E57A20"/>
    <w:rsid w:val="00E617E2"/>
    <w:rsid w:val="00E61A4F"/>
    <w:rsid w:val="00E61CE2"/>
    <w:rsid w:val="00E623BF"/>
    <w:rsid w:val="00E627FF"/>
    <w:rsid w:val="00E62AFA"/>
    <w:rsid w:val="00E636E9"/>
    <w:rsid w:val="00E6450F"/>
    <w:rsid w:val="00E64B17"/>
    <w:rsid w:val="00E64C40"/>
    <w:rsid w:val="00E64F03"/>
    <w:rsid w:val="00E64FFD"/>
    <w:rsid w:val="00E65D44"/>
    <w:rsid w:val="00E666DF"/>
    <w:rsid w:val="00E67C84"/>
    <w:rsid w:val="00E7059D"/>
    <w:rsid w:val="00E715CB"/>
    <w:rsid w:val="00E7233A"/>
    <w:rsid w:val="00E73207"/>
    <w:rsid w:val="00E741B2"/>
    <w:rsid w:val="00E7499F"/>
    <w:rsid w:val="00E7551E"/>
    <w:rsid w:val="00E75818"/>
    <w:rsid w:val="00E7596B"/>
    <w:rsid w:val="00E75AC3"/>
    <w:rsid w:val="00E75F3C"/>
    <w:rsid w:val="00E76653"/>
    <w:rsid w:val="00E76993"/>
    <w:rsid w:val="00E76B8C"/>
    <w:rsid w:val="00E80140"/>
    <w:rsid w:val="00E821A7"/>
    <w:rsid w:val="00E82E2E"/>
    <w:rsid w:val="00E839B8"/>
    <w:rsid w:val="00E83C53"/>
    <w:rsid w:val="00E83C85"/>
    <w:rsid w:val="00E854D0"/>
    <w:rsid w:val="00E85723"/>
    <w:rsid w:val="00E85E62"/>
    <w:rsid w:val="00E86065"/>
    <w:rsid w:val="00E8657E"/>
    <w:rsid w:val="00E8795F"/>
    <w:rsid w:val="00E87A9F"/>
    <w:rsid w:val="00E87C84"/>
    <w:rsid w:val="00E90615"/>
    <w:rsid w:val="00E90A95"/>
    <w:rsid w:val="00E90E65"/>
    <w:rsid w:val="00E910B8"/>
    <w:rsid w:val="00E921B9"/>
    <w:rsid w:val="00E9220C"/>
    <w:rsid w:val="00E926B7"/>
    <w:rsid w:val="00E929D4"/>
    <w:rsid w:val="00E92A46"/>
    <w:rsid w:val="00E92A78"/>
    <w:rsid w:val="00E92F28"/>
    <w:rsid w:val="00E92F8F"/>
    <w:rsid w:val="00E94343"/>
    <w:rsid w:val="00E94368"/>
    <w:rsid w:val="00E9476F"/>
    <w:rsid w:val="00E952F4"/>
    <w:rsid w:val="00E95745"/>
    <w:rsid w:val="00E95CF1"/>
    <w:rsid w:val="00E967BF"/>
    <w:rsid w:val="00EA1820"/>
    <w:rsid w:val="00EA228A"/>
    <w:rsid w:val="00EA2372"/>
    <w:rsid w:val="00EA2464"/>
    <w:rsid w:val="00EA2A90"/>
    <w:rsid w:val="00EA2C75"/>
    <w:rsid w:val="00EA2C9D"/>
    <w:rsid w:val="00EA32FB"/>
    <w:rsid w:val="00EA3622"/>
    <w:rsid w:val="00EA374D"/>
    <w:rsid w:val="00EA3E96"/>
    <w:rsid w:val="00EA3E97"/>
    <w:rsid w:val="00EA4015"/>
    <w:rsid w:val="00EA410C"/>
    <w:rsid w:val="00EA4447"/>
    <w:rsid w:val="00EA49B2"/>
    <w:rsid w:val="00EA5DF4"/>
    <w:rsid w:val="00EA65A1"/>
    <w:rsid w:val="00EA6CBC"/>
    <w:rsid w:val="00EA6D23"/>
    <w:rsid w:val="00EA726E"/>
    <w:rsid w:val="00EB0896"/>
    <w:rsid w:val="00EB0C9B"/>
    <w:rsid w:val="00EB2B59"/>
    <w:rsid w:val="00EB3C00"/>
    <w:rsid w:val="00EB3E93"/>
    <w:rsid w:val="00EB47E4"/>
    <w:rsid w:val="00EB4A8D"/>
    <w:rsid w:val="00EB4D02"/>
    <w:rsid w:val="00EB72CA"/>
    <w:rsid w:val="00EC0A6B"/>
    <w:rsid w:val="00EC0EFF"/>
    <w:rsid w:val="00EC0F99"/>
    <w:rsid w:val="00EC0FE2"/>
    <w:rsid w:val="00EC1F63"/>
    <w:rsid w:val="00EC2042"/>
    <w:rsid w:val="00EC2AFD"/>
    <w:rsid w:val="00EC3BE3"/>
    <w:rsid w:val="00EC468E"/>
    <w:rsid w:val="00EC4F95"/>
    <w:rsid w:val="00EC5F93"/>
    <w:rsid w:val="00EC63E9"/>
    <w:rsid w:val="00EC6622"/>
    <w:rsid w:val="00EC6CEF"/>
    <w:rsid w:val="00ED0B58"/>
    <w:rsid w:val="00ED162A"/>
    <w:rsid w:val="00ED1B43"/>
    <w:rsid w:val="00ED279F"/>
    <w:rsid w:val="00ED2BE6"/>
    <w:rsid w:val="00ED2D8E"/>
    <w:rsid w:val="00ED2EA3"/>
    <w:rsid w:val="00ED3BF3"/>
    <w:rsid w:val="00ED3E7C"/>
    <w:rsid w:val="00ED48D1"/>
    <w:rsid w:val="00ED4CD1"/>
    <w:rsid w:val="00ED527F"/>
    <w:rsid w:val="00ED5C99"/>
    <w:rsid w:val="00ED5F08"/>
    <w:rsid w:val="00ED73DC"/>
    <w:rsid w:val="00ED7E6C"/>
    <w:rsid w:val="00EE05FA"/>
    <w:rsid w:val="00EE078F"/>
    <w:rsid w:val="00EE27A8"/>
    <w:rsid w:val="00EE2E85"/>
    <w:rsid w:val="00EE349B"/>
    <w:rsid w:val="00EE42F1"/>
    <w:rsid w:val="00EE48FA"/>
    <w:rsid w:val="00EE4996"/>
    <w:rsid w:val="00EE65D4"/>
    <w:rsid w:val="00EE6984"/>
    <w:rsid w:val="00EE7BF1"/>
    <w:rsid w:val="00EF0BCC"/>
    <w:rsid w:val="00EF13E7"/>
    <w:rsid w:val="00EF178C"/>
    <w:rsid w:val="00EF2022"/>
    <w:rsid w:val="00EF2069"/>
    <w:rsid w:val="00EF299F"/>
    <w:rsid w:val="00EF34CA"/>
    <w:rsid w:val="00EF34F3"/>
    <w:rsid w:val="00EF38A4"/>
    <w:rsid w:val="00EF3964"/>
    <w:rsid w:val="00EF3EA4"/>
    <w:rsid w:val="00EF3F42"/>
    <w:rsid w:val="00EF408A"/>
    <w:rsid w:val="00EF51EE"/>
    <w:rsid w:val="00EF5676"/>
    <w:rsid w:val="00EF584B"/>
    <w:rsid w:val="00EF6D99"/>
    <w:rsid w:val="00EF7B5C"/>
    <w:rsid w:val="00EF7E08"/>
    <w:rsid w:val="00F00409"/>
    <w:rsid w:val="00F0087C"/>
    <w:rsid w:val="00F014F5"/>
    <w:rsid w:val="00F015AA"/>
    <w:rsid w:val="00F019FC"/>
    <w:rsid w:val="00F01E70"/>
    <w:rsid w:val="00F0352C"/>
    <w:rsid w:val="00F044B3"/>
    <w:rsid w:val="00F046BB"/>
    <w:rsid w:val="00F04D65"/>
    <w:rsid w:val="00F04E59"/>
    <w:rsid w:val="00F0753A"/>
    <w:rsid w:val="00F07ABB"/>
    <w:rsid w:val="00F10FFB"/>
    <w:rsid w:val="00F1162A"/>
    <w:rsid w:val="00F117AF"/>
    <w:rsid w:val="00F12675"/>
    <w:rsid w:val="00F12BBD"/>
    <w:rsid w:val="00F13EEA"/>
    <w:rsid w:val="00F142AC"/>
    <w:rsid w:val="00F14AFD"/>
    <w:rsid w:val="00F150D0"/>
    <w:rsid w:val="00F15CBD"/>
    <w:rsid w:val="00F15EF4"/>
    <w:rsid w:val="00F17210"/>
    <w:rsid w:val="00F173A9"/>
    <w:rsid w:val="00F17D0F"/>
    <w:rsid w:val="00F17DBE"/>
    <w:rsid w:val="00F2031C"/>
    <w:rsid w:val="00F21EBF"/>
    <w:rsid w:val="00F223CE"/>
    <w:rsid w:val="00F22C76"/>
    <w:rsid w:val="00F2324A"/>
    <w:rsid w:val="00F23449"/>
    <w:rsid w:val="00F2360B"/>
    <w:rsid w:val="00F236B6"/>
    <w:rsid w:val="00F241BA"/>
    <w:rsid w:val="00F263A4"/>
    <w:rsid w:val="00F276E4"/>
    <w:rsid w:val="00F3005F"/>
    <w:rsid w:val="00F310A4"/>
    <w:rsid w:val="00F318D5"/>
    <w:rsid w:val="00F31A22"/>
    <w:rsid w:val="00F31D30"/>
    <w:rsid w:val="00F32798"/>
    <w:rsid w:val="00F35675"/>
    <w:rsid w:val="00F35EBF"/>
    <w:rsid w:val="00F36087"/>
    <w:rsid w:val="00F363E3"/>
    <w:rsid w:val="00F36F61"/>
    <w:rsid w:val="00F3703E"/>
    <w:rsid w:val="00F377AA"/>
    <w:rsid w:val="00F37B81"/>
    <w:rsid w:val="00F37DFE"/>
    <w:rsid w:val="00F40C4C"/>
    <w:rsid w:val="00F419AE"/>
    <w:rsid w:val="00F41E73"/>
    <w:rsid w:val="00F4219C"/>
    <w:rsid w:val="00F427B8"/>
    <w:rsid w:val="00F42D7E"/>
    <w:rsid w:val="00F4459B"/>
    <w:rsid w:val="00F45348"/>
    <w:rsid w:val="00F463AA"/>
    <w:rsid w:val="00F4668B"/>
    <w:rsid w:val="00F46E43"/>
    <w:rsid w:val="00F477AB"/>
    <w:rsid w:val="00F50316"/>
    <w:rsid w:val="00F50B02"/>
    <w:rsid w:val="00F52A3C"/>
    <w:rsid w:val="00F533E8"/>
    <w:rsid w:val="00F53614"/>
    <w:rsid w:val="00F53737"/>
    <w:rsid w:val="00F53BBD"/>
    <w:rsid w:val="00F53D92"/>
    <w:rsid w:val="00F53EA6"/>
    <w:rsid w:val="00F54275"/>
    <w:rsid w:val="00F54F9A"/>
    <w:rsid w:val="00F551E8"/>
    <w:rsid w:val="00F5577D"/>
    <w:rsid w:val="00F56A87"/>
    <w:rsid w:val="00F56A98"/>
    <w:rsid w:val="00F56D85"/>
    <w:rsid w:val="00F575F3"/>
    <w:rsid w:val="00F57903"/>
    <w:rsid w:val="00F57D9B"/>
    <w:rsid w:val="00F57DA0"/>
    <w:rsid w:val="00F57E53"/>
    <w:rsid w:val="00F605B4"/>
    <w:rsid w:val="00F6083C"/>
    <w:rsid w:val="00F60B3F"/>
    <w:rsid w:val="00F60BAE"/>
    <w:rsid w:val="00F60D0C"/>
    <w:rsid w:val="00F61038"/>
    <w:rsid w:val="00F6103D"/>
    <w:rsid w:val="00F61606"/>
    <w:rsid w:val="00F62F25"/>
    <w:rsid w:val="00F63621"/>
    <w:rsid w:val="00F6428E"/>
    <w:rsid w:val="00F644A8"/>
    <w:rsid w:val="00F647C9"/>
    <w:rsid w:val="00F64EC9"/>
    <w:rsid w:val="00F651A5"/>
    <w:rsid w:val="00F6585D"/>
    <w:rsid w:val="00F658B4"/>
    <w:rsid w:val="00F658F5"/>
    <w:rsid w:val="00F65934"/>
    <w:rsid w:val="00F67B09"/>
    <w:rsid w:val="00F67F53"/>
    <w:rsid w:val="00F717A8"/>
    <w:rsid w:val="00F720BA"/>
    <w:rsid w:val="00F7241E"/>
    <w:rsid w:val="00F72C89"/>
    <w:rsid w:val="00F73023"/>
    <w:rsid w:val="00F738A7"/>
    <w:rsid w:val="00F73B8A"/>
    <w:rsid w:val="00F74BC6"/>
    <w:rsid w:val="00F74D56"/>
    <w:rsid w:val="00F74F80"/>
    <w:rsid w:val="00F75258"/>
    <w:rsid w:val="00F752AC"/>
    <w:rsid w:val="00F7667E"/>
    <w:rsid w:val="00F76E2E"/>
    <w:rsid w:val="00F770CD"/>
    <w:rsid w:val="00F7741D"/>
    <w:rsid w:val="00F80189"/>
    <w:rsid w:val="00F80550"/>
    <w:rsid w:val="00F81A89"/>
    <w:rsid w:val="00F81B2D"/>
    <w:rsid w:val="00F81BFB"/>
    <w:rsid w:val="00F81FD2"/>
    <w:rsid w:val="00F821F0"/>
    <w:rsid w:val="00F82315"/>
    <w:rsid w:val="00F82C46"/>
    <w:rsid w:val="00F83304"/>
    <w:rsid w:val="00F83B37"/>
    <w:rsid w:val="00F83CD5"/>
    <w:rsid w:val="00F85F9B"/>
    <w:rsid w:val="00F867C9"/>
    <w:rsid w:val="00F867CE"/>
    <w:rsid w:val="00F87DED"/>
    <w:rsid w:val="00F90042"/>
    <w:rsid w:val="00F900E0"/>
    <w:rsid w:val="00F906BD"/>
    <w:rsid w:val="00F9071D"/>
    <w:rsid w:val="00F9073C"/>
    <w:rsid w:val="00F9095B"/>
    <w:rsid w:val="00F90E84"/>
    <w:rsid w:val="00F90F4E"/>
    <w:rsid w:val="00F91225"/>
    <w:rsid w:val="00F919CC"/>
    <w:rsid w:val="00F91F33"/>
    <w:rsid w:val="00F92DA4"/>
    <w:rsid w:val="00F933AD"/>
    <w:rsid w:val="00F94072"/>
    <w:rsid w:val="00F946DD"/>
    <w:rsid w:val="00F948FB"/>
    <w:rsid w:val="00F95566"/>
    <w:rsid w:val="00F96D2E"/>
    <w:rsid w:val="00F96FE0"/>
    <w:rsid w:val="00F9754C"/>
    <w:rsid w:val="00F976D3"/>
    <w:rsid w:val="00F9797A"/>
    <w:rsid w:val="00F97CE1"/>
    <w:rsid w:val="00F97D68"/>
    <w:rsid w:val="00F97F7C"/>
    <w:rsid w:val="00FA0B5D"/>
    <w:rsid w:val="00FA10C0"/>
    <w:rsid w:val="00FA2A9F"/>
    <w:rsid w:val="00FA391C"/>
    <w:rsid w:val="00FA3BC1"/>
    <w:rsid w:val="00FA3E06"/>
    <w:rsid w:val="00FA4061"/>
    <w:rsid w:val="00FA4D57"/>
    <w:rsid w:val="00FA4EDB"/>
    <w:rsid w:val="00FA5108"/>
    <w:rsid w:val="00FA5118"/>
    <w:rsid w:val="00FA5540"/>
    <w:rsid w:val="00FA5648"/>
    <w:rsid w:val="00FA5A0A"/>
    <w:rsid w:val="00FA5DA1"/>
    <w:rsid w:val="00FA672A"/>
    <w:rsid w:val="00FA6E0A"/>
    <w:rsid w:val="00FA70D4"/>
    <w:rsid w:val="00FA726C"/>
    <w:rsid w:val="00FA76C0"/>
    <w:rsid w:val="00FA7C77"/>
    <w:rsid w:val="00FB03FC"/>
    <w:rsid w:val="00FB0653"/>
    <w:rsid w:val="00FB0CED"/>
    <w:rsid w:val="00FB0E40"/>
    <w:rsid w:val="00FB176E"/>
    <w:rsid w:val="00FB22B1"/>
    <w:rsid w:val="00FB2B55"/>
    <w:rsid w:val="00FB2C45"/>
    <w:rsid w:val="00FB3D1F"/>
    <w:rsid w:val="00FB4047"/>
    <w:rsid w:val="00FB4BF0"/>
    <w:rsid w:val="00FB5833"/>
    <w:rsid w:val="00FB5B19"/>
    <w:rsid w:val="00FB5EF4"/>
    <w:rsid w:val="00FB60A0"/>
    <w:rsid w:val="00FB6C4B"/>
    <w:rsid w:val="00FB7925"/>
    <w:rsid w:val="00FC103E"/>
    <w:rsid w:val="00FC12EC"/>
    <w:rsid w:val="00FC1370"/>
    <w:rsid w:val="00FC193A"/>
    <w:rsid w:val="00FC1D63"/>
    <w:rsid w:val="00FC1F96"/>
    <w:rsid w:val="00FC3CB4"/>
    <w:rsid w:val="00FC3E6C"/>
    <w:rsid w:val="00FC5C34"/>
    <w:rsid w:val="00FC61AF"/>
    <w:rsid w:val="00FC7869"/>
    <w:rsid w:val="00FD0129"/>
    <w:rsid w:val="00FD085E"/>
    <w:rsid w:val="00FD14F9"/>
    <w:rsid w:val="00FD1C52"/>
    <w:rsid w:val="00FD2C30"/>
    <w:rsid w:val="00FD35C5"/>
    <w:rsid w:val="00FD36E7"/>
    <w:rsid w:val="00FD39C3"/>
    <w:rsid w:val="00FD3C6A"/>
    <w:rsid w:val="00FD454C"/>
    <w:rsid w:val="00FD4859"/>
    <w:rsid w:val="00FD4BD4"/>
    <w:rsid w:val="00FD4DDD"/>
    <w:rsid w:val="00FD6703"/>
    <w:rsid w:val="00FE0396"/>
    <w:rsid w:val="00FE058B"/>
    <w:rsid w:val="00FE05F3"/>
    <w:rsid w:val="00FE0D88"/>
    <w:rsid w:val="00FE2EE3"/>
    <w:rsid w:val="00FE3F6A"/>
    <w:rsid w:val="00FE4E81"/>
    <w:rsid w:val="00FE56E5"/>
    <w:rsid w:val="00FE5AD8"/>
    <w:rsid w:val="00FE69C1"/>
    <w:rsid w:val="00FE6DDF"/>
    <w:rsid w:val="00FE747C"/>
    <w:rsid w:val="00FE750B"/>
    <w:rsid w:val="00FF0A7F"/>
    <w:rsid w:val="00FF0E2C"/>
    <w:rsid w:val="00FF2360"/>
    <w:rsid w:val="00FF2B97"/>
    <w:rsid w:val="00FF2C8A"/>
    <w:rsid w:val="00FF363C"/>
    <w:rsid w:val="00FF51FF"/>
    <w:rsid w:val="00FF6805"/>
    <w:rsid w:val="00FF6B76"/>
    <w:rsid w:val="0100179D"/>
    <w:rsid w:val="044C32D5"/>
    <w:rsid w:val="08090E04"/>
    <w:rsid w:val="085E53BC"/>
    <w:rsid w:val="0940043D"/>
    <w:rsid w:val="0946657C"/>
    <w:rsid w:val="0CC24A0B"/>
    <w:rsid w:val="0E370B89"/>
    <w:rsid w:val="10507235"/>
    <w:rsid w:val="10CE09CE"/>
    <w:rsid w:val="15080B89"/>
    <w:rsid w:val="170535D2"/>
    <w:rsid w:val="17B11124"/>
    <w:rsid w:val="1D6D0123"/>
    <w:rsid w:val="1ED22C66"/>
    <w:rsid w:val="1F9A4AD4"/>
    <w:rsid w:val="1FD9EC07"/>
    <w:rsid w:val="20EE50D7"/>
    <w:rsid w:val="25B66C16"/>
    <w:rsid w:val="262D0638"/>
    <w:rsid w:val="26CF59AB"/>
    <w:rsid w:val="28520641"/>
    <w:rsid w:val="29A56478"/>
    <w:rsid w:val="2EE754CB"/>
    <w:rsid w:val="2FF04479"/>
    <w:rsid w:val="3004738C"/>
    <w:rsid w:val="32A941C4"/>
    <w:rsid w:val="36342BA0"/>
    <w:rsid w:val="364C6497"/>
    <w:rsid w:val="37DB3590"/>
    <w:rsid w:val="39070057"/>
    <w:rsid w:val="40F32180"/>
    <w:rsid w:val="41CE08E1"/>
    <w:rsid w:val="434A3B93"/>
    <w:rsid w:val="4B0E2807"/>
    <w:rsid w:val="4DE84C6B"/>
    <w:rsid w:val="4E6301AA"/>
    <w:rsid w:val="4EB31D3E"/>
    <w:rsid w:val="4EF87DAD"/>
    <w:rsid w:val="507C2D27"/>
    <w:rsid w:val="50B13116"/>
    <w:rsid w:val="51D610EC"/>
    <w:rsid w:val="52FC2DD4"/>
    <w:rsid w:val="54412D68"/>
    <w:rsid w:val="5458228C"/>
    <w:rsid w:val="54693063"/>
    <w:rsid w:val="552B20B7"/>
    <w:rsid w:val="557D644E"/>
    <w:rsid w:val="55872E29"/>
    <w:rsid w:val="56682C5A"/>
    <w:rsid w:val="573A53FB"/>
    <w:rsid w:val="5AE852FC"/>
    <w:rsid w:val="5B7A1327"/>
    <w:rsid w:val="5BFD2097"/>
    <w:rsid w:val="5CBA150C"/>
    <w:rsid w:val="5CBB788B"/>
    <w:rsid w:val="5CBF4181"/>
    <w:rsid w:val="5D215B61"/>
    <w:rsid w:val="5F3E6C4E"/>
    <w:rsid w:val="5F724B4A"/>
    <w:rsid w:val="5FE1437E"/>
    <w:rsid w:val="61774699"/>
    <w:rsid w:val="623065F6"/>
    <w:rsid w:val="62D266CE"/>
    <w:rsid w:val="649410BE"/>
    <w:rsid w:val="68DD79B8"/>
    <w:rsid w:val="694C4F35"/>
    <w:rsid w:val="6B6F4633"/>
    <w:rsid w:val="6CAE1842"/>
    <w:rsid w:val="6CD52274"/>
    <w:rsid w:val="6F173018"/>
    <w:rsid w:val="6FF2D2F8"/>
    <w:rsid w:val="7104137A"/>
    <w:rsid w:val="734D0B35"/>
    <w:rsid w:val="73F90F3E"/>
    <w:rsid w:val="76C373C2"/>
    <w:rsid w:val="78085BF3"/>
    <w:rsid w:val="7AD41DBD"/>
    <w:rsid w:val="7B3E0ABC"/>
    <w:rsid w:val="7C741FFD"/>
    <w:rsid w:val="7D284642"/>
    <w:rsid w:val="7E3F60E7"/>
    <w:rsid w:val="7F6F4512"/>
    <w:rsid w:val="7F77A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First Indent"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caption"/>
    <w:basedOn w:val="a"/>
    <w:next w:val="a"/>
    <w:unhideWhenUsed/>
    <w:qFormat/>
    <w:rPr>
      <w:rFonts w:asciiTheme="majorHAnsi" w:eastAsia="黑体" w:hAnsiTheme="majorHAnsi" w:cstheme="majorBidi"/>
      <w:sz w:val="20"/>
      <w:szCs w:val="20"/>
    </w:rPr>
  </w:style>
  <w:style w:type="paragraph" w:styleId="a5">
    <w:name w:val="annotation text"/>
    <w:basedOn w:val="a"/>
    <w:uiPriority w:val="99"/>
    <w:semiHidden/>
    <w:unhideWhenUsed/>
    <w:qFormat/>
    <w:pPr>
      <w:jc w:val="left"/>
    </w:pPr>
  </w:style>
  <w:style w:type="paragraph" w:styleId="a6">
    <w:name w:val="Body Text"/>
    <w:basedOn w:val="a"/>
    <w:next w:val="a"/>
    <w:link w:val="Char0"/>
    <w:qFormat/>
    <w:pPr>
      <w:spacing w:after="120"/>
    </w:pPr>
    <w:rPr>
      <w:rFonts w:ascii="Times New Roman" w:eastAsia="宋体" w:hAnsi="Times New Roman" w:cs="Times New Roman"/>
    </w:rPr>
  </w:style>
  <w:style w:type="paragraph" w:styleId="30">
    <w:name w:val="toc 3"/>
    <w:basedOn w:val="a"/>
    <w:next w:val="a"/>
    <w:uiPriority w:val="39"/>
    <w:unhideWhenUsed/>
    <w:qFormat/>
    <w:pPr>
      <w:ind w:leftChars="200" w:left="200"/>
    </w:pPr>
    <w:rPr>
      <w:sz w:val="32"/>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rFonts w:ascii="Times New Roman" w:eastAsia="黑体" w:hAnsi="Times New Roman" w:cs="Times New Roman"/>
      <w:b/>
      <w:bCs/>
      <w:caps/>
      <w:sz w:val="32"/>
      <w:szCs w:val="20"/>
    </w:rPr>
  </w:style>
  <w:style w:type="paragraph" w:styleId="20">
    <w:name w:val="toc 2"/>
    <w:basedOn w:val="a"/>
    <w:next w:val="a"/>
    <w:uiPriority w:val="39"/>
    <w:unhideWhenUsed/>
    <w:qFormat/>
    <w:pPr>
      <w:tabs>
        <w:tab w:val="right" w:leader="dot" w:pos="8296"/>
      </w:tabs>
      <w:ind w:left="420"/>
    </w:pPr>
    <w:rPr>
      <w:b/>
      <w:sz w:val="32"/>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paragraph" w:styleId="ab">
    <w:name w:val="Title"/>
    <w:basedOn w:val="a"/>
    <w:next w:val="a"/>
    <w:link w:val="Char4"/>
    <w:qFormat/>
    <w:pPr>
      <w:spacing w:before="240" w:after="60"/>
      <w:jc w:val="center"/>
      <w:outlineLvl w:val="0"/>
    </w:pPr>
    <w:rPr>
      <w:rFonts w:ascii="Cambria" w:hAnsi="Cambria"/>
      <w:b/>
      <w:bCs/>
      <w:kern w:val="0"/>
    </w:rPr>
  </w:style>
  <w:style w:type="paragraph" w:styleId="ac">
    <w:name w:val="Body Text First Indent"/>
    <w:basedOn w:val="a6"/>
    <w:link w:val="Char5"/>
    <w:uiPriority w:val="99"/>
    <w:semiHidden/>
    <w:unhideWhenUsed/>
    <w:qFormat/>
    <w:pPr>
      <w:ind w:firstLineChars="100" w:firstLine="420"/>
    </w:pPr>
    <w:rPr>
      <w:rFonts w:asciiTheme="minorHAnsi" w:eastAsiaTheme="minorEastAsia" w:hAnsiTheme="minorHAnsi" w:cstheme="minorBidi"/>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FollowedHyperlink"/>
    <w:basedOn w:val="a1"/>
    <w:uiPriority w:val="99"/>
    <w:semiHidden/>
    <w:unhideWhenUsed/>
    <w:qFormat/>
    <w:rPr>
      <w:color w:val="4A148C"/>
      <w:u w:val="single"/>
    </w:rPr>
  </w:style>
  <w:style w:type="character" w:styleId="af0">
    <w:name w:val="Emphasis"/>
    <w:basedOn w:val="a1"/>
    <w:uiPriority w:val="20"/>
    <w:qFormat/>
    <w:rPr>
      <w:i/>
    </w:rPr>
  </w:style>
  <w:style w:type="character" w:styleId="af1">
    <w:name w:val="Hyperlink"/>
    <w:basedOn w:val="a1"/>
    <w:uiPriority w:val="99"/>
    <w:unhideWhenUsed/>
    <w:qFormat/>
    <w:rPr>
      <w:color w:val="0000FF" w:themeColor="hyperlink"/>
      <w:u w:val="single"/>
    </w:rPr>
  </w:style>
  <w:style w:type="character" w:styleId="HTML">
    <w:name w:val="HTML Cite"/>
    <w:basedOn w:val="a1"/>
    <w:uiPriority w:val="99"/>
    <w:semiHidden/>
    <w:unhideWhenUsed/>
    <w:qFormat/>
    <w:rPr>
      <w:color w:val="006621"/>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2">
    <w:name w:val="批注框文本 Char"/>
    <w:basedOn w:val="a1"/>
    <w:link w:val="a8"/>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3">
    <w:name w:val="页眉 Char"/>
    <w:basedOn w:val="a1"/>
    <w:link w:val="a9"/>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5Char">
    <w:name w:val="标题 5 Char"/>
    <w:basedOn w:val="a1"/>
    <w:link w:val="5"/>
    <w:uiPriority w:val="9"/>
    <w:semiHidden/>
    <w:qFormat/>
    <w:rPr>
      <w:b/>
      <w:bCs/>
      <w:sz w:val="28"/>
      <w:szCs w:val="28"/>
    </w:rPr>
  </w:style>
  <w:style w:type="character" w:customStyle="1" w:styleId="12">
    <w:name w:val="未处理的提及1"/>
    <w:basedOn w:val="a1"/>
    <w:uiPriority w:val="99"/>
    <w:semiHidden/>
    <w:unhideWhenUsed/>
    <w:qFormat/>
    <w:rPr>
      <w:color w:val="605E5C"/>
      <w:shd w:val="clear" w:color="auto" w:fill="E1DFDD"/>
    </w:rPr>
  </w:style>
  <w:style w:type="paragraph" w:styleId="af2">
    <w:name w:val="List Paragraph"/>
    <w:basedOn w:val="a"/>
    <w:uiPriority w:val="34"/>
    <w:qFormat/>
    <w:pPr>
      <w:ind w:firstLineChars="200" w:firstLine="420"/>
    </w:pPr>
  </w:style>
  <w:style w:type="character" w:customStyle="1" w:styleId="Char1">
    <w:name w:val="日期 Char"/>
    <w:basedOn w:val="a1"/>
    <w:link w:val="a7"/>
    <w:uiPriority w:val="99"/>
    <w:semiHidden/>
    <w:qFormat/>
    <w:rPr>
      <w:kern w:val="2"/>
      <w:sz w:val="21"/>
      <w:szCs w:val="22"/>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 w:type="paragraph" w:customStyle="1" w:styleId="13">
    <w:name w:val="普通(网站)1"/>
    <w:basedOn w:val="a"/>
    <w:qFormat/>
    <w:pPr>
      <w:widowControl/>
      <w:spacing w:before="100" w:beforeAutospacing="1" w:after="100" w:afterAutospacing="1"/>
      <w:jc w:val="left"/>
    </w:pPr>
    <w:rPr>
      <w:rFonts w:ascii="宋体" w:eastAsia="楷体" w:hAnsi="宋体" w:cs="宋体"/>
      <w:kern w:val="0"/>
      <w:sz w:val="24"/>
      <w:szCs w:val="24"/>
    </w:rPr>
  </w:style>
  <w:style w:type="paragraph" w:customStyle="1" w:styleId="BodyTextFirstIndent21">
    <w:name w:val="Body Text First Indent 21"/>
    <w:basedOn w:val="a"/>
    <w:qFormat/>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font31">
    <w:name w:val="font31"/>
    <w:basedOn w:val="a1"/>
    <w:qFormat/>
    <w:rPr>
      <w:rFonts w:ascii="仿宋_GB2312" w:eastAsia="仿宋_GB2312" w:cs="仿宋_GB2312"/>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Char4">
    <w:name w:val="标题 Char"/>
    <w:link w:val="ab"/>
    <w:qFormat/>
    <w:rPr>
      <w:rFonts w:ascii="Cambria" w:eastAsiaTheme="minorEastAsia" w:hAnsi="Cambria" w:cstheme="minorBidi"/>
      <w:b/>
      <w:bCs/>
      <w:sz w:val="21"/>
      <w:szCs w:val="22"/>
    </w:rPr>
  </w:style>
  <w:style w:type="character" w:customStyle="1" w:styleId="Char0">
    <w:name w:val="正文文本 Char"/>
    <w:basedOn w:val="a1"/>
    <w:link w:val="a6"/>
    <w:qFormat/>
    <w:rPr>
      <w:kern w:val="2"/>
      <w:sz w:val="21"/>
      <w:szCs w:val="22"/>
    </w:rPr>
  </w:style>
  <w:style w:type="character" w:customStyle="1" w:styleId="Char5">
    <w:name w:val="正文首行缩进 Char"/>
    <w:basedOn w:val="Char0"/>
    <w:link w:val="ac"/>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First Indent"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caption"/>
    <w:basedOn w:val="a"/>
    <w:next w:val="a"/>
    <w:unhideWhenUsed/>
    <w:qFormat/>
    <w:rPr>
      <w:rFonts w:asciiTheme="majorHAnsi" w:eastAsia="黑体" w:hAnsiTheme="majorHAnsi" w:cstheme="majorBidi"/>
      <w:sz w:val="20"/>
      <w:szCs w:val="20"/>
    </w:rPr>
  </w:style>
  <w:style w:type="paragraph" w:styleId="a5">
    <w:name w:val="annotation text"/>
    <w:basedOn w:val="a"/>
    <w:uiPriority w:val="99"/>
    <w:semiHidden/>
    <w:unhideWhenUsed/>
    <w:qFormat/>
    <w:pPr>
      <w:jc w:val="left"/>
    </w:pPr>
  </w:style>
  <w:style w:type="paragraph" w:styleId="a6">
    <w:name w:val="Body Text"/>
    <w:basedOn w:val="a"/>
    <w:next w:val="a"/>
    <w:link w:val="Char0"/>
    <w:qFormat/>
    <w:pPr>
      <w:spacing w:after="120"/>
    </w:pPr>
    <w:rPr>
      <w:rFonts w:ascii="Times New Roman" w:eastAsia="宋体" w:hAnsi="Times New Roman" w:cs="Times New Roman"/>
    </w:rPr>
  </w:style>
  <w:style w:type="paragraph" w:styleId="30">
    <w:name w:val="toc 3"/>
    <w:basedOn w:val="a"/>
    <w:next w:val="a"/>
    <w:uiPriority w:val="39"/>
    <w:unhideWhenUsed/>
    <w:qFormat/>
    <w:pPr>
      <w:ind w:leftChars="200" w:left="200"/>
    </w:pPr>
    <w:rPr>
      <w:sz w:val="32"/>
    </w:rPr>
  </w:style>
  <w:style w:type="paragraph" w:styleId="a7">
    <w:name w:val="Date"/>
    <w:basedOn w:val="a"/>
    <w:next w:val="a"/>
    <w:link w:val="Char1"/>
    <w:uiPriority w:val="99"/>
    <w:semiHidden/>
    <w:unhideWhenUsed/>
    <w:qFormat/>
    <w:pPr>
      <w:ind w:leftChars="2500" w:left="100"/>
    </w:pPr>
  </w:style>
  <w:style w:type="paragraph" w:styleId="a8">
    <w:name w:val="Balloon Text"/>
    <w:basedOn w:val="a"/>
    <w:link w:val="Char2"/>
    <w:uiPriority w:val="99"/>
    <w:semiHidden/>
    <w:unhideWhenUsed/>
    <w:qFormat/>
    <w:rPr>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jc w:val="left"/>
    </w:pPr>
    <w:rPr>
      <w:rFonts w:ascii="Times New Roman" w:eastAsia="黑体" w:hAnsi="Times New Roman" w:cs="Times New Roman"/>
      <w:b/>
      <w:bCs/>
      <w:caps/>
      <w:sz w:val="32"/>
      <w:szCs w:val="20"/>
    </w:rPr>
  </w:style>
  <w:style w:type="paragraph" w:styleId="20">
    <w:name w:val="toc 2"/>
    <w:basedOn w:val="a"/>
    <w:next w:val="a"/>
    <w:uiPriority w:val="39"/>
    <w:unhideWhenUsed/>
    <w:qFormat/>
    <w:pPr>
      <w:tabs>
        <w:tab w:val="right" w:leader="dot" w:pos="8296"/>
      </w:tabs>
      <w:ind w:left="420"/>
    </w:pPr>
    <w:rPr>
      <w:b/>
      <w:sz w:val="32"/>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paragraph" w:styleId="ab">
    <w:name w:val="Title"/>
    <w:basedOn w:val="a"/>
    <w:next w:val="a"/>
    <w:link w:val="Char4"/>
    <w:qFormat/>
    <w:pPr>
      <w:spacing w:before="240" w:after="60"/>
      <w:jc w:val="center"/>
      <w:outlineLvl w:val="0"/>
    </w:pPr>
    <w:rPr>
      <w:rFonts w:ascii="Cambria" w:hAnsi="Cambria"/>
      <w:b/>
      <w:bCs/>
      <w:kern w:val="0"/>
    </w:rPr>
  </w:style>
  <w:style w:type="paragraph" w:styleId="ac">
    <w:name w:val="Body Text First Indent"/>
    <w:basedOn w:val="a6"/>
    <w:link w:val="Char5"/>
    <w:uiPriority w:val="99"/>
    <w:semiHidden/>
    <w:unhideWhenUsed/>
    <w:qFormat/>
    <w:pPr>
      <w:ind w:firstLineChars="100" w:firstLine="420"/>
    </w:pPr>
    <w:rPr>
      <w:rFonts w:asciiTheme="minorHAnsi" w:eastAsiaTheme="minorEastAsia" w:hAnsiTheme="minorHAnsi" w:cstheme="minorBidi"/>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22"/>
    <w:qFormat/>
    <w:rPr>
      <w:b/>
      <w:bCs/>
    </w:rPr>
  </w:style>
  <w:style w:type="character" w:styleId="af">
    <w:name w:val="FollowedHyperlink"/>
    <w:basedOn w:val="a1"/>
    <w:uiPriority w:val="99"/>
    <w:semiHidden/>
    <w:unhideWhenUsed/>
    <w:qFormat/>
    <w:rPr>
      <w:color w:val="4A148C"/>
      <w:u w:val="single"/>
    </w:rPr>
  </w:style>
  <w:style w:type="character" w:styleId="af0">
    <w:name w:val="Emphasis"/>
    <w:basedOn w:val="a1"/>
    <w:uiPriority w:val="20"/>
    <w:qFormat/>
    <w:rPr>
      <w:i/>
    </w:rPr>
  </w:style>
  <w:style w:type="character" w:styleId="af1">
    <w:name w:val="Hyperlink"/>
    <w:basedOn w:val="a1"/>
    <w:uiPriority w:val="99"/>
    <w:unhideWhenUsed/>
    <w:qFormat/>
    <w:rPr>
      <w:color w:val="0000FF" w:themeColor="hyperlink"/>
      <w:u w:val="single"/>
    </w:rPr>
  </w:style>
  <w:style w:type="character" w:styleId="HTML">
    <w:name w:val="HTML Cite"/>
    <w:basedOn w:val="a1"/>
    <w:uiPriority w:val="99"/>
    <w:semiHidden/>
    <w:unhideWhenUsed/>
    <w:qFormat/>
    <w:rPr>
      <w:color w:val="006621"/>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Char2">
    <w:name w:val="批注框文本 Char"/>
    <w:basedOn w:val="a1"/>
    <w:link w:val="a8"/>
    <w:uiPriority w:val="99"/>
    <w:semiHidden/>
    <w:qFormat/>
    <w:rPr>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3">
    <w:name w:val="页眉 Char"/>
    <w:basedOn w:val="a1"/>
    <w:link w:val="a9"/>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5Char">
    <w:name w:val="标题 5 Char"/>
    <w:basedOn w:val="a1"/>
    <w:link w:val="5"/>
    <w:uiPriority w:val="9"/>
    <w:semiHidden/>
    <w:qFormat/>
    <w:rPr>
      <w:b/>
      <w:bCs/>
      <w:sz w:val="28"/>
      <w:szCs w:val="28"/>
    </w:rPr>
  </w:style>
  <w:style w:type="character" w:customStyle="1" w:styleId="12">
    <w:name w:val="未处理的提及1"/>
    <w:basedOn w:val="a1"/>
    <w:uiPriority w:val="99"/>
    <w:semiHidden/>
    <w:unhideWhenUsed/>
    <w:qFormat/>
    <w:rPr>
      <w:color w:val="605E5C"/>
      <w:shd w:val="clear" w:color="auto" w:fill="E1DFDD"/>
    </w:rPr>
  </w:style>
  <w:style w:type="paragraph" w:styleId="af2">
    <w:name w:val="List Paragraph"/>
    <w:basedOn w:val="a"/>
    <w:uiPriority w:val="34"/>
    <w:qFormat/>
    <w:pPr>
      <w:ind w:firstLineChars="200" w:firstLine="420"/>
    </w:pPr>
  </w:style>
  <w:style w:type="character" w:customStyle="1" w:styleId="Char1">
    <w:name w:val="日期 Char"/>
    <w:basedOn w:val="a1"/>
    <w:link w:val="a7"/>
    <w:uiPriority w:val="99"/>
    <w:semiHidden/>
    <w:qFormat/>
    <w:rPr>
      <w:kern w:val="2"/>
      <w:sz w:val="21"/>
      <w:szCs w:val="22"/>
    </w:rPr>
  </w:style>
  <w:style w:type="character" w:customStyle="1" w:styleId="3Char">
    <w:name w:val="标题 3 Char"/>
    <w:basedOn w:val="a1"/>
    <w:link w:val="3"/>
    <w:uiPriority w:val="9"/>
    <w:qFormat/>
    <w:rPr>
      <w:rFonts w:asciiTheme="minorHAnsi" w:eastAsiaTheme="minorEastAsia" w:hAnsiTheme="minorHAnsi" w:cstheme="minorBidi"/>
      <w:b/>
      <w:bCs/>
      <w:kern w:val="2"/>
      <w:sz w:val="32"/>
      <w:szCs w:val="32"/>
    </w:rPr>
  </w:style>
  <w:style w:type="paragraph" w:customStyle="1" w:styleId="13">
    <w:name w:val="普通(网站)1"/>
    <w:basedOn w:val="a"/>
    <w:qFormat/>
    <w:pPr>
      <w:widowControl/>
      <w:spacing w:before="100" w:beforeAutospacing="1" w:after="100" w:afterAutospacing="1"/>
      <w:jc w:val="left"/>
    </w:pPr>
    <w:rPr>
      <w:rFonts w:ascii="宋体" w:eastAsia="楷体" w:hAnsi="宋体" w:cs="宋体"/>
      <w:kern w:val="0"/>
      <w:sz w:val="24"/>
      <w:szCs w:val="24"/>
    </w:rPr>
  </w:style>
  <w:style w:type="paragraph" w:customStyle="1" w:styleId="BodyTextFirstIndent21">
    <w:name w:val="Body Text First Indent 21"/>
    <w:basedOn w:val="a"/>
    <w:qFormat/>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font31">
    <w:name w:val="font31"/>
    <w:basedOn w:val="a1"/>
    <w:qFormat/>
    <w:rPr>
      <w:rFonts w:ascii="仿宋_GB2312" w:eastAsia="仿宋_GB2312" w:cs="仿宋_GB2312"/>
      <w:color w:val="000000"/>
      <w:sz w:val="22"/>
      <w:szCs w:val="22"/>
      <w:u w:val="none"/>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Char4">
    <w:name w:val="标题 Char"/>
    <w:link w:val="ab"/>
    <w:qFormat/>
    <w:rPr>
      <w:rFonts w:ascii="Cambria" w:eastAsiaTheme="minorEastAsia" w:hAnsi="Cambria" w:cstheme="minorBidi"/>
      <w:b/>
      <w:bCs/>
      <w:sz w:val="21"/>
      <w:szCs w:val="22"/>
    </w:rPr>
  </w:style>
  <w:style w:type="character" w:customStyle="1" w:styleId="Char0">
    <w:name w:val="正文文本 Char"/>
    <w:basedOn w:val="a1"/>
    <w:link w:val="a6"/>
    <w:qFormat/>
    <w:rPr>
      <w:kern w:val="2"/>
      <w:sz w:val="21"/>
      <w:szCs w:val="22"/>
    </w:rPr>
  </w:style>
  <w:style w:type="character" w:customStyle="1" w:styleId="Char5">
    <w:name w:val="正文首行缩进 Char"/>
    <w:basedOn w:val="Char0"/>
    <w:link w:val="ac"/>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2022&#24180;\2.&#21335;&#23425;&#24066;0\&#22823;&#20581;&#24247;&#21307;&#30103;&#20135;&#19994;\&#21335;&#23425;&#24066;&#21307;&#30103;&#26426;&#26500;&#21015;&#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5512029382351E-2"/>
          <c:y val="4.9534497842941998E-2"/>
          <c:w val="0.95388962402994104"/>
          <c:h val="0.76936424613590004"/>
        </c:manualLayout>
      </c:layout>
      <c:barChart>
        <c:barDir val="col"/>
        <c:grouping val="clustered"/>
        <c:varyColors val="0"/>
        <c:ser>
          <c:idx val="0"/>
          <c:order val="0"/>
          <c:tx>
            <c:strRef>
              <c:f>医院!$M$2</c:f>
              <c:strCache>
                <c:ptCount val="1"/>
                <c:pt idx="0">
                  <c:v>公立医院（家）</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医院!$L$3:$L$14</c:f>
              <c:strCache>
                <c:ptCount val="12"/>
                <c:pt idx="0">
                  <c:v>青秀区</c:v>
                </c:pt>
                <c:pt idx="1">
                  <c:v>兴宁区</c:v>
                </c:pt>
                <c:pt idx="2">
                  <c:v>西乡塘区</c:v>
                </c:pt>
                <c:pt idx="3">
                  <c:v>江南区</c:v>
                </c:pt>
                <c:pt idx="4">
                  <c:v>良庆区</c:v>
                </c:pt>
                <c:pt idx="5">
                  <c:v>邕宁区</c:v>
                </c:pt>
                <c:pt idx="6">
                  <c:v>武鸣区</c:v>
                </c:pt>
                <c:pt idx="7">
                  <c:v>隆安县</c:v>
                </c:pt>
                <c:pt idx="8">
                  <c:v>马山县</c:v>
                </c:pt>
                <c:pt idx="9">
                  <c:v>上林县</c:v>
                </c:pt>
                <c:pt idx="10">
                  <c:v>宾阳县</c:v>
                </c:pt>
                <c:pt idx="11">
                  <c:v>横州市</c:v>
                </c:pt>
              </c:strCache>
            </c:strRef>
          </c:cat>
          <c:val>
            <c:numRef>
              <c:f>医院!$M$3:$M$14</c:f>
              <c:numCache>
                <c:formatCode>General</c:formatCode>
                <c:ptCount val="12"/>
                <c:pt idx="0">
                  <c:v>12</c:v>
                </c:pt>
                <c:pt idx="1">
                  <c:v>8</c:v>
                </c:pt>
                <c:pt idx="2">
                  <c:v>13</c:v>
                </c:pt>
                <c:pt idx="3">
                  <c:v>1</c:v>
                </c:pt>
                <c:pt idx="4">
                  <c:v>4</c:v>
                </c:pt>
                <c:pt idx="5">
                  <c:v>3</c:v>
                </c:pt>
                <c:pt idx="6">
                  <c:v>4</c:v>
                </c:pt>
                <c:pt idx="7">
                  <c:v>3</c:v>
                </c:pt>
                <c:pt idx="8">
                  <c:v>3</c:v>
                </c:pt>
                <c:pt idx="9">
                  <c:v>3</c:v>
                </c:pt>
                <c:pt idx="10">
                  <c:v>5</c:v>
                </c:pt>
                <c:pt idx="11">
                  <c:v>3</c:v>
                </c:pt>
              </c:numCache>
            </c:numRef>
          </c:val>
        </c:ser>
        <c:ser>
          <c:idx val="1"/>
          <c:order val="1"/>
          <c:tx>
            <c:strRef>
              <c:f>医院!$N$2</c:f>
              <c:strCache>
                <c:ptCount val="1"/>
                <c:pt idx="0">
                  <c:v>社会办医院（家）</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医院!$L$3:$L$14</c:f>
              <c:strCache>
                <c:ptCount val="12"/>
                <c:pt idx="0">
                  <c:v>青秀区</c:v>
                </c:pt>
                <c:pt idx="1">
                  <c:v>兴宁区</c:v>
                </c:pt>
                <c:pt idx="2">
                  <c:v>西乡塘区</c:v>
                </c:pt>
                <c:pt idx="3">
                  <c:v>江南区</c:v>
                </c:pt>
                <c:pt idx="4">
                  <c:v>良庆区</c:v>
                </c:pt>
                <c:pt idx="5">
                  <c:v>邕宁区</c:v>
                </c:pt>
                <c:pt idx="6">
                  <c:v>武鸣区</c:v>
                </c:pt>
                <c:pt idx="7">
                  <c:v>隆安县</c:v>
                </c:pt>
                <c:pt idx="8">
                  <c:v>马山县</c:v>
                </c:pt>
                <c:pt idx="9">
                  <c:v>上林县</c:v>
                </c:pt>
                <c:pt idx="10">
                  <c:v>宾阳县</c:v>
                </c:pt>
                <c:pt idx="11">
                  <c:v>横州市</c:v>
                </c:pt>
              </c:strCache>
            </c:strRef>
          </c:cat>
          <c:val>
            <c:numRef>
              <c:f>医院!$N$3:$N$14</c:f>
              <c:numCache>
                <c:formatCode>General</c:formatCode>
                <c:ptCount val="12"/>
                <c:pt idx="0">
                  <c:v>7</c:v>
                </c:pt>
                <c:pt idx="1">
                  <c:v>2</c:v>
                </c:pt>
                <c:pt idx="2">
                  <c:v>5</c:v>
                </c:pt>
                <c:pt idx="3">
                  <c:v>2</c:v>
                </c:pt>
                <c:pt idx="4">
                  <c:v>1</c:v>
                </c:pt>
                <c:pt idx="6">
                  <c:v>1</c:v>
                </c:pt>
                <c:pt idx="10">
                  <c:v>1</c:v>
                </c:pt>
                <c:pt idx="11">
                  <c:v>1</c:v>
                </c:pt>
              </c:numCache>
            </c:numRef>
          </c:val>
        </c:ser>
        <c:dLbls>
          <c:showLegendKey val="0"/>
          <c:showVal val="0"/>
          <c:showCatName val="0"/>
          <c:showSerName val="0"/>
          <c:showPercent val="0"/>
          <c:showBubbleSize val="0"/>
        </c:dLbls>
        <c:gapWidth val="219"/>
        <c:overlap val="-27"/>
        <c:axId val="161446528"/>
        <c:axId val="186613120"/>
      </c:barChart>
      <c:catAx>
        <c:axId val="1614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ea"/>
                <a:ea typeface="+mn-ea"/>
                <a:cs typeface="+mn-cs"/>
              </a:defRPr>
            </a:pPr>
            <a:endParaRPr lang="zh-CN"/>
          </a:p>
        </c:txPr>
        <c:crossAx val="186613120"/>
        <c:crosses val="autoZero"/>
        <c:auto val="1"/>
        <c:lblAlgn val="ctr"/>
        <c:lblOffset val="100"/>
        <c:noMultiLvlLbl val="0"/>
      </c:catAx>
      <c:valAx>
        <c:axId val="186613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1446528"/>
        <c:crosses val="autoZero"/>
        <c:crossBetween val="between"/>
      </c:valAx>
      <c:spPr>
        <a:noFill/>
        <a:ln>
          <a:noFill/>
        </a:ln>
        <a:effectLst/>
      </c:spPr>
    </c:plotArea>
    <c:legend>
      <c:legendPos val="t"/>
      <c:layout>
        <c:manualLayout>
          <c:xMode val="edge"/>
          <c:yMode val="edge"/>
          <c:x val="0.29871150481189901"/>
          <c:y val="0.217592592592593"/>
          <c:w val="0.388081281853079"/>
          <c:h val="8.6207499924578407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noFill/>
    <a:ln w="9525" cap="flat" cmpd="sng" algn="ctr">
      <a:no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27E14-8656-4C4C-995C-EDBDF1A7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60</Pages>
  <Words>5705</Words>
  <Characters>32520</Characters>
  <Application>Microsoft Office Word</Application>
  <DocSecurity>0</DocSecurity>
  <Lines>271</Lines>
  <Paragraphs>76</Paragraphs>
  <ScaleCrop>false</ScaleCrop>
  <Company/>
  <LinksUpToDate>false</LinksUpToDate>
  <CharactersWithSpaces>38149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李梓明</cp:lastModifiedBy>
  <cp:revision>4230</cp:revision>
  <cp:lastPrinted>2023-01-03T01:47:00Z</cp:lastPrinted>
  <dcterms:created xsi:type="dcterms:W3CDTF">2021-11-08T17:33:00Z</dcterms:created>
  <dcterms:modified xsi:type="dcterms:W3CDTF">2023-01-03T01:50:00Z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1B1155A4A854489A948917636B31B05C</vt:lpwstr>
  </property>
</Properties>
</file>