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bookmarkStart w:id="0" w:name="_GoBack"/>
      <w:bookmarkEnd w:id="0"/>
    </w:p>
    <w:p>
      <w:pPr>
        <w:keepNext w:val="0"/>
        <w:keepLines w:val="0"/>
        <w:pageBreakBefore w:val="0"/>
        <w:kinsoku/>
        <w:wordWrap/>
        <w:overflowPunct/>
        <w:topLinePunct w:val="0"/>
        <w:autoSpaceDE/>
        <w:autoSpaceDN/>
        <w:bidi w:val="0"/>
        <w:spacing w:line="600" w:lineRule="exact"/>
        <w:ind w:left="0" w:right="0"/>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防城港市基本医疗保险按单</w:t>
      </w:r>
      <w:r>
        <w:rPr>
          <w:rFonts w:hint="eastAsia" w:ascii="方正小标宋简体" w:hAnsi="方正小标宋简体" w:eastAsia="方正小标宋简体" w:cs="方正小标宋简体"/>
          <w:color w:val="000000"/>
          <w:sz w:val="44"/>
          <w:szCs w:val="44"/>
        </w:rPr>
        <w:t>病种</w:t>
      </w:r>
    </w:p>
    <w:p>
      <w:pPr>
        <w:keepNext w:val="0"/>
        <w:keepLines w:val="0"/>
        <w:pageBreakBefore w:val="0"/>
        <w:kinsoku/>
        <w:wordWrap/>
        <w:overflowPunct/>
        <w:topLinePunct w:val="0"/>
        <w:autoSpaceDE/>
        <w:autoSpaceDN/>
        <w:bidi w:val="0"/>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结算</w:t>
      </w:r>
      <w:r>
        <w:rPr>
          <w:rFonts w:hint="eastAsia" w:ascii="方正小标宋简体" w:hAnsi="方正小标宋简体" w:eastAsia="方正小标宋简体" w:cs="方正小标宋简体"/>
          <w:color w:val="000000"/>
          <w:sz w:val="44"/>
          <w:szCs w:val="44"/>
        </w:rPr>
        <w:t>管理</w:t>
      </w:r>
      <w:r>
        <w:rPr>
          <w:rFonts w:hint="eastAsia" w:ascii="方正小标宋简体" w:hAnsi="方正小标宋简体" w:eastAsia="方正小标宋简体" w:cs="方正小标宋简体"/>
          <w:color w:val="000000"/>
          <w:sz w:val="44"/>
          <w:szCs w:val="44"/>
          <w:lang w:val="en-US" w:eastAsia="zh-CN"/>
        </w:rPr>
        <w:t>方案（试行）</w:t>
      </w:r>
    </w:p>
    <w:p>
      <w:pPr>
        <w:keepNext w:val="0"/>
        <w:keepLines w:val="0"/>
        <w:pageBreakBefore w:val="0"/>
        <w:kinsoku/>
        <w:wordWrap/>
        <w:overflowPunct/>
        <w:topLinePunct w:val="0"/>
        <w:autoSpaceDE/>
        <w:autoSpaceDN/>
        <w:bidi w:val="0"/>
        <w:spacing w:line="600" w:lineRule="exact"/>
        <w:ind w:left="0" w:right="0"/>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推进多元复合式医保支付方式改革工作，</w:t>
      </w:r>
      <w:r>
        <w:rPr>
          <w:rFonts w:hint="eastAsia" w:ascii="仿宋_GB2312" w:hAnsi="仿宋_GB2312" w:eastAsia="仿宋_GB2312" w:cs="仿宋_GB2312"/>
          <w:color w:val="000000"/>
          <w:sz w:val="32"/>
          <w:szCs w:val="32"/>
          <w:shd w:val="clear" w:color="auto" w:fill="FFFFFF"/>
        </w:rPr>
        <w:t>减轻参保人员费用负担，</w:t>
      </w:r>
      <w:r>
        <w:rPr>
          <w:rFonts w:hint="eastAsia" w:ascii="仿宋_GB2312" w:hAnsi="仿宋_GB2312" w:eastAsia="仿宋_GB2312" w:cs="仿宋_GB2312"/>
          <w:color w:val="000000"/>
          <w:sz w:val="32"/>
          <w:szCs w:val="32"/>
        </w:rPr>
        <w:t>提高医保基金使用效率，根据《防城港市医疗保障局 防城港市卫生健康委员会 防城港市财政局关于印发&lt;防城港市医疗保险住院医疗费用DRG病组付费实施细则&gt;的通知》（防医保发〔2020〕14号）</w:t>
      </w:r>
      <w:r>
        <w:rPr>
          <w:rFonts w:hint="eastAsia" w:ascii="仿宋_GB2312" w:hAnsi="仿宋_GB2312" w:eastAsia="仿宋_GB2312" w:cs="仿宋_GB2312"/>
          <w:color w:val="000000"/>
          <w:sz w:val="32"/>
          <w:szCs w:val="32"/>
          <w:shd w:val="clear" w:color="auto" w:fill="FFFFFF"/>
        </w:rPr>
        <w:t>文件精神，结合我市实际</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rPr>
        <w:t>现</w:t>
      </w:r>
      <w:r>
        <w:rPr>
          <w:rFonts w:hint="eastAsia" w:ascii="仿宋_GB2312" w:hAnsi="仿宋_GB2312" w:eastAsia="仿宋_GB2312" w:cs="仿宋_GB2312"/>
          <w:color w:val="000000"/>
          <w:sz w:val="32"/>
          <w:szCs w:val="32"/>
          <w:shd w:val="clear" w:color="auto" w:fill="FFFFFF"/>
          <w:lang w:val="en-US" w:eastAsia="zh-CN"/>
        </w:rPr>
        <w:t>就病种付费管理</w:t>
      </w:r>
      <w:r>
        <w:rPr>
          <w:rFonts w:hint="eastAsia" w:ascii="仿宋_GB2312" w:hAnsi="仿宋_GB2312" w:eastAsia="仿宋_GB2312" w:cs="仿宋_GB2312"/>
          <w:color w:val="000000"/>
          <w:sz w:val="32"/>
          <w:szCs w:val="32"/>
          <w:shd w:val="clear" w:color="auto" w:fill="FFFFFF"/>
        </w:rPr>
        <w:t>有关事项通知如下：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b w:val="0"/>
          <w:bCs w:val="0"/>
          <w:color w:val="000000"/>
          <w:sz w:val="32"/>
          <w:szCs w:val="32"/>
          <w:lang w:val="en-US" w:eastAsia="zh-CN"/>
        </w:rPr>
      </w:pPr>
      <w:r>
        <w:rPr>
          <w:rFonts w:hint="eastAsia" w:ascii="黑体" w:hAnsi="黑体" w:eastAsia="黑体" w:cs="黑体"/>
          <w:b w:val="0"/>
          <w:bCs w:val="0"/>
          <w:color w:val="000000"/>
          <w:sz w:val="32"/>
          <w:szCs w:val="32"/>
          <w:lang w:val="en-US" w:eastAsia="zh-CN"/>
        </w:rPr>
        <w:t>实施范围</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（一）实施病种：根据疾病诊断和治愈标准明确、临床诊疗路径清晰、并发症与合并症少、诊疗技术成熟且费用稳定的常见病、多发病确定</w:t>
      </w:r>
      <w:r>
        <w:rPr>
          <w:rFonts w:hint="eastAsia" w:ascii="仿宋_GB2312" w:hAnsi="仿宋_GB2312" w:eastAsia="仿宋_GB2312" w:cs="仿宋_GB2312"/>
          <w:color w:val="000000"/>
          <w:sz w:val="32"/>
          <w:szCs w:val="32"/>
        </w:rPr>
        <w:t>本次</w:t>
      </w:r>
      <w:r>
        <w:rPr>
          <w:rFonts w:hint="eastAsia" w:ascii="仿宋_GB2312" w:hAnsi="仿宋_GB2312" w:eastAsia="仿宋_GB2312" w:cs="仿宋_GB2312"/>
          <w:color w:val="000000"/>
          <w:sz w:val="32"/>
          <w:szCs w:val="32"/>
          <w:lang w:val="en-US" w:eastAsia="zh-CN"/>
        </w:rPr>
        <w:t>实施按病种结算方式管理的3</w:t>
      </w:r>
      <w:r>
        <w:rPr>
          <w:rFonts w:hint="eastAsia" w:ascii="仿宋_GB2312" w:hAnsi="仿宋_GB2312" w:eastAsia="仿宋_GB2312" w:cs="仿宋_GB2312"/>
          <w:color w:val="000000"/>
          <w:sz w:val="32"/>
          <w:szCs w:val="32"/>
        </w:rPr>
        <w:t>个病</w:t>
      </w:r>
      <w:r>
        <w:rPr>
          <w:rFonts w:hint="eastAsia" w:ascii="仿宋_GB2312" w:hAnsi="仿宋_GB2312" w:eastAsia="仿宋_GB2312" w:cs="仿宋_GB2312"/>
          <w:color w:val="000000"/>
          <w:sz w:val="32"/>
          <w:szCs w:val="32"/>
          <w:lang w:val="en-US" w:eastAsia="zh-CN"/>
        </w:rPr>
        <w:t>种、DRG分组名称、DRG分组编码及定额标准（详见附件1）。</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（二）实施单位：</w:t>
      </w:r>
      <w:r>
        <w:rPr>
          <w:rFonts w:hint="eastAsia" w:ascii="仿宋_GB2312" w:hAnsi="仿宋_GB2312" w:eastAsia="仿宋_GB2312" w:cs="仿宋_GB2312"/>
          <w:color w:val="000000"/>
          <w:sz w:val="32"/>
          <w:szCs w:val="32"/>
        </w:rPr>
        <w:t>防城港市第一人民医院、防城港市中医医院</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防城港市妇幼保健院、防城港爱尔眼科医院。</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今后将根据各定点医疗机构实际</w:t>
      </w:r>
      <w:r>
        <w:rPr>
          <w:rFonts w:hint="eastAsia" w:ascii="仿宋_GB2312" w:hAnsi="仿宋_GB2312" w:eastAsia="仿宋_GB2312" w:cs="仿宋_GB2312"/>
          <w:color w:val="000000"/>
          <w:sz w:val="32"/>
          <w:szCs w:val="32"/>
          <w:highlight w:val="none"/>
          <w:lang w:val="en-US" w:eastAsia="zh-CN"/>
        </w:rPr>
        <w:t>及信息技术系统改造情况，由定点医疗机构申请，复核同意后扩大实施范围及病种类型。</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二、支付</w:t>
      </w:r>
      <w:r>
        <w:rPr>
          <w:rFonts w:hint="eastAsia" w:ascii="黑体" w:hAnsi="黑体" w:eastAsia="黑体" w:cs="黑体"/>
          <w:b w:val="0"/>
          <w:bCs w:val="0"/>
          <w:color w:val="000000"/>
          <w:sz w:val="32"/>
          <w:szCs w:val="32"/>
          <w:lang w:val="en-US" w:eastAsia="zh-CN"/>
        </w:rPr>
        <w:t>定额</w:t>
      </w:r>
      <w:r>
        <w:rPr>
          <w:rFonts w:hint="eastAsia" w:ascii="黑体" w:hAnsi="黑体" w:eastAsia="黑体" w:cs="黑体"/>
          <w:b w:val="0"/>
          <w:bCs w:val="0"/>
          <w:color w:val="000000"/>
          <w:sz w:val="32"/>
          <w:szCs w:val="32"/>
        </w:rPr>
        <w:t>标准</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根据全市医疗历史费用情况，参考全区病种支付标准结合我市医保基金承受能力及医疗消费价格变动，通过临床调查与综合评估作出各病种医疗费用定额标准。收费标准今后可根据临床诊疗技术发展、成本变化等适时调整。</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按病种收费标准包含患者住院期间所发生的诊断与治疗等全部费用，即从患者入院，按病种诊疗路径和规程接受规范化诊疗最终达到疗效标准出院的整个过程中所发生的诊断、治疗、手术、麻醉、检查检验、护理以及床位、药品、医用材料等各种费用。</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（三）全市城镇职工和城乡居民住院医疗费用实行定额标准，折算成统一基准点数。</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val="en-US" w:eastAsia="zh-CN"/>
        </w:rPr>
        <w:t>三、</w:t>
      </w:r>
      <w:r>
        <w:rPr>
          <w:rFonts w:hint="eastAsia" w:ascii="黑体" w:hAnsi="黑体" w:eastAsia="黑体" w:cs="黑体"/>
          <w:b w:val="0"/>
          <w:bCs w:val="0"/>
          <w:color w:val="000000"/>
          <w:sz w:val="32"/>
          <w:szCs w:val="32"/>
        </w:rPr>
        <w:t>结算方式</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（一）参保人员结算方式。病人出院时按实际费用与定点医疗机构结算；参保人员按照本统筹区基本医保待遇政策与定点医疗机构进行结算（即执行起付标准、支付比例和最高支付限额）。</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（二）定点医疗机构结算方式。实行“总额结算、超支自负、</w:t>
      </w:r>
      <w:r>
        <w:rPr>
          <w:rFonts w:hint="eastAsia" w:ascii="仿宋_GB2312" w:hAnsi="仿宋_GB2312" w:eastAsia="仿宋_GB2312" w:cs="仿宋_GB2312"/>
          <w:color w:val="000000"/>
          <w:sz w:val="32"/>
          <w:szCs w:val="32"/>
          <w:highlight w:val="none"/>
          <w:lang w:val="en-US" w:eastAsia="zh-CN"/>
        </w:rPr>
        <w:t>节</w:t>
      </w:r>
      <w:r>
        <w:rPr>
          <w:rFonts w:hint="eastAsia" w:ascii="仿宋_GB2312" w:hAnsi="仿宋_GB2312" w:eastAsia="仿宋_GB2312" w:cs="仿宋_GB2312"/>
          <w:color w:val="000000"/>
          <w:sz w:val="32"/>
          <w:szCs w:val="32"/>
          <w:lang w:val="en-US" w:eastAsia="zh-CN"/>
        </w:rPr>
        <w:t>余归己”原则。医保经办机构按照固定基准点数与定点医疗机构进行结算，不设定高、低倍率病例。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lang w:eastAsia="zh-CN"/>
        </w:rPr>
        <w:t>四、</w:t>
      </w:r>
      <w:r>
        <w:rPr>
          <w:rFonts w:hint="eastAsia" w:ascii="黑体" w:hAnsi="黑体" w:eastAsia="黑体" w:cs="黑体"/>
          <w:b w:val="0"/>
          <w:bCs w:val="0"/>
          <w:color w:val="000000"/>
          <w:sz w:val="32"/>
          <w:szCs w:val="32"/>
        </w:rPr>
        <w:t>按病种付费管理进入及退出条件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（一）</w:t>
      </w:r>
      <w:r>
        <w:rPr>
          <w:rFonts w:hint="eastAsia" w:ascii="仿宋_GB2312" w:hAnsi="仿宋_GB2312" w:eastAsia="仿宋_GB2312" w:cs="仿宋_GB2312"/>
          <w:color w:val="000000"/>
          <w:sz w:val="32"/>
          <w:szCs w:val="32"/>
        </w:rPr>
        <w:t>接诊符合病种进入条件的住院患者一律按单病种进行结算，医疗机构不得以变换主诊断、主麻醉、主操作等方式规避。</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rPr>
        <w:t>）以下情况医疗机构可不列入（或可退出）病种付费：</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val="en-US" w:eastAsia="zh-CN"/>
        </w:rPr>
        <w:t>参保人员患有按病种结算的病种的同时，</w:t>
      </w:r>
      <w:r>
        <w:rPr>
          <w:rFonts w:hint="eastAsia" w:ascii="仿宋_GB2312" w:hAnsi="仿宋_GB2312" w:eastAsia="仿宋_GB2312" w:cs="仿宋_GB2312"/>
          <w:color w:val="000000"/>
          <w:sz w:val="32"/>
          <w:szCs w:val="32"/>
          <w:highlight w:val="none"/>
          <w:lang w:val="en-US" w:eastAsia="zh-CN"/>
        </w:rPr>
        <w:t>伴有严重并发症或合并症并需住院治疗的；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2.参保人员因病情需要转科或转院治疗，并符合转科或转院标准的；</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3.其他需退出单病种结算管理的。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rPr>
          <w:rFonts w:hint="eastAsia" w:ascii="黑体" w:hAnsi="黑体" w:eastAsia="黑体" w:cs="黑体"/>
          <w:b w:val="0"/>
          <w:bCs w:val="0"/>
          <w:color w:val="000000"/>
          <w:sz w:val="32"/>
          <w:szCs w:val="32"/>
          <w:highlight w:val="none"/>
          <w:lang w:val="en-US" w:eastAsia="zh-CN"/>
        </w:rPr>
      </w:pPr>
      <w:r>
        <w:rPr>
          <w:rFonts w:hint="eastAsia" w:ascii="黑体" w:hAnsi="黑体" w:eastAsia="黑体" w:cs="黑体"/>
          <w:b w:val="0"/>
          <w:bCs w:val="0"/>
          <w:color w:val="000000"/>
          <w:sz w:val="32"/>
          <w:szCs w:val="32"/>
          <w:highlight w:val="none"/>
          <w:lang w:val="en-US" w:eastAsia="zh-CN"/>
        </w:rPr>
        <w:t>五、结算管理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一）各定点医疗机构要在每月15日前完成上月单病种病例病案首页上传，在病案信息统计系统“特殊病例”模块中选择“单病种”后进行病案上传。另需每月填写《防城港市单病种付费病例申请汇总表》可编辑电子版和盖章扫描版(PDF格式)发送至市医保服务中心DRG专用邮箱：sybdrg@163.com，在每月病例填报截止后不再接受按单病种付费病例的申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）同一参保患者在14天内以同一诊断再次入住同一医院，经</w:t>
      </w:r>
      <w:r>
        <w:rPr>
          <w:rFonts w:hint="eastAsia" w:ascii="仿宋_GB2312" w:hAnsi="仿宋_GB2312" w:eastAsia="仿宋_GB2312" w:cs="仿宋_GB2312"/>
          <w:color w:val="000000"/>
          <w:sz w:val="32"/>
          <w:szCs w:val="32"/>
          <w:lang w:val="en-US" w:eastAsia="zh-CN"/>
        </w:rPr>
        <w:t>医保</w:t>
      </w:r>
      <w:r>
        <w:rPr>
          <w:rFonts w:hint="eastAsia" w:ascii="仿宋_GB2312" w:hAnsi="仿宋_GB2312" w:eastAsia="仿宋_GB2312" w:cs="仿宋_GB2312"/>
          <w:color w:val="000000"/>
          <w:sz w:val="32"/>
          <w:szCs w:val="32"/>
          <w:lang w:eastAsia="zh-CN"/>
        </w:rPr>
        <w:t>经办机构认定属未执行完临床管理路径或未达到临床治愈标准而出院者，其再次住院的费用由该院全部承担。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（三）按病种付费结算纳入DRG付费一体化管理，参与DRG病组付费年终清算。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黑体" w:hAnsi="黑体" w:eastAsia="黑体" w:cs="黑体"/>
          <w:b w:val="0"/>
          <w:bCs w:val="0"/>
          <w:color w:val="000000"/>
          <w:sz w:val="32"/>
          <w:szCs w:val="32"/>
          <w:lang w:val="en-US" w:eastAsia="zh-CN"/>
        </w:rPr>
        <w:t>六、工作要求</w:t>
      </w:r>
      <w:r>
        <w:rPr>
          <w:rFonts w:hint="eastAsia" w:ascii="仿宋_GB2312" w:hAnsi="仿宋_GB2312" w:eastAsia="仿宋_GB2312" w:cs="仿宋_GB2312"/>
          <w:b/>
          <w:bCs/>
          <w:color w:val="000000"/>
          <w:sz w:val="32"/>
          <w:szCs w:val="32"/>
          <w:lang w:val="en-US" w:eastAsia="zh-CN"/>
        </w:rPr>
        <w:t xml:space="preserve">  </w:t>
      </w:r>
    </w:p>
    <w:p>
      <w:pPr>
        <w:keepNext w:val="0"/>
        <w:keepLines w:val="0"/>
        <w:pageBreakBefore w:val="0"/>
        <w:widowControl w:val="0"/>
        <w:tabs>
          <w:tab w:val="left" w:pos="871"/>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一</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各级医保经办机构</w:t>
      </w:r>
      <w:r>
        <w:rPr>
          <w:rFonts w:hint="eastAsia" w:ascii="仿宋_GB2312" w:hAnsi="仿宋_GB2312" w:eastAsia="仿宋_GB2312" w:cs="仿宋_GB2312"/>
          <w:color w:val="000000"/>
          <w:sz w:val="32"/>
          <w:szCs w:val="32"/>
        </w:rPr>
        <w:t>结合单病种付费的机制特点和运行中可能出现问题的重点环节，严禁将定额范围内费用通过门诊取药、门诊检查、外购处方、分解收费等方式排除在定额范围外，变相增加患者自费费用。</w:t>
      </w:r>
    </w:p>
    <w:p>
      <w:pPr>
        <w:keepNext w:val="0"/>
        <w:keepLines w:val="0"/>
        <w:pageBreakBefore w:val="0"/>
        <w:widowControl w:val="0"/>
        <w:tabs>
          <w:tab w:val="left" w:pos="871"/>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eastAsia="zh-CN"/>
        </w:rPr>
      </w:pP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i w:val="0"/>
          <w:iCs w:val="0"/>
          <w:caps w:val="0"/>
          <w:color w:val="000000"/>
          <w:spacing w:val="0"/>
          <w:sz w:val="32"/>
          <w:szCs w:val="32"/>
          <w:shd w:val="clear" w:color="auto" w:fill="FFFFFF"/>
        </w:rPr>
        <w:t>各</w:t>
      </w:r>
      <w:r>
        <w:rPr>
          <w:rFonts w:hint="eastAsia" w:ascii="仿宋_GB2312" w:hAnsi="仿宋_GB2312" w:eastAsia="仿宋_GB2312" w:cs="仿宋_GB2312"/>
          <w:i w:val="0"/>
          <w:iCs w:val="0"/>
          <w:caps w:val="0"/>
          <w:color w:val="000000"/>
          <w:spacing w:val="0"/>
          <w:sz w:val="32"/>
          <w:szCs w:val="32"/>
          <w:shd w:val="clear" w:color="auto" w:fill="FFFFFF"/>
          <w:lang w:val="en-US" w:eastAsia="zh-CN"/>
        </w:rPr>
        <w:t>定点</w:t>
      </w:r>
      <w:r>
        <w:rPr>
          <w:rFonts w:hint="eastAsia" w:ascii="仿宋_GB2312" w:hAnsi="仿宋_GB2312" w:eastAsia="仿宋_GB2312" w:cs="仿宋_GB2312"/>
          <w:i w:val="0"/>
          <w:iCs w:val="0"/>
          <w:caps w:val="0"/>
          <w:color w:val="000000"/>
          <w:spacing w:val="0"/>
          <w:sz w:val="32"/>
          <w:szCs w:val="32"/>
          <w:shd w:val="clear" w:color="auto" w:fill="FFFFFF"/>
        </w:rPr>
        <w:t>医疗机构要严格按照临床诊疗规范或者临床指南，规范诊疗行为，保证医疗质量和安全。严禁因病种标准、并发症等原因推诿拒收</w:t>
      </w:r>
      <w:r>
        <w:rPr>
          <w:rFonts w:hint="eastAsia" w:ascii="仿宋_GB2312" w:hAnsi="仿宋_GB2312" w:eastAsia="仿宋_GB2312" w:cs="仿宋_GB2312"/>
          <w:i w:val="0"/>
          <w:iCs w:val="0"/>
          <w:caps w:val="0"/>
          <w:color w:val="000000"/>
          <w:spacing w:val="0"/>
          <w:sz w:val="32"/>
          <w:szCs w:val="32"/>
          <w:shd w:val="clear" w:color="auto" w:fill="FFFFFF"/>
          <w:lang w:val="en-US" w:eastAsia="zh-CN"/>
        </w:rPr>
        <w:t>慢性病</w:t>
      </w:r>
      <w:r>
        <w:rPr>
          <w:rFonts w:hint="eastAsia" w:ascii="仿宋_GB2312" w:hAnsi="仿宋_GB2312" w:eastAsia="仿宋_GB2312" w:cs="仿宋_GB2312"/>
          <w:i w:val="0"/>
          <w:iCs w:val="0"/>
          <w:caps w:val="0"/>
          <w:color w:val="000000"/>
          <w:spacing w:val="0"/>
          <w:sz w:val="32"/>
          <w:szCs w:val="32"/>
          <w:shd w:val="clear" w:color="auto" w:fill="FFFFFF"/>
        </w:rPr>
        <w:t>患者、年老患者；严禁降低服务标准，故意缩短住院时间；严禁分解住院；严禁超标准收费；严禁将入院后检查检验等费用转为门诊收费或让患者外购药品等变相增加患者费用</w:t>
      </w:r>
      <w:r>
        <w:rPr>
          <w:rFonts w:hint="eastAsia" w:ascii="仿宋_GB2312" w:hAnsi="仿宋_GB2312" w:eastAsia="仿宋_GB2312" w:cs="仿宋_GB2312"/>
          <w:i w:val="0"/>
          <w:iCs w:val="0"/>
          <w:caps w:val="0"/>
          <w:color w:val="000000"/>
          <w:spacing w:val="0"/>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（三）市</w:t>
      </w:r>
      <w:r>
        <w:rPr>
          <w:rFonts w:hint="eastAsia" w:ascii="仿宋_GB2312" w:hAnsi="仿宋_GB2312" w:eastAsia="仿宋_GB2312" w:cs="仿宋_GB2312"/>
          <w:color w:val="000000"/>
          <w:sz w:val="32"/>
          <w:szCs w:val="32"/>
          <w:shd w:val="clear" w:color="auto" w:fill="FFFFFF"/>
        </w:rPr>
        <w:t>医保经办机构要做好医保信息系统改造，规范</w:t>
      </w:r>
      <w:r>
        <w:rPr>
          <w:rFonts w:hint="eastAsia" w:ascii="仿宋_GB2312" w:hAnsi="仿宋_GB2312" w:eastAsia="仿宋_GB2312" w:cs="仿宋_GB2312"/>
          <w:color w:val="000000"/>
          <w:sz w:val="32"/>
          <w:szCs w:val="32"/>
          <w:shd w:val="clear" w:color="auto" w:fill="FFFFFF"/>
          <w:lang w:val="en-US" w:eastAsia="zh-CN"/>
        </w:rPr>
        <w:t>单病种</w:t>
      </w:r>
      <w:r>
        <w:rPr>
          <w:rFonts w:hint="eastAsia" w:ascii="仿宋_GB2312" w:hAnsi="仿宋_GB2312" w:eastAsia="仿宋_GB2312" w:cs="仿宋_GB2312"/>
          <w:color w:val="000000"/>
          <w:sz w:val="32"/>
          <w:szCs w:val="32"/>
          <w:shd w:val="clear" w:color="auto" w:fill="FFFFFF"/>
        </w:rPr>
        <w:t>费用医保支付流程</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shd w:val="clear" w:color="auto" w:fill="FFFFFF"/>
          <w:lang w:val="en-US" w:eastAsia="zh-CN"/>
        </w:rPr>
        <w:t>各级医保经办机构要及时做好</w:t>
      </w:r>
      <w:r>
        <w:rPr>
          <w:rFonts w:hint="eastAsia" w:ascii="仿宋_GB2312" w:hAnsi="仿宋_GB2312" w:eastAsia="仿宋_GB2312" w:cs="仿宋_GB2312"/>
          <w:color w:val="000000"/>
          <w:sz w:val="32"/>
          <w:szCs w:val="32"/>
          <w:shd w:val="clear" w:color="auto" w:fill="FFFFFF"/>
        </w:rPr>
        <w:t>费用结算工作</w:t>
      </w:r>
      <w:r>
        <w:rPr>
          <w:rFonts w:hint="eastAsia" w:ascii="仿宋_GB2312" w:hAnsi="仿宋_GB2312" w:eastAsia="仿宋_GB2312" w:cs="仿宋_GB2312"/>
          <w:color w:val="000000"/>
          <w:sz w:val="32"/>
          <w:szCs w:val="32"/>
          <w:shd w:val="clear" w:color="auto" w:fill="FFFFFF"/>
          <w:lang w:eastAsia="zh-CN"/>
        </w:rPr>
        <w:t>。</w:t>
      </w:r>
      <w:r>
        <w:rPr>
          <w:rFonts w:hint="eastAsia" w:ascii="仿宋_GB2312" w:hAnsi="仿宋_GB2312" w:eastAsia="仿宋_GB2312" w:cs="仿宋_GB2312"/>
          <w:color w:val="000000"/>
          <w:sz w:val="32"/>
          <w:szCs w:val="32"/>
        </w:rPr>
        <w:t>有关定点医疗机构要</w:t>
      </w:r>
      <w:r>
        <w:rPr>
          <w:rFonts w:hint="eastAsia" w:ascii="仿宋_GB2312" w:hAnsi="仿宋_GB2312" w:eastAsia="仿宋_GB2312" w:cs="仿宋_GB2312"/>
          <w:color w:val="000000"/>
          <w:sz w:val="32"/>
          <w:szCs w:val="32"/>
          <w:shd w:val="clear" w:color="auto" w:fill="FFFFFF"/>
        </w:rPr>
        <w:t>做好信息系统衔接，</w:t>
      </w:r>
      <w:r>
        <w:rPr>
          <w:rFonts w:hint="eastAsia" w:ascii="仿宋_GB2312" w:hAnsi="仿宋_GB2312" w:eastAsia="仿宋_GB2312" w:cs="仿宋_GB2312"/>
          <w:color w:val="000000"/>
          <w:sz w:val="32"/>
          <w:szCs w:val="32"/>
        </w:rPr>
        <w:t>及时协调解决存在的问题，对实施过程中遇到的</w:t>
      </w:r>
      <w:r>
        <w:rPr>
          <w:rFonts w:hint="eastAsia" w:ascii="仿宋_GB2312" w:hAnsi="仿宋_GB2312" w:eastAsia="仿宋_GB2312" w:cs="仿宋_GB2312"/>
          <w:color w:val="000000"/>
          <w:sz w:val="32"/>
          <w:szCs w:val="32"/>
          <w:lang w:eastAsia="zh-CN"/>
        </w:rPr>
        <w:t>困</w:t>
      </w:r>
      <w:r>
        <w:rPr>
          <w:rFonts w:hint="eastAsia" w:ascii="仿宋_GB2312" w:hAnsi="仿宋_GB2312" w:eastAsia="仿宋_GB2312" w:cs="仿宋_GB2312"/>
          <w:color w:val="000000"/>
          <w:sz w:val="32"/>
          <w:szCs w:val="32"/>
        </w:rPr>
        <w:t>难请及时向辖区经办机构反馈。</w:t>
      </w:r>
    </w:p>
    <w:p>
      <w:pPr>
        <w:keepNext w:val="0"/>
        <w:keepLines w:val="0"/>
        <w:pageBreakBefore w:val="0"/>
        <w:widowControl w:val="0"/>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shd w:val="clear" w:color="auto" w:fill="FFFFFF"/>
          <w:lang w:val="en-US" w:eastAsia="zh-CN"/>
        </w:rPr>
        <w:t>（四）各级医保经办机构要</w:t>
      </w:r>
      <w:r>
        <w:rPr>
          <w:rFonts w:hint="eastAsia" w:ascii="仿宋_GB2312" w:hAnsi="仿宋_GB2312" w:eastAsia="仿宋_GB2312" w:cs="仿宋_GB2312"/>
          <w:color w:val="000000"/>
          <w:sz w:val="32"/>
          <w:szCs w:val="32"/>
          <w:shd w:val="clear" w:color="auto" w:fill="FFFFFF"/>
        </w:rPr>
        <w:t>将</w:t>
      </w:r>
      <w:r>
        <w:rPr>
          <w:rFonts w:hint="eastAsia" w:ascii="仿宋_GB2312" w:hAnsi="仿宋_GB2312" w:eastAsia="仿宋_GB2312" w:cs="仿宋_GB2312"/>
          <w:color w:val="000000"/>
          <w:sz w:val="32"/>
          <w:szCs w:val="32"/>
          <w:shd w:val="clear" w:color="auto" w:fill="FFFFFF"/>
          <w:lang w:val="en-US" w:eastAsia="zh-CN"/>
        </w:rPr>
        <w:t>单病种</w:t>
      </w:r>
      <w:r>
        <w:rPr>
          <w:rFonts w:hint="eastAsia" w:ascii="仿宋_GB2312" w:hAnsi="仿宋_GB2312" w:eastAsia="仿宋_GB2312" w:cs="仿宋_GB2312"/>
          <w:color w:val="000000"/>
          <w:sz w:val="32"/>
          <w:szCs w:val="32"/>
          <w:shd w:val="clear" w:color="auto" w:fill="FFFFFF"/>
        </w:rPr>
        <w:t>医保支付纳入协议管理内容。</w:t>
      </w:r>
      <w:r>
        <w:rPr>
          <w:rFonts w:hint="eastAsia" w:ascii="仿宋_GB2312" w:hAnsi="仿宋_GB2312" w:eastAsia="仿宋_GB2312" w:cs="仿宋_GB2312"/>
          <w:color w:val="000000"/>
          <w:sz w:val="32"/>
          <w:szCs w:val="32"/>
          <w:lang w:val="en-US" w:eastAsia="zh-CN"/>
        </w:rPr>
        <w:t>明确权利义务、就医管理、保障政策、违约责任等内容。</w:t>
      </w:r>
      <w:r>
        <w:rPr>
          <w:rFonts w:hint="eastAsia" w:ascii="仿宋_GB2312" w:hAnsi="仿宋_GB2312" w:eastAsia="仿宋_GB2312" w:cs="仿宋_GB2312"/>
          <w:color w:val="000000"/>
          <w:sz w:val="32"/>
          <w:szCs w:val="32"/>
          <w:shd w:val="clear" w:color="auto" w:fill="FFFFFF"/>
        </w:rPr>
        <w:t>加强对开展</w:t>
      </w:r>
      <w:r>
        <w:rPr>
          <w:rFonts w:hint="eastAsia" w:ascii="仿宋_GB2312" w:hAnsi="仿宋_GB2312" w:eastAsia="仿宋_GB2312" w:cs="仿宋_GB2312"/>
          <w:color w:val="000000"/>
          <w:sz w:val="32"/>
          <w:szCs w:val="32"/>
          <w:shd w:val="clear" w:color="auto" w:fill="FFFFFF"/>
          <w:lang w:val="en-US" w:eastAsia="zh-CN"/>
        </w:rPr>
        <w:t>单病种</w:t>
      </w:r>
      <w:r>
        <w:rPr>
          <w:rFonts w:hint="eastAsia" w:ascii="仿宋_GB2312" w:hAnsi="仿宋_GB2312" w:eastAsia="仿宋_GB2312" w:cs="仿宋_GB2312"/>
          <w:color w:val="000000"/>
          <w:sz w:val="32"/>
          <w:szCs w:val="32"/>
          <w:shd w:val="clear" w:color="auto" w:fill="FFFFFF"/>
        </w:rPr>
        <w:t>的定点医疗机构落实医保协议情况和有关规定的监督检查，建立费用公示制度，确保</w:t>
      </w:r>
      <w:r>
        <w:rPr>
          <w:rFonts w:hint="eastAsia" w:ascii="仿宋_GB2312" w:hAnsi="仿宋_GB2312" w:eastAsia="仿宋_GB2312" w:cs="仿宋_GB2312"/>
          <w:color w:val="000000"/>
          <w:sz w:val="32"/>
          <w:szCs w:val="32"/>
          <w:shd w:val="clear" w:color="auto" w:fill="FFFFFF"/>
          <w:lang w:val="en-US" w:eastAsia="zh-CN"/>
        </w:rPr>
        <w:t>单病种</w:t>
      </w:r>
      <w:r>
        <w:rPr>
          <w:rFonts w:hint="eastAsia" w:ascii="仿宋_GB2312" w:hAnsi="仿宋_GB2312" w:eastAsia="仿宋_GB2312" w:cs="仿宋_GB2312"/>
          <w:color w:val="000000"/>
          <w:sz w:val="32"/>
          <w:szCs w:val="32"/>
          <w:shd w:val="clear" w:color="auto" w:fill="FFFFFF"/>
        </w:rPr>
        <w:t>医保支付工作落到实处、见到成效。</w:t>
      </w:r>
    </w:p>
    <w:p>
      <w:pPr>
        <w:keepNext w:val="0"/>
        <w:keepLines w:val="0"/>
        <w:pageBreakBefore w:val="0"/>
        <w:widowControl w:val="0"/>
        <w:tabs>
          <w:tab w:val="left" w:pos="871"/>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color w:val="000000"/>
          <w:sz w:val="32"/>
          <w:szCs w:val="32"/>
        </w:rPr>
        <w:t>本通知于202</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12</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日起执行。</w:t>
      </w:r>
      <w:r>
        <w:rPr>
          <w:rFonts w:hint="eastAsia" w:ascii="仿宋_GB2312" w:hAnsi="宋体" w:eastAsia="仿宋_GB2312" w:cs="仿宋_GB2312"/>
          <w:color w:val="000000"/>
          <w:sz w:val="32"/>
          <w:szCs w:val="32"/>
          <w:shd w:val="clear" w:color="auto" w:fill="FFFFFF"/>
        </w:rPr>
        <w:t>今后国家、自治区有</w:t>
      </w:r>
      <w:r>
        <w:rPr>
          <w:rFonts w:ascii="Times New Roman" w:hAnsi="Times New Roman" w:eastAsia="仿宋_GB2312"/>
          <w:color w:val="000000"/>
          <w:kern w:val="0"/>
          <w:sz w:val="32"/>
          <w:szCs w:val="32"/>
        </w:rPr>
        <w:t>新规定</w:t>
      </w:r>
      <w:r>
        <w:rPr>
          <w:rFonts w:hint="eastAsia" w:ascii="Times New Roman" w:hAnsi="Times New Roman" w:eastAsia="仿宋_GB2312"/>
          <w:color w:val="000000"/>
          <w:kern w:val="0"/>
          <w:sz w:val="32"/>
          <w:szCs w:val="32"/>
        </w:rPr>
        <w:t>的</w:t>
      </w:r>
      <w:r>
        <w:rPr>
          <w:rFonts w:ascii="Times New Roman" w:hAnsi="Times New Roman" w:eastAsia="仿宋_GB2312"/>
          <w:color w:val="000000"/>
          <w:kern w:val="0"/>
          <w:sz w:val="32"/>
          <w:szCs w:val="32"/>
        </w:rPr>
        <w:t>，</w:t>
      </w:r>
      <w:r>
        <w:rPr>
          <w:rFonts w:hint="eastAsia" w:ascii="Times New Roman" w:hAnsi="Times New Roman" w:eastAsia="仿宋_GB2312"/>
          <w:color w:val="000000"/>
          <w:kern w:val="0"/>
          <w:sz w:val="32"/>
          <w:szCs w:val="32"/>
        </w:rPr>
        <w:t>从其规定</w:t>
      </w:r>
      <w:r>
        <w:rPr>
          <w:rFonts w:ascii="Times New Roman" w:hAnsi="Times New Roman" w:eastAsia="仿宋_GB2312"/>
          <w:color w:val="000000"/>
          <w:kern w:val="0"/>
          <w:sz w:val="32"/>
          <w:szCs w:val="32"/>
        </w:rPr>
        <w:t>。</w:t>
      </w:r>
    </w:p>
    <w:p>
      <w:pPr>
        <w:keepNext w:val="0"/>
        <w:keepLines w:val="0"/>
        <w:pageBreakBefore w:val="0"/>
        <w:widowControl w:val="0"/>
        <w:tabs>
          <w:tab w:val="left" w:pos="871"/>
        </w:tabs>
        <w:kinsoku/>
        <w:wordWrap/>
        <w:overflowPunct/>
        <w:topLinePunct w:val="0"/>
        <w:autoSpaceDE/>
        <w:autoSpaceDN/>
        <w:bidi w:val="0"/>
        <w:adjustRightInd/>
        <w:snapToGrid/>
        <w:spacing w:line="560" w:lineRule="exact"/>
        <w:ind w:left="0" w:right="0" w:firstLine="640" w:firstLineChars="20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tabs>
          <w:tab w:val="left" w:pos="871"/>
        </w:tabs>
        <w:kinsoku/>
        <w:wordWrap/>
        <w:overflowPunct/>
        <w:topLinePunct w:val="0"/>
        <w:autoSpaceDE/>
        <w:autoSpaceDN/>
        <w:bidi w:val="0"/>
        <w:adjustRightInd/>
        <w:snapToGrid/>
        <w:spacing w:line="560" w:lineRule="exact"/>
        <w:ind w:left="0" w:right="0" w:firstLine="640" w:firstLineChars="20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附件：1.防城港市基本医疗保险单病种付费结算标准表</w:t>
      </w:r>
    </w:p>
    <w:p>
      <w:pPr>
        <w:keepNext w:val="0"/>
        <w:keepLines w:val="0"/>
        <w:pageBreakBefore w:val="0"/>
        <w:widowControl w:val="0"/>
        <w:numPr>
          <w:ilvl w:val="0"/>
          <w:numId w:val="2"/>
        </w:numPr>
        <w:tabs>
          <w:tab w:val="left" w:pos="871"/>
          <w:tab w:val="clear" w:pos="312"/>
        </w:tabs>
        <w:kinsoku/>
        <w:wordWrap/>
        <w:overflowPunct/>
        <w:topLinePunct w:val="0"/>
        <w:autoSpaceDE/>
        <w:autoSpaceDN/>
        <w:bidi w:val="0"/>
        <w:adjustRightInd/>
        <w:snapToGrid/>
        <w:spacing w:line="560" w:lineRule="exact"/>
        <w:ind w:left="1598" w:leftChars="0" w:right="0" w:firstLine="0" w:firstLineChars="0"/>
        <w:jc w:val="both"/>
        <w:textAlignment w:val="auto"/>
        <w:rPr>
          <w:rFonts w:hint="eastAsia" w:ascii="仿宋_GB2312" w:hAnsi="仿宋_GB2312" w:eastAsia="仿宋_GB2312" w:cs="仿宋_GB2312"/>
          <w:i w:val="0"/>
          <w:iCs w:val="0"/>
          <w:caps w:val="0"/>
          <w:color w:val="000000"/>
          <w:spacing w:val="0"/>
          <w:sz w:val="32"/>
          <w:szCs w:val="32"/>
          <w:shd w:val="clear" w:color="auto" w:fill="FFFFFF"/>
          <w:lang w:val="en-US" w:eastAsia="zh-CN"/>
        </w:rPr>
      </w:pPr>
      <w:r>
        <w:rPr>
          <w:rFonts w:hint="eastAsia" w:ascii="仿宋_GB2312" w:hAnsi="仿宋_GB2312" w:eastAsia="仿宋_GB2312" w:cs="仿宋_GB2312"/>
          <w:i w:val="0"/>
          <w:iCs w:val="0"/>
          <w:caps w:val="0"/>
          <w:color w:val="000000"/>
          <w:spacing w:val="0"/>
          <w:sz w:val="32"/>
          <w:szCs w:val="32"/>
          <w:shd w:val="clear" w:color="auto" w:fill="FFFFFF"/>
          <w:lang w:val="en-US" w:eastAsia="zh-CN"/>
        </w:rPr>
        <w:t>防城港市基本医疗保险单病种病例基本信息汇总表</w:t>
      </w:r>
    </w:p>
    <w:p>
      <w:pPr>
        <w:keepNext w:val="0"/>
        <w:keepLines w:val="0"/>
        <w:pageBreakBefore w:val="0"/>
        <w:widowControl w:val="0"/>
        <w:numPr>
          <w:ilvl w:val="0"/>
          <w:numId w:val="0"/>
        </w:numPr>
        <w:tabs>
          <w:tab w:val="left" w:pos="871"/>
        </w:tabs>
        <w:kinsoku/>
        <w:wordWrap/>
        <w:overflowPunct/>
        <w:topLinePunct w:val="0"/>
        <w:autoSpaceDE/>
        <w:autoSpaceDN/>
        <w:bidi w:val="0"/>
        <w:adjustRightInd/>
        <w:snapToGrid/>
        <w:spacing w:line="560" w:lineRule="exact"/>
        <w:ind w:left="1598" w:leftChars="0" w:right="0" w:rightChars="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tabs>
          <w:tab w:val="left" w:pos="871"/>
        </w:tabs>
        <w:kinsoku/>
        <w:wordWrap/>
        <w:overflowPunct/>
        <w:topLinePunct w:val="0"/>
        <w:autoSpaceDE/>
        <w:autoSpaceDN/>
        <w:bidi w:val="0"/>
        <w:adjustRightInd/>
        <w:snapToGrid/>
        <w:spacing w:line="560" w:lineRule="exact"/>
        <w:ind w:left="1598" w:leftChars="0" w:right="0" w:rightChars="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pPr>
        <w:keepNext w:val="0"/>
        <w:keepLines w:val="0"/>
        <w:pageBreakBefore w:val="0"/>
        <w:widowControl w:val="0"/>
        <w:numPr>
          <w:ilvl w:val="0"/>
          <w:numId w:val="0"/>
        </w:numPr>
        <w:tabs>
          <w:tab w:val="left" w:pos="871"/>
        </w:tabs>
        <w:kinsoku/>
        <w:wordWrap/>
        <w:overflowPunct/>
        <w:topLinePunct w:val="0"/>
        <w:autoSpaceDE/>
        <w:autoSpaceDN/>
        <w:bidi w:val="0"/>
        <w:adjustRightInd/>
        <w:snapToGrid/>
        <w:spacing w:line="560" w:lineRule="exact"/>
        <w:ind w:left="1598" w:leftChars="0" w:right="0" w:rightChars="0"/>
        <w:jc w:val="both"/>
        <w:textAlignment w:val="auto"/>
        <w:rPr>
          <w:rFonts w:hint="default" w:ascii="仿宋_GB2312" w:hAnsi="仿宋_GB2312" w:eastAsia="仿宋_GB2312" w:cs="仿宋_GB2312"/>
          <w:i w:val="0"/>
          <w:iCs w:val="0"/>
          <w:caps w:val="0"/>
          <w:color w:val="000000"/>
          <w:spacing w:val="0"/>
          <w:sz w:val="32"/>
          <w:szCs w:val="32"/>
          <w:shd w:val="clear" w:color="auto" w:fill="FFFFFF"/>
          <w:lang w:val="en-US" w:eastAsia="zh-CN"/>
        </w:rPr>
      </w:pPr>
    </w:p>
    <w:p>
      <w:pPr>
        <w:keepNext w:val="0"/>
        <w:keepLines w:val="0"/>
        <w:pageBreakBefore w:val="0"/>
        <w:kinsoku/>
        <w:wordWrap/>
        <w:overflowPunct/>
        <w:topLinePunct w:val="0"/>
        <w:autoSpaceDE/>
        <w:autoSpaceDN/>
        <w:bidi w:val="0"/>
        <w:spacing w:line="600" w:lineRule="exact"/>
        <w:ind w:right="0"/>
        <w:jc w:val="both"/>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spacing w:line="600" w:lineRule="exact"/>
        <w:ind w:left="0" w:right="0" w:firstLine="4160" w:firstLineChars="1300"/>
        <w:jc w:val="both"/>
        <w:textAlignment w:val="auto"/>
        <w:rPr>
          <w:rFonts w:hint="default" w:ascii="仿宋_GB2312" w:eastAsia="仿宋_GB2312"/>
          <w:sz w:val="32"/>
          <w:szCs w:val="32"/>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803" w:bottom="1440" w:left="1803" w:header="851" w:footer="992" w:gutter="0"/>
          <w:pgNumType w:fmt="numberInDash"/>
          <w:cols w:space="720" w:num="1"/>
          <w:docGrid w:type="lines" w:linePitch="312" w:charSpace="0"/>
        </w:sectPr>
      </w:pP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96"/>
        <w:gridCol w:w="2616"/>
        <w:gridCol w:w="4416"/>
        <w:gridCol w:w="2256"/>
        <w:gridCol w:w="1005"/>
        <w:gridCol w:w="1385"/>
        <w:gridCol w:w="13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25" w:type="pct"/>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黑体" w:hAnsi="黑体" w:eastAsia="黑体" w:cs="黑体"/>
                <w:i w:val="0"/>
                <w:iCs w:val="0"/>
                <w:color w:val="000000"/>
                <w:kern w:val="0"/>
                <w:sz w:val="32"/>
                <w:szCs w:val="32"/>
                <w:u w:val="none"/>
                <w:lang w:val="en-US" w:eastAsia="zh-CN" w:bidi="ar"/>
              </w:rPr>
              <w:t>附件1</w:t>
            </w:r>
          </w:p>
        </w:tc>
        <w:tc>
          <w:tcPr>
            <w:tcW w:w="835"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1410"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723"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512"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46"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c>
          <w:tcPr>
            <w:tcW w:w="646" w:type="pct"/>
            <w:tcBorders>
              <w:top w:val="nil"/>
              <w:left w:val="nil"/>
              <w:bottom w:val="nil"/>
              <w:right w:val="nil"/>
            </w:tcBorders>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5000" w:type="pct"/>
            <w:gridSpan w:val="7"/>
            <w:tcBorders>
              <w:top w:val="nil"/>
              <w:left w:val="nil"/>
              <w:bottom w:val="nil"/>
              <w:right w:val="nil"/>
            </w:tcBorders>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方正小标宋简体" w:hAnsi="方正小标宋简体" w:eastAsia="方正小标宋简体" w:cs="方正小标宋简体"/>
                <w:b w:val="0"/>
                <w:bCs w:val="0"/>
                <w:i w:val="0"/>
                <w:iCs w:val="0"/>
                <w:color w:val="000000"/>
                <w:kern w:val="0"/>
                <w:sz w:val="44"/>
                <w:szCs w:val="44"/>
                <w:u w:val="none"/>
                <w:lang w:val="en-US" w:eastAsia="zh-CN" w:bidi="ar"/>
              </w:rPr>
              <w:t>防城港市基本医疗保险单病种付费结算标准表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2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835"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主要诊断</w:t>
            </w:r>
          </w:p>
        </w:tc>
        <w:tc>
          <w:tcPr>
            <w:tcW w:w="1410"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主要操作/治疗方式</w:t>
            </w:r>
          </w:p>
        </w:tc>
        <w:tc>
          <w:tcPr>
            <w:tcW w:w="723"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DRG分组名称</w:t>
            </w:r>
          </w:p>
        </w:tc>
        <w:tc>
          <w:tcPr>
            <w:tcW w:w="512" w:type="pct"/>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DRG分组编码</w:t>
            </w:r>
          </w:p>
        </w:tc>
        <w:tc>
          <w:tcPr>
            <w:tcW w:w="1293" w:type="pct"/>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固定基准点数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83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141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512"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b/>
                <w:bCs/>
                <w:i w:val="0"/>
                <w:iCs w:val="0"/>
                <w:color w:val="000000"/>
                <w:sz w:val="24"/>
                <w:szCs w:val="24"/>
                <w:u w:val="none"/>
              </w:rPr>
            </w:pPr>
          </w:p>
        </w:tc>
        <w:tc>
          <w:tcPr>
            <w:tcW w:w="6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三级</w:t>
            </w:r>
          </w:p>
        </w:tc>
        <w:tc>
          <w:tcPr>
            <w:tcW w:w="646"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二级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835"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老年性白内障（双侧）</w:t>
            </w:r>
          </w:p>
        </w:tc>
        <w:tc>
          <w:tcPr>
            <w:tcW w:w="1410"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白内障超声乳化吸除+人工晶状体植入术</w:t>
            </w:r>
          </w:p>
        </w:tc>
        <w:tc>
          <w:tcPr>
            <w:tcW w:w="723" w:type="pct"/>
            <w:vMerge w:val="restar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晶体手术</w:t>
            </w:r>
          </w:p>
        </w:tc>
        <w:tc>
          <w:tcPr>
            <w:tcW w:w="512" w:type="pct"/>
            <w:tcBorders>
              <w:top w:val="nil"/>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CB33</w:t>
            </w:r>
          </w:p>
        </w:tc>
        <w:tc>
          <w:tcPr>
            <w:tcW w:w="6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146.3141</w:t>
            </w:r>
          </w:p>
        </w:tc>
        <w:tc>
          <w:tcPr>
            <w:tcW w:w="6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835"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410"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723" w:type="pct"/>
            <w:vMerge w:val="continue"/>
            <w:tcBorders>
              <w:top w:val="nil"/>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CB35</w:t>
            </w: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8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腹股沟疝（双侧）</w:t>
            </w:r>
          </w:p>
        </w:tc>
        <w:tc>
          <w:tcPr>
            <w:tcW w:w="141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腹股沟疝修补术</w:t>
            </w:r>
          </w:p>
        </w:tc>
        <w:tc>
          <w:tcPr>
            <w:tcW w:w="7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 xml:space="preserve"> 腹股沟及腹疝手术</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GE13</w:t>
            </w:r>
          </w:p>
        </w:tc>
        <w:tc>
          <w:tcPr>
            <w:tcW w:w="6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139.4839</w:t>
            </w:r>
          </w:p>
        </w:tc>
        <w:tc>
          <w:tcPr>
            <w:tcW w:w="646" w:type="pct"/>
            <w:vMerge w:val="restart"/>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8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14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GE15</w:t>
            </w: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835"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精索静脉曲张（双侧）</w:t>
            </w:r>
          </w:p>
        </w:tc>
        <w:tc>
          <w:tcPr>
            <w:tcW w:w="141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精索静脉曲张高位结扎术</w:t>
            </w:r>
          </w:p>
        </w:tc>
        <w:tc>
          <w:tcPr>
            <w:tcW w:w="723"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睾丸手术</w:t>
            </w: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MD13</w:t>
            </w:r>
          </w:p>
        </w:tc>
        <w:tc>
          <w:tcPr>
            <w:tcW w:w="646"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98.5616</w:t>
            </w:r>
          </w:p>
        </w:tc>
        <w:tc>
          <w:tcPr>
            <w:tcW w:w="646" w:type="pct"/>
            <w:vMerge w:val="restart"/>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MD15</w:t>
            </w: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10" w:type="pct"/>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经腹腔镜精索静脉曲张高位结扎术</w:t>
            </w: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MD13</w:t>
            </w: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835"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1410"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723"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_GB2312" w:hAnsi="仿宋_GB2312" w:eastAsia="仿宋_GB2312" w:cs="仿宋_GB2312"/>
                <w:i w:val="0"/>
                <w:iCs w:val="0"/>
                <w:color w:val="000000"/>
                <w:sz w:val="24"/>
                <w:szCs w:val="24"/>
                <w:u w:val="none"/>
              </w:rPr>
            </w:pPr>
          </w:p>
        </w:tc>
        <w:tc>
          <w:tcPr>
            <w:tcW w:w="512"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MD15</w:t>
            </w:r>
          </w:p>
        </w:tc>
        <w:tc>
          <w:tcPr>
            <w:tcW w:w="646"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宋体" w:hAnsi="宋体" w:eastAsia="宋体" w:cs="宋体"/>
                <w:i w:val="0"/>
                <w:iCs w:val="0"/>
                <w:color w:val="000000"/>
                <w:sz w:val="24"/>
                <w:szCs w:val="24"/>
                <w:u w:val="none"/>
              </w:rPr>
            </w:pPr>
          </w:p>
        </w:tc>
        <w:tc>
          <w:tcPr>
            <w:tcW w:w="646" w:type="pct"/>
            <w:vMerge w:val="continue"/>
            <w:tcBorders>
              <w:top w:val="single" w:color="000000" w:sz="4" w:space="0"/>
              <w:left w:val="single" w:color="000000" w:sz="4" w:space="0"/>
              <w:bottom w:val="single" w:color="000000" w:sz="4" w:space="0"/>
              <w:right w:val="single" w:color="000000" w:sz="4" w:space="0"/>
              <w:tr2bl w:val="single" w:color="000000" w:sz="4" w:space="0"/>
            </w:tcBorders>
            <w:noWrap/>
            <w:vAlign w:val="center"/>
          </w:tcPr>
          <w:p>
            <w:pPr>
              <w:jc w:val="center"/>
              <w:rPr>
                <w:rFonts w:hint="eastAsia" w:ascii="宋体" w:hAnsi="宋体" w:eastAsia="宋体" w:cs="宋体"/>
                <w:i w:val="0"/>
                <w:iCs w:val="0"/>
                <w:color w:val="000000"/>
                <w:sz w:val="24"/>
                <w:szCs w:val="24"/>
                <w:u w:val="none"/>
              </w:rPr>
            </w:pPr>
          </w:p>
        </w:tc>
      </w:tr>
    </w:tbl>
    <w:p>
      <w:pPr>
        <w:jc w:val="center"/>
        <w:rPr>
          <w:rFonts w:hint="eastAsia" w:ascii="仿宋_GB2312" w:hAnsi="仿宋_GB2312" w:eastAsia="仿宋_GB2312" w:cs="仿宋_GB2312"/>
          <w:i w:val="0"/>
          <w:iCs w:val="0"/>
          <w:color w:val="000000"/>
          <w:sz w:val="32"/>
          <w:szCs w:val="32"/>
          <w:u w:val="none"/>
        </w:rPr>
      </w:pPr>
    </w:p>
    <w:p>
      <w:pPr>
        <w:jc w:val="both"/>
        <w:rPr>
          <w:rFonts w:hint="eastAsia" w:ascii="仿宋_GB2312" w:hAnsi="仿宋_GB2312" w:eastAsia="仿宋_GB2312" w:cs="仿宋_GB2312"/>
          <w:i w:val="0"/>
          <w:iCs w:val="0"/>
          <w:color w:val="000000"/>
          <w:sz w:val="32"/>
          <w:szCs w:val="32"/>
          <w:u w:val="none"/>
        </w:rPr>
      </w:pPr>
    </w:p>
    <w:p>
      <w:pPr>
        <w:jc w:val="both"/>
        <w:rPr>
          <w:rFonts w:hint="eastAsia" w:ascii="黑体" w:hAnsi="黑体" w:eastAsia="黑体" w:cs="黑体"/>
          <w:i w:val="0"/>
          <w:iCs w:val="0"/>
          <w:color w:val="000000"/>
          <w:sz w:val="32"/>
          <w:szCs w:val="32"/>
          <w:u w:val="none"/>
          <w:lang w:val="en-US" w:eastAsia="zh-CN"/>
        </w:rPr>
      </w:pPr>
      <w:r>
        <w:rPr>
          <w:rFonts w:hint="eastAsia" w:ascii="黑体" w:hAnsi="黑体" w:eastAsia="黑体" w:cs="黑体"/>
          <w:i w:val="0"/>
          <w:iCs w:val="0"/>
          <w:color w:val="000000"/>
          <w:sz w:val="32"/>
          <w:szCs w:val="32"/>
          <w:u w:val="none"/>
          <w:lang w:eastAsia="zh-CN"/>
        </w:rPr>
        <w:t>附件</w:t>
      </w:r>
      <w:r>
        <w:rPr>
          <w:rFonts w:hint="eastAsia" w:ascii="黑体" w:hAnsi="黑体" w:eastAsia="黑体" w:cs="黑体"/>
          <w:i w:val="0"/>
          <w:iCs w:val="0"/>
          <w:color w:val="000000"/>
          <w:sz w:val="32"/>
          <w:szCs w:val="32"/>
          <w:u w:val="none"/>
          <w:lang w:val="en-US" w:eastAsia="zh-CN"/>
        </w:rPr>
        <w:t>2</w:t>
      </w:r>
    </w:p>
    <w:tbl>
      <w:tblPr>
        <w:tblStyle w:val="9"/>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42"/>
        <w:gridCol w:w="1356"/>
        <w:gridCol w:w="1006"/>
        <w:gridCol w:w="510"/>
        <w:gridCol w:w="1040"/>
        <w:gridCol w:w="1057"/>
        <w:gridCol w:w="1263"/>
        <w:gridCol w:w="1218"/>
        <w:gridCol w:w="2303"/>
        <w:gridCol w:w="2513"/>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nil"/>
              <w:left w:val="nil"/>
              <w:bottom w:val="nil"/>
              <w:right w:val="nil"/>
            </w:tcBorders>
            <w:noWrap/>
            <w:vAlign w:val="center"/>
          </w:tcPr>
          <w:p>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44"/>
                <w:szCs w:val="44"/>
                <w:u w:val="none"/>
                <w:lang w:val="en-US" w:eastAsia="zh-CN" w:bidi="ar"/>
              </w:rPr>
              <w:t>防城港市基本医疗保险单病种病例基本信息汇总表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000" w:type="pct"/>
            <w:gridSpan w:val="11"/>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医疗机构名称：（盖章）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5" w:hRule="atLeast"/>
        </w:trPr>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联系人</w:t>
            </w:r>
          </w:p>
        </w:tc>
        <w:tc>
          <w:tcPr>
            <w:tcW w:w="834"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2"/>
                <w:szCs w:val="22"/>
                <w:u w:val="none"/>
              </w:rPr>
            </w:pPr>
          </w:p>
        </w:tc>
        <w:tc>
          <w:tcPr>
            <w:tcW w:w="5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费用所属月份</w:t>
            </w:r>
          </w:p>
        </w:tc>
        <w:tc>
          <w:tcPr>
            <w:tcW w:w="819" w:type="pct"/>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联系电话</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填报日期</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序号</w:t>
            </w:r>
          </w:p>
        </w:tc>
        <w:tc>
          <w:tcPr>
            <w:tcW w:w="479"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结算流水号</w:t>
            </w:r>
          </w:p>
        </w:tc>
        <w:tc>
          <w:tcPr>
            <w:tcW w:w="35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姓名</w:t>
            </w:r>
          </w:p>
        </w:tc>
        <w:tc>
          <w:tcPr>
            <w:tcW w:w="18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参保类别</w:t>
            </w:r>
          </w:p>
        </w:tc>
        <w:tc>
          <w:tcPr>
            <w:tcW w:w="36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就诊</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科室</w:t>
            </w:r>
          </w:p>
        </w:tc>
        <w:tc>
          <w:tcPr>
            <w:tcW w:w="37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入院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日期</w:t>
            </w:r>
          </w:p>
        </w:tc>
        <w:tc>
          <w:tcPr>
            <w:tcW w:w="44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出院</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日期</w:t>
            </w:r>
          </w:p>
        </w:tc>
        <w:tc>
          <w:tcPr>
            <w:tcW w:w="430"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医疗</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总费用</w:t>
            </w:r>
          </w:p>
        </w:tc>
        <w:tc>
          <w:tcPr>
            <w:tcW w:w="8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主要操作/治疗方式</w:t>
            </w:r>
          </w:p>
        </w:tc>
        <w:tc>
          <w:tcPr>
            <w:tcW w:w="887"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分组名称</w:t>
            </w:r>
          </w:p>
        </w:tc>
        <w:tc>
          <w:tcPr>
            <w:tcW w:w="33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kern w:val="0"/>
                <w:sz w:val="22"/>
                <w:szCs w:val="22"/>
                <w:u w:val="none"/>
                <w:lang w:val="en-US" w:eastAsia="zh-CN" w:bidi="ar"/>
              </w:rPr>
            </w:pPr>
            <w:r>
              <w:rPr>
                <w:rFonts w:hint="eastAsia" w:ascii="仿宋_GB2312" w:hAnsi="仿宋_GB2312" w:eastAsia="仿宋_GB2312" w:cs="仿宋_GB2312"/>
                <w:i w:val="0"/>
                <w:iCs w:val="0"/>
                <w:color w:val="000000"/>
                <w:kern w:val="0"/>
                <w:sz w:val="22"/>
                <w:szCs w:val="22"/>
                <w:u w:val="none"/>
                <w:lang w:val="en-US" w:eastAsia="zh-CN" w:bidi="ar"/>
              </w:rPr>
              <w:t>分组</w:t>
            </w:r>
          </w:p>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2</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3</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4</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5</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6</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7</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8</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9</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33" w:type="pc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2"/>
                <w:szCs w:val="22"/>
                <w:u w:val="none"/>
              </w:rPr>
            </w:pPr>
            <w:r>
              <w:rPr>
                <w:rFonts w:hint="eastAsia" w:ascii="仿宋_GB2312" w:hAnsi="仿宋_GB2312" w:eastAsia="仿宋_GB2312" w:cs="仿宋_GB2312"/>
                <w:i w:val="0"/>
                <w:iCs w:val="0"/>
                <w:color w:val="000000"/>
                <w:kern w:val="0"/>
                <w:sz w:val="22"/>
                <w:szCs w:val="22"/>
                <w:u w:val="none"/>
                <w:lang w:val="en-US" w:eastAsia="zh-CN" w:bidi="ar"/>
              </w:rPr>
              <w:t>10</w:t>
            </w:r>
          </w:p>
        </w:tc>
        <w:tc>
          <w:tcPr>
            <w:tcW w:w="479"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18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1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887"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c>
          <w:tcPr>
            <w:tcW w:w="333" w:type="pct"/>
            <w:tcBorders>
              <w:top w:val="single" w:color="000000" w:sz="4" w:space="0"/>
              <w:left w:val="single" w:color="000000" w:sz="4" w:space="0"/>
              <w:bottom w:val="single" w:color="000000" w:sz="4" w:space="0"/>
              <w:right w:val="single" w:color="000000" w:sz="4" w:space="0"/>
            </w:tcBorders>
            <w:noWrap/>
            <w:vAlign w:val="center"/>
          </w:tcPr>
          <w:p>
            <w:pPr>
              <w:rPr>
                <w:rFonts w:hint="eastAsia" w:ascii="仿宋_GB2312" w:hAnsi="仿宋_GB2312" w:eastAsia="仿宋_GB2312" w:cs="仿宋_GB2312"/>
                <w:i w:val="0"/>
                <w:iCs w:val="0"/>
                <w:color w:val="000000"/>
                <w:sz w:val="22"/>
                <w:szCs w:val="22"/>
                <w:u w:val="none"/>
              </w:rPr>
            </w:pPr>
          </w:p>
        </w:tc>
      </w:tr>
    </w:tbl>
    <w:p>
      <w:pPr>
        <w:tabs>
          <w:tab w:val="left" w:pos="10406"/>
        </w:tabs>
        <w:jc w:val="both"/>
        <w:rPr>
          <w:rFonts w:hint="eastAsia" w:ascii="仿宋_GB2312" w:hAnsi="仿宋_GB2312" w:eastAsia="仿宋_GB2312" w:cs="仿宋_GB2312"/>
          <w:i w:val="0"/>
          <w:iCs w:val="0"/>
          <w:color w:val="000000"/>
          <w:sz w:val="32"/>
          <w:szCs w:val="32"/>
          <w:u w:val="none"/>
          <w:lang w:eastAsia="zh-CN"/>
        </w:rPr>
        <w:sectPr>
          <w:pgSz w:w="16838" w:h="11906" w:orient="landscape"/>
          <w:pgMar w:top="1803" w:right="1440" w:bottom="1803" w:left="1440" w:header="851" w:footer="992" w:gutter="0"/>
          <w:pgNumType w:fmt="numberInDash"/>
          <w:cols w:space="720" w:num="1"/>
          <w:docGrid w:type="lines" w:linePitch="312" w:charSpace="0"/>
        </w:sectPr>
      </w:pPr>
    </w:p>
    <w:p>
      <w:pPr>
        <w:pStyle w:val="2"/>
        <w:jc w:val="both"/>
        <w:rPr>
          <w:rFonts w:hint="default"/>
          <w:lang w:val="en-US"/>
        </w:rPr>
      </w:pPr>
    </w:p>
    <w:sectPr>
      <w:headerReference r:id="rId9" w:type="default"/>
      <w:footerReference r:id="rId10"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Arial Unicode MS"/>
    <w:panose1 w:val="02000000000000000000"/>
    <w:charset w:val="86"/>
    <w:family w:val="swiss"/>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17</w:t>
                          </w:r>
                          <w:r>
                            <w:rPr>
                              <w:rStyle w:val="11"/>
                              <w:rFonts w:hint="eastAsia" w:ascii="仿宋_GB2312" w:hAnsi="仿宋_GB2312" w:eastAsia="仿宋_GB2312" w:cs="仿宋_GB2312"/>
                              <w:sz w:val="28"/>
                              <w:szCs w:val="28"/>
                            </w:rP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6"/>
                      <w:rPr>
                        <w:rStyle w:val="11"/>
                        <w:rFonts w:hint="eastAsia" w:ascii="仿宋_GB2312" w:hAnsi="仿宋_GB2312" w:eastAsia="仿宋_GB2312" w:cs="仿宋_GB2312"/>
                        <w:sz w:val="28"/>
                        <w:szCs w:val="28"/>
                      </w:rPr>
                    </w:pPr>
                    <w:r>
                      <w:rPr>
                        <w:rStyle w:val="11"/>
                        <w:rFonts w:hint="eastAsia" w:ascii="仿宋_GB2312" w:hAnsi="仿宋_GB2312" w:eastAsia="仿宋_GB2312" w:cs="仿宋_GB2312"/>
                        <w:sz w:val="28"/>
                        <w:szCs w:val="28"/>
                      </w:rPr>
                      <w:fldChar w:fldCharType="begin"/>
                    </w:r>
                    <w:r>
                      <w:rPr>
                        <w:rStyle w:val="11"/>
                        <w:rFonts w:hint="eastAsia" w:ascii="仿宋_GB2312" w:hAnsi="仿宋_GB2312" w:eastAsia="仿宋_GB2312" w:cs="仿宋_GB2312"/>
                        <w:sz w:val="28"/>
                        <w:szCs w:val="28"/>
                      </w:rPr>
                      <w:instrText xml:space="preserve">PAGE  </w:instrText>
                    </w:r>
                    <w:r>
                      <w:rPr>
                        <w:rStyle w:val="11"/>
                        <w:rFonts w:hint="eastAsia" w:ascii="仿宋_GB2312" w:hAnsi="仿宋_GB2312" w:eastAsia="仿宋_GB2312" w:cs="仿宋_GB2312"/>
                        <w:sz w:val="28"/>
                        <w:szCs w:val="28"/>
                      </w:rPr>
                      <w:fldChar w:fldCharType="separate"/>
                    </w:r>
                    <w:r>
                      <w:rPr>
                        <w:rStyle w:val="11"/>
                        <w:rFonts w:hint="eastAsia" w:ascii="仿宋_GB2312" w:hAnsi="仿宋_GB2312" w:eastAsia="仿宋_GB2312" w:cs="仿宋_GB2312"/>
                        <w:sz w:val="28"/>
                        <w:szCs w:val="28"/>
                      </w:rPr>
                      <w:t>17</w:t>
                    </w:r>
                    <w:r>
                      <w:rPr>
                        <w:rStyle w:val="11"/>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rPr>
        <w:rStyle w:val="11"/>
      </w:rPr>
    </w:pPr>
    <w:r>
      <w:rPr>
        <w:rStyle w:val="11"/>
      </w:rPr>
      <w:fldChar w:fldCharType="begin"/>
    </w:r>
    <w:r>
      <w:rPr>
        <w:rStyle w:val="11"/>
      </w:rPr>
      <w:instrText xml:space="preserve">PAGE  </w:instrText>
    </w:r>
    <w:r>
      <w:rPr>
        <w:rStyle w:val="11"/>
      </w:rPr>
      <w:fldChar w:fldCharType="end"/>
    </w:r>
  </w:p>
  <w:p>
    <w:pPr>
      <w:pStyle w:val="6"/>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6"/>
                      <w:jc w:val="right"/>
                    </w:pP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hint="eastAsia" w:ascii="仿宋_GB2312" w:eastAsia="仿宋_GB2312"/>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2 -</w:t>
                    </w:r>
                    <w:r>
                      <w:rPr>
                        <w:rFonts w:hint="eastAsia" w:ascii="仿宋_GB2312" w:eastAsia="仿宋_GB2312"/>
                        <w:sz w:val="28"/>
                        <w:szCs w:val="28"/>
                      </w:rPr>
                      <w:fldChar w:fldCharType="end"/>
                    </w:r>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46EDC78"/>
    <w:multiLevelType w:val="singleLevel"/>
    <w:tmpl w:val="946EDC78"/>
    <w:lvl w:ilvl="0" w:tentative="0">
      <w:start w:val="1"/>
      <w:numFmt w:val="chineseCounting"/>
      <w:suff w:val="nothing"/>
      <w:lvlText w:val="%1、"/>
      <w:lvlJc w:val="left"/>
      <w:rPr>
        <w:rFonts w:hint="eastAsia"/>
      </w:rPr>
    </w:lvl>
  </w:abstractNum>
  <w:abstractNum w:abstractNumId="1">
    <w:nsid w:val="382B45DF"/>
    <w:multiLevelType w:val="singleLevel"/>
    <w:tmpl w:val="382B45DF"/>
    <w:lvl w:ilvl="0" w:tentative="0">
      <w:start w:val="2"/>
      <w:numFmt w:val="decimal"/>
      <w:lvlText w:val="%1."/>
      <w:lvlJc w:val="left"/>
      <w:pPr>
        <w:tabs>
          <w:tab w:val="left" w:pos="312"/>
        </w:tabs>
        <w:ind w:left="1598"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C14"/>
    <w:rsid w:val="000227E8"/>
    <w:rsid w:val="000967DE"/>
    <w:rsid w:val="000C4FB5"/>
    <w:rsid w:val="0010613F"/>
    <w:rsid w:val="001264C6"/>
    <w:rsid w:val="001A65F7"/>
    <w:rsid w:val="00234C71"/>
    <w:rsid w:val="002B39CE"/>
    <w:rsid w:val="00340FF5"/>
    <w:rsid w:val="003868B0"/>
    <w:rsid w:val="00386DA7"/>
    <w:rsid w:val="003F7953"/>
    <w:rsid w:val="004A6C14"/>
    <w:rsid w:val="005022EA"/>
    <w:rsid w:val="0052186A"/>
    <w:rsid w:val="005F0470"/>
    <w:rsid w:val="005F334A"/>
    <w:rsid w:val="00641DDD"/>
    <w:rsid w:val="00696676"/>
    <w:rsid w:val="006D5067"/>
    <w:rsid w:val="006E2FCF"/>
    <w:rsid w:val="007518F0"/>
    <w:rsid w:val="007914B3"/>
    <w:rsid w:val="007A67CD"/>
    <w:rsid w:val="008110A7"/>
    <w:rsid w:val="0092783C"/>
    <w:rsid w:val="009301FF"/>
    <w:rsid w:val="00A03A1C"/>
    <w:rsid w:val="00A341EA"/>
    <w:rsid w:val="00A35E7E"/>
    <w:rsid w:val="00A37FDC"/>
    <w:rsid w:val="00A9014C"/>
    <w:rsid w:val="00A91131"/>
    <w:rsid w:val="00B61ADB"/>
    <w:rsid w:val="00BD3F4D"/>
    <w:rsid w:val="00BD67C8"/>
    <w:rsid w:val="00C8144A"/>
    <w:rsid w:val="00CD1590"/>
    <w:rsid w:val="00D94202"/>
    <w:rsid w:val="00DE41FC"/>
    <w:rsid w:val="00E4454E"/>
    <w:rsid w:val="00E54DB2"/>
    <w:rsid w:val="00E73F3C"/>
    <w:rsid w:val="00E9095C"/>
    <w:rsid w:val="00F070EA"/>
    <w:rsid w:val="00F1744E"/>
    <w:rsid w:val="00F7491C"/>
    <w:rsid w:val="0EB932F7"/>
    <w:rsid w:val="11C13CCD"/>
    <w:rsid w:val="136F6260"/>
    <w:rsid w:val="1860790B"/>
    <w:rsid w:val="19C15C13"/>
    <w:rsid w:val="1B043940"/>
    <w:rsid w:val="1C263553"/>
    <w:rsid w:val="1C6804ED"/>
    <w:rsid w:val="28694E9E"/>
    <w:rsid w:val="30EA1C3A"/>
    <w:rsid w:val="32693A4C"/>
    <w:rsid w:val="3A1C3108"/>
    <w:rsid w:val="3A8002CB"/>
    <w:rsid w:val="3E5E10C2"/>
    <w:rsid w:val="43003403"/>
    <w:rsid w:val="4525181A"/>
    <w:rsid w:val="4B044942"/>
    <w:rsid w:val="53811DD0"/>
    <w:rsid w:val="76F33B3A"/>
    <w:rsid w:val="77344EDD"/>
    <w:rsid w:val="79BB241E"/>
    <w:rsid w:val="7B282F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5"/>
    <w:qFormat/>
    <w:uiPriority w:val="0"/>
    <w:pPr>
      <w:spacing w:line="240" w:lineRule="atLeast"/>
      <w:jc w:val="center"/>
    </w:pPr>
    <w:rPr>
      <w:rFonts w:ascii="Arial" w:hAnsi="Arial" w:eastAsia="黑体" w:cs="Arial"/>
      <w:sz w:val="52"/>
      <w:szCs w:val="52"/>
    </w:rPr>
  </w:style>
  <w:style w:type="paragraph" w:styleId="4">
    <w:name w:val="Body Text Indent"/>
    <w:basedOn w:val="1"/>
    <w:next w:val="1"/>
    <w:link w:val="16"/>
    <w:unhideWhenUsed/>
    <w:qFormat/>
    <w:uiPriority w:val="99"/>
    <w:pPr>
      <w:spacing w:after="120"/>
      <w:ind w:left="420" w:leftChars="200"/>
    </w:pPr>
    <w:rPr>
      <w:rFonts w:cs="Times New Roman"/>
    </w:rPr>
  </w:style>
  <w:style w:type="paragraph" w:styleId="5">
    <w:name w:val="Balloon Text"/>
    <w:basedOn w:val="1"/>
    <w:link w:val="24"/>
    <w:qFormat/>
    <w:uiPriority w:val="0"/>
    <w:rPr>
      <w:sz w:val="18"/>
      <w:szCs w:val="18"/>
    </w:rPr>
  </w:style>
  <w:style w:type="paragraph" w:styleId="6">
    <w:name w:val="footer"/>
    <w:basedOn w:val="1"/>
    <w:link w:val="14"/>
    <w:qFormat/>
    <w:uiPriority w:val="99"/>
    <w:pPr>
      <w:tabs>
        <w:tab w:val="center" w:pos="4153"/>
        <w:tab w:val="right" w:pos="8306"/>
      </w:tabs>
      <w:snapToGrid w:val="0"/>
      <w:jc w:val="left"/>
    </w:pPr>
    <w:rPr>
      <w:sz w:val="18"/>
      <w:szCs w:val="18"/>
    </w:rPr>
  </w:style>
  <w:style w:type="paragraph" w:styleId="7">
    <w:name w:val="header"/>
    <w:basedOn w:val="1"/>
    <w:link w:val="13"/>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page number"/>
    <w:qFormat/>
    <w:uiPriority w:val="0"/>
  </w:style>
  <w:style w:type="character" w:styleId="12">
    <w:name w:val="Hyperlink"/>
    <w:basedOn w:val="10"/>
    <w:qFormat/>
    <w:uiPriority w:val="0"/>
    <w:rPr>
      <w:color w:val="0000FF"/>
      <w:u w:val="single"/>
    </w:rPr>
  </w:style>
  <w:style w:type="character" w:customStyle="1" w:styleId="13">
    <w:name w:val="页眉 Char"/>
    <w:basedOn w:val="10"/>
    <w:link w:val="7"/>
    <w:qFormat/>
    <w:uiPriority w:val="99"/>
    <w:rPr>
      <w:kern w:val="2"/>
      <w:sz w:val="18"/>
      <w:szCs w:val="18"/>
    </w:rPr>
  </w:style>
  <w:style w:type="character" w:customStyle="1" w:styleId="14">
    <w:name w:val="页脚 Char"/>
    <w:basedOn w:val="10"/>
    <w:link w:val="6"/>
    <w:qFormat/>
    <w:uiPriority w:val="99"/>
    <w:rPr>
      <w:kern w:val="2"/>
      <w:sz w:val="18"/>
      <w:szCs w:val="18"/>
    </w:rPr>
  </w:style>
  <w:style w:type="character" w:customStyle="1" w:styleId="15">
    <w:name w:val="标题 Char"/>
    <w:basedOn w:val="10"/>
    <w:link w:val="2"/>
    <w:qFormat/>
    <w:uiPriority w:val="0"/>
    <w:rPr>
      <w:rFonts w:ascii="Arial" w:hAnsi="Arial" w:eastAsia="黑体" w:cs="Arial"/>
      <w:kern w:val="2"/>
      <w:sz w:val="52"/>
      <w:szCs w:val="52"/>
    </w:rPr>
  </w:style>
  <w:style w:type="character" w:customStyle="1" w:styleId="16">
    <w:name w:val="正文文本缩进 Char"/>
    <w:basedOn w:val="10"/>
    <w:link w:val="4"/>
    <w:qFormat/>
    <w:uiPriority w:val="99"/>
    <w:rPr>
      <w:rFonts w:cs="Times New Roman"/>
      <w:kern w:val="2"/>
      <w:sz w:val="21"/>
      <w:szCs w:val="24"/>
    </w:rPr>
  </w:style>
  <w:style w:type="character" w:customStyle="1" w:styleId="17">
    <w:name w:val="font01"/>
    <w:basedOn w:val="10"/>
    <w:qFormat/>
    <w:uiPriority w:val="0"/>
    <w:rPr>
      <w:rFonts w:hint="eastAsia" w:ascii="宋体" w:hAnsi="宋体" w:eastAsia="宋体" w:cs="宋体"/>
      <w:color w:val="000000"/>
      <w:sz w:val="24"/>
      <w:szCs w:val="24"/>
      <w:u w:val="none"/>
    </w:rPr>
  </w:style>
  <w:style w:type="character" w:customStyle="1" w:styleId="18">
    <w:name w:val="font141"/>
    <w:basedOn w:val="10"/>
    <w:qFormat/>
    <w:uiPriority w:val="0"/>
    <w:rPr>
      <w:rFonts w:hint="eastAsia" w:ascii="黑体" w:hAnsi="宋体" w:eastAsia="黑体" w:cs="黑体"/>
      <w:color w:val="000000"/>
      <w:sz w:val="24"/>
      <w:szCs w:val="24"/>
      <w:u w:val="none"/>
    </w:rPr>
  </w:style>
  <w:style w:type="character" w:customStyle="1" w:styleId="19">
    <w:name w:val="font91"/>
    <w:basedOn w:val="10"/>
    <w:qFormat/>
    <w:uiPriority w:val="0"/>
    <w:rPr>
      <w:rFonts w:hint="eastAsia" w:ascii="黑体" w:hAnsi="宋体" w:eastAsia="黑体" w:cs="黑体"/>
      <w:color w:val="000000"/>
      <w:sz w:val="22"/>
      <w:szCs w:val="22"/>
      <w:u w:val="none"/>
    </w:rPr>
  </w:style>
  <w:style w:type="character" w:customStyle="1" w:styleId="20">
    <w:name w:val="font101"/>
    <w:basedOn w:val="10"/>
    <w:qFormat/>
    <w:uiPriority w:val="0"/>
    <w:rPr>
      <w:rFonts w:hint="eastAsia" w:ascii="黑体" w:hAnsi="宋体" w:eastAsia="黑体" w:cs="黑体"/>
      <w:color w:val="000000"/>
      <w:sz w:val="24"/>
      <w:szCs w:val="24"/>
      <w:u w:val="none"/>
    </w:rPr>
  </w:style>
  <w:style w:type="character" w:customStyle="1" w:styleId="21">
    <w:name w:val="font11"/>
    <w:basedOn w:val="10"/>
    <w:qFormat/>
    <w:uiPriority w:val="0"/>
    <w:rPr>
      <w:rFonts w:hint="eastAsia" w:ascii="黑体" w:hAnsi="宋体" w:eastAsia="黑体" w:cs="黑体"/>
      <w:color w:val="000000"/>
      <w:sz w:val="22"/>
      <w:szCs w:val="22"/>
      <w:u w:val="none"/>
    </w:rPr>
  </w:style>
  <w:style w:type="character" w:customStyle="1" w:styleId="22">
    <w:name w:val="font21"/>
    <w:basedOn w:val="10"/>
    <w:qFormat/>
    <w:uiPriority w:val="0"/>
    <w:rPr>
      <w:rFonts w:hint="eastAsia" w:ascii="黑体" w:hAnsi="宋体" w:eastAsia="黑体" w:cs="黑体"/>
      <w:color w:val="000000"/>
      <w:sz w:val="20"/>
      <w:szCs w:val="20"/>
      <w:u w:val="none"/>
    </w:rPr>
  </w:style>
  <w:style w:type="character" w:customStyle="1" w:styleId="23">
    <w:name w:val="font31"/>
    <w:basedOn w:val="10"/>
    <w:qFormat/>
    <w:uiPriority w:val="0"/>
    <w:rPr>
      <w:rFonts w:hint="eastAsia" w:ascii="宋体" w:hAnsi="宋体" w:eastAsia="宋体" w:cs="宋体"/>
      <w:b/>
      <w:color w:val="000000"/>
      <w:sz w:val="24"/>
      <w:szCs w:val="24"/>
      <w:u w:val="none"/>
    </w:rPr>
  </w:style>
  <w:style w:type="character" w:customStyle="1" w:styleId="24">
    <w:name w:val="批注框文本 Char"/>
    <w:basedOn w:val="10"/>
    <w:link w:val="5"/>
    <w:qFormat/>
    <w:uiPriority w:val="0"/>
    <w:rPr>
      <w:kern w:val="2"/>
      <w:sz w:val="18"/>
      <w:szCs w:val="18"/>
    </w:rPr>
  </w:style>
  <w:style w:type="paragraph" w:customStyle="1" w:styleId="25">
    <w:name w:val="Default"/>
    <w:qFormat/>
    <w:uiPriority w:val="0"/>
    <w:pPr>
      <w:widowControl w:val="0"/>
      <w:autoSpaceDE w:val="0"/>
      <w:autoSpaceDN w:val="0"/>
      <w:adjustRightInd w:val="0"/>
    </w:pPr>
    <w:rPr>
      <w:rFonts w:ascii="方正小标宋_GBK" w:hAnsi="Calibri" w:eastAsia="方正小标宋_GBK" w:cs="方正小标宋_GBK"/>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75AF94A-19B4-4E8F-ACFE-FE6355F9DCB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48</Words>
  <Characters>276</Characters>
  <Lines>2</Lines>
  <Paragraphs>1</Paragraphs>
  <TotalTime>1</TotalTime>
  <ScaleCrop>false</ScaleCrop>
  <LinksUpToDate>false</LinksUpToDate>
  <CharactersWithSpaces>323</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2021-07-13T08:54:00Z</dcterms:created>
  <dc:creator>Administrator</dc:creator>
  <cp:lastModifiedBy>木偶</cp:lastModifiedBy>
  <cp:lastPrinted>2022-11-15T04:00:00Z</cp:lastPrinted>
  <dcterms:modified xsi:type="dcterms:W3CDTF">2022-11-25T02:50:00Z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D2D4BA35B3164F91BB12029B61353B92</vt:lpwstr>
  </property>
</Properties>
</file>