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D74" w:rsidRDefault="00BA092D">
      <w:pPr>
        <w:spacing w:line="360" w:lineRule="auto"/>
        <w:jc w:val="center"/>
        <w:rPr>
          <w:rFonts w:ascii="黑体" w:eastAsia="黑体" w:hAnsi="黑体" w:cs="黑体"/>
          <w:color w:val="000000"/>
          <w:sz w:val="28"/>
          <w:szCs w:val="28"/>
        </w:rPr>
      </w:pPr>
      <w:r w:rsidRPr="00C32280">
        <w:rPr>
          <w:rFonts w:ascii="黑体" w:eastAsia="黑体" w:hAnsi="黑体" w:cs="黑体" w:hint="eastAsia"/>
          <w:color w:val="000000"/>
          <w:sz w:val="28"/>
          <w:szCs w:val="28"/>
        </w:rPr>
        <w:t>安徽省地方标准编制说明</w:t>
      </w:r>
    </w:p>
    <w:p w:rsidR="00C32280" w:rsidRPr="00C32280" w:rsidRDefault="00C32280">
      <w:pPr>
        <w:spacing w:line="360" w:lineRule="auto"/>
        <w:jc w:val="center"/>
        <w:rPr>
          <w:rFonts w:ascii="华文中宋" w:eastAsia="华文中宋" w:hAnsi="华文中宋"/>
          <w:color w:val="000000"/>
          <w:sz w:val="28"/>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1322"/>
        <w:gridCol w:w="3501"/>
        <w:gridCol w:w="879"/>
        <w:gridCol w:w="1319"/>
        <w:gridCol w:w="1855"/>
      </w:tblGrid>
      <w:tr w:rsidR="004B2D74">
        <w:trPr>
          <w:trHeight w:val="20"/>
          <w:jc w:val="center"/>
        </w:trPr>
        <w:tc>
          <w:tcPr>
            <w:tcW w:w="2016" w:type="dxa"/>
            <w:gridSpan w:val="2"/>
            <w:vAlign w:val="center"/>
          </w:tcPr>
          <w:p w:rsidR="004B2D74" w:rsidRDefault="00BA092D">
            <w:pPr>
              <w:pStyle w:val="af"/>
              <w:adjustRightInd w:val="0"/>
              <w:spacing w:line="360" w:lineRule="auto"/>
              <w:ind w:firstLineChars="0" w:firstLine="0"/>
              <w:contextualSpacing/>
              <w:jc w:val="center"/>
              <w:rPr>
                <w:rFonts w:hAnsi="宋体"/>
                <w:szCs w:val="21"/>
              </w:rPr>
            </w:pPr>
            <w:r>
              <w:rPr>
                <w:rFonts w:hAnsi="宋体" w:hint="eastAsia"/>
                <w:szCs w:val="21"/>
              </w:rPr>
              <w:t>标准名称</w:t>
            </w:r>
          </w:p>
        </w:tc>
        <w:tc>
          <w:tcPr>
            <w:tcW w:w="7554" w:type="dxa"/>
            <w:gridSpan w:val="4"/>
            <w:vAlign w:val="center"/>
          </w:tcPr>
          <w:p w:rsidR="004B2D74" w:rsidRDefault="00BA092D">
            <w:pPr>
              <w:pStyle w:val="af"/>
              <w:adjustRightInd w:val="0"/>
              <w:spacing w:line="360" w:lineRule="auto"/>
              <w:ind w:firstLineChars="0" w:firstLine="0"/>
              <w:contextualSpacing/>
              <w:rPr>
                <w:rFonts w:hAnsi="宋体"/>
                <w:szCs w:val="21"/>
              </w:rPr>
            </w:pPr>
            <w:r>
              <w:rPr>
                <w:rFonts w:hAnsi="宋体" w:hint="eastAsia"/>
                <w:szCs w:val="21"/>
              </w:rPr>
              <w:t>针刀治疗胸背肌筋膜</w:t>
            </w:r>
            <w:proofErr w:type="gramStart"/>
            <w:r>
              <w:rPr>
                <w:rFonts w:hAnsi="宋体" w:hint="eastAsia"/>
                <w:szCs w:val="21"/>
              </w:rPr>
              <w:t>炎应用</w:t>
            </w:r>
            <w:proofErr w:type="gramEnd"/>
            <w:r>
              <w:rPr>
                <w:rFonts w:hAnsi="宋体" w:hint="eastAsia"/>
                <w:szCs w:val="21"/>
              </w:rPr>
              <w:t>指南</w:t>
            </w:r>
          </w:p>
        </w:tc>
      </w:tr>
      <w:tr w:rsidR="004B2D74">
        <w:trPr>
          <w:trHeight w:val="20"/>
          <w:jc w:val="center"/>
        </w:trPr>
        <w:tc>
          <w:tcPr>
            <w:tcW w:w="2016" w:type="dxa"/>
            <w:gridSpan w:val="2"/>
            <w:vAlign w:val="center"/>
          </w:tcPr>
          <w:p w:rsidR="004B2D74" w:rsidRDefault="00BA092D">
            <w:pPr>
              <w:pStyle w:val="af"/>
              <w:adjustRightInd w:val="0"/>
              <w:spacing w:line="360" w:lineRule="auto"/>
              <w:ind w:firstLineChars="0" w:firstLine="0"/>
              <w:contextualSpacing/>
              <w:jc w:val="center"/>
              <w:rPr>
                <w:rFonts w:hAnsi="宋体"/>
                <w:szCs w:val="21"/>
              </w:rPr>
            </w:pPr>
            <w:r>
              <w:rPr>
                <w:rFonts w:hAnsi="宋体" w:hint="eastAsia"/>
                <w:szCs w:val="21"/>
              </w:rPr>
              <w:t>任务来源</w:t>
            </w:r>
          </w:p>
          <w:p w:rsidR="004B2D74" w:rsidRDefault="00BA092D">
            <w:pPr>
              <w:pStyle w:val="af"/>
              <w:adjustRightInd w:val="0"/>
              <w:spacing w:line="360" w:lineRule="auto"/>
              <w:ind w:firstLineChars="0" w:firstLine="0"/>
              <w:contextualSpacing/>
              <w:jc w:val="center"/>
              <w:rPr>
                <w:rFonts w:hAnsi="宋体"/>
                <w:szCs w:val="21"/>
              </w:rPr>
            </w:pPr>
            <w:r>
              <w:rPr>
                <w:rFonts w:hAnsi="宋体" w:hint="eastAsia"/>
                <w:szCs w:val="21"/>
              </w:rPr>
              <w:t>（</w:t>
            </w:r>
            <w:r w:rsidR="001C2D5E">
              <w:rPr>
                <w:rFonts w:hAnsi="宋体" w:hint="eastAsia"/>
                <w:szCs w:val="21"/>
              </w:rPr>
              <w:t>2021-2-256</w:t>
            </w:r>
            <w:r>
              <w:rPr>
                <w:rFonts w:hAnsi="宋体" w:hint="eastAsia"/>
                <w:szCs w:val="21"/>
              </w:rPr>
              <w:t>）</w:t>
            </w:r>
          </w:p>
        </w:tc>
        <w:tc>
          <w:tcPr>
            <w:tcW w:w="7554" w:type="dxa"/>
            <w:gridSpan w:val="4"/>
            <w:vAlign w:val="center"/>
          </w:tcPr>
          <w:p w:rsidR="004B2D74" w:rsidRDefault="001C2D5E" w:rsidP="00947E4E">
            <w:pPr>
              <w:pStyle w:val="af"/>
              <w:adjustRightInd w:val="0"/>
              <w:spacing w:line="360" w:lineRule="auto"/>
              <w:ind w:firstLineChars="0" w:firstLine="0"/>
              <w:contextualSpacing/>
              <w:rPr>
                <w:rFonts w:hAnsi="宋体"/>
                <w:szCs w:val="21"/>
              </w:rPr>
            </w:pPr>
            <w:r>
              <w:rPr>
                <w:rFonts w:hAnsi="宋体" w:cs="宋体" w:hint="eastAsia"/>
                <w:szCs w:val="21"/>
              </w:rPr>
              <w:t>安徽省市场监督管理局关于下达《区域性地震安全性评价技术规范》等298项地方标准计划的通知</w:t>
            </w:r>
            <w:r>
              <w:rPr>
                <w:rFonts w:hAnsi="宋体" w:hint="eastAsia"/>
                <w:szCs w:val="21"/>
              </w:rPr>
              <w:t>（</w:t>
            </w:r>
            <w:proofErr w:type="gramStart"/>
            <w:r>
              <w:rPr>
                <w:rFonts w:hAnsi="宋体" w:hint="eastAsia"/>
                <w:szCs w:val="21"/>
              </w:rPr>
              <w:t>皖市监</w:t>
            </w:r>
            <w:proofErr w:type="gramEnd"/>
            <w:r>
              <w:rPr>
                <w:rFonts w:hAnsi="宋体" w:hint="eastAsia"/>
                <w:szCs w:val="21"/>
              </w:rPr>
              <w:t>函〔2021〕357号）文件</w:t>
            </w:r>
          </w:p>
        </w:tc>
      </w:tr>
      <w:tr w:rsidR="004B2D74">
        <w:trPr>
          <w:trHeight w:val="20"/>
          <w:jc w:val="center"/>
        </w:trPr>
        <w:tc>
          <w:tcPr>
            <w:tcW w:w="2016" w:type="dxa"/>
            <w:gridSpan w:val="2"/>
            <w:vAlign w:val="center"/>
          </w:tcPr>
          <w:p w:rsidR="004B2D74" w:rsidRDefault="00BA092D">
            <w:pPr>
              <w:pStyle w:val="af"/>
              <w:adjustRightInd w:val="0"/>
              <w:spacing w:line="360" w:lineRule="auto"/>
              <w:ind w:firstLineChars="0" w:firstLine="0"/>
              <w:contextualSpacing/>
              <w:jc w:val="center"/>
              <w:rPr>
                <w:rFonts w:hAnsi="宋体"/>
                <w:szCs w:val="21"/>
              </w:rPr>
            </w:pPr>
            <w:r>
              <w:rPr>
                <w:rFonts w:hAnsi="宋体" w:hint="eastAsia"/>
                <w:szCs w:val="21"/>
              </w:rPr>
              <w:t>第一起草单位</w:t>
            </w:r>
          </w:p>
          <w:p w:rsidR="004B2D74" w:rsidRDefault="00BA092D">
            <w:pPr>
              <w:pStyle w:val="af"/>
              <w:adjustRightInd w:val="0"/>
              <w:spacing w:line="360" w:lineRule="auto"/>
              <w:ind w:firstLineChars="0" w:firstLine="0"/>
              <w:contextualSpacing/>
              <w:jc w:val="center"/>
              <w:rPr>
                <w:rFonts w:hAnsi="宋体"/>
                <w:szCs w:val="21"/>
              </w:rPr>
            </w:pPr>
            <w:r>
              <w:rPr>
                <w:rFonts w:hAnsi="宋体" w:hint="eastAsia"/>
                <w:szCs w:val="21"/>
              </w:rPr>
              <w:t>（盖章）</w:t>
            </w:r>
          </w:p>
        </w:tc>
        <w:tc>
          <w:tcPr>
            <w:tcW w:w="7554" w:type="dxa"/>
            <w:gridSpan w:val="4"/>
            <w:vAlign w:val="center"/>
          </w:tcPr>
          <w:p w:rsidR="004B2D74" w:rsidRDefault="00BA092D">
            <w:pPr>
              <w:pStyle w:val="af"/>
              <w:adjustRightInd w:val="0"/>
              <w:spacing w:line="360" w:lineRule="auto"/>
              <w:ind w:firstLineChars="0" w:firstLine="0"/>
              <w:contextualSpacing/>
              <w:rPr>
                <w:rFonts w:hAnsi="宋体"/>
                <w:szCs w:val="21"/>
              </w:rPr>
            </w:pPr>
            <w:r>
              <w:rPr>
                <w:rFonts w:hAnsi="宋体" w:hint="eastAsia"/>
                <w:szCs w:val="21"/>
              </w:rPr>
              <w:t>安徽中医药大学第二附属医院</w:t>
            </w:r>
          </w:p>
        </w:tc>
      </w:tr>
      <w:tr w:rsidR="004B2D74">
        <w:trPr>
          <w:trHeight w:val="20"/>
          <w:jc w:val="center"/>
        </w:trPr>
        <w:tc>
          <w:tcPr>
            <w:tcW w:w="2016" w:type="dxa"/>
            <w:gridSpan w:val="2"/>
            <w:vAlign w:val="center"/>
          </w:tcPr>
          <w:p w:rsidR="004B2D74" w:rsidRDefault="00BA092D">
            <w:pPr>
              <w:pStyle w:val="af"/>
              <w:adjustRightInd w:val="0"/>
              <w:spacing w:line="360" w:lineRule="auto"/>
              <w:ind w:firstLineChars="0" w:firstLine="0"/>
              <w:contextualSpacing/>
              <w:jc w:val="center"/>
              <w:rPr>
                <w:rFonts w:hAnsi="宋体"/>
                <w:szCs w:val="21"/>
              </w:rPr>
            </w:pPr>
            <w:r>
              <w:rPr>
                <w:rFonts w:hAnsi="宋体" w:hint="eastAsia"/>
                <w:szCs w:val="21"/>
              </w:rPr>
              <w:t>单位地址</w:t>
            </w:r>
          </w:p>
        </w:tc>
        <w:tc>
          <w:tcPr>
            <w:tcW w:w="7554" w:type="dxa"/>
            <w:gridSpan w:val="4"/>
            <w:vAlign w:val="center"/>
          </w:tcPr>
          <w:p w:rsidR="004B2D74" w:rsidRDefault="004B2D74">
            <w:pPr>
              <w:pStyle w:val="af"/>
              <w:adjustRightInd w:val="0"/>
              <w:spacing w:line="360" w:lineRule="auto"/>
              <w:ind w:firstLineChars="0" w:firstLine="0"/>
              <w:contextualSpacing/>
              <w:rPr>
                <w:rFonts w:hAnsi="宋体"/>
                <w:szCs w:val="21"/>
              </w:rPr>
            </w:pPr>
          </w:p>
        </w:tc>
      </w:tr>
      <w:tr w:rsidR="004B2D74">
        <w:trPr>
          <w:trHeight w:val="20"/>
          <w:jc w:val="center"/>
        </w:trPr>
        <w:tc>
          <w:tcPr>
            <w:tcW w:w="2016" w:type="dxa"/>
            <w:gridSpan w:val="2"/>
            <w:vAlign w:val="center"/>
          </w:tcPr>
          <w:p w:rsidR="004B2D74" w:rsidRDefault="00BA092D">
            <w:pPr>
              <w:pStyle w:val="af"/>
              <w:adjustRightInd w:val="0"/>
              <w:spacing w:line="360" w:lineRule="auto"/>
              <w:ind w:firstLineChars="0" w:firstLine="0"/>
              <w:contextualSpacing/>
              <w:jc w:val="center"/>
              <w:rPr>
                <w:rFonts w:hAnsi="宋体"/>
                <w:szCs w:val="21"/>
              </w:rPr>
            </w:pPr>
            <w:r>
              <w:rPr>
                <w:rFonts w:hAnsi="宋体" w:hint="eastAsia"/>
                <w:szCs w:val="21"/>
              </w:rPr>
              <w:t>参与起草单位</w:t>
            </w:r>
          </w:p>
        </w:tc>
        <w:tc>
          <w:tcPr>
            <w:tcW w:w="7554" w:type="dxa"/>
            <w:gridSpan w:val="4"/>
            <w:vAlign w:val="center"/>
          </w:tcPr>
          <w:p w:rsidR="004B2D74" w:rsidRDefault="004B2D74">
            <w:pPr>
              <w:pStyle w:val="af"/>
              <w:adjustRightInd w:val="0"/>
              <w:spacing w:line="360" w:lineRule="auto"/>
              <w:ind w:firstLineChars="0" w:firstLine="0"/>
              <w:contextualSpacing/>
              <w:rPr>
                <w:rFonts w:hAnsi="宋体"/>
                <w:szCs w:val="21"/>
              </w:rPr>
            </w:pPr>
          </w:p>
        </w:tc>
      </w:tr>
      <w:tr w:rsidR="004B2D74">
        <w:trPr>
          <w:trHeight w:val="20"/>
          <w:jc w:val="center"/>
        </w:trPr>
        <w:tc>
          <w:tcPr>
            <w:tcW w:w="9570" w:type="dxa"/>
            <w:gridSpan w:val="6"/>
            <w:vAlign w:val="center"/>
          </w:tcPr>
          <w:p w:rsidR="004B2D74" w:rsidRDefault="00BA092D">
            <w:pPr>
              <w:pStyle w:val="af"/>
              <w:adjustRightInd w:val="0"/>
              <w:spacing w:line="360" w:lineRule="auto"/>
              <w:ind w:firstLineChars="0" w:firstLine="0"/>
              <w:contextualSpacing/>
              <w:jc w:val="center"/>
              <w:rPr>
                <w:rFonts w:hAnsi="宋体"/>
                <w:szCs w:val="21"/>
              </w:rPr>
            </w:pPr>
            <w:r>
              <w:rPr>
                <w:rFonts w:hAnsi="宋体" w:hint="eastAsia"/>
                <w:szCs w:val="21"/>
              </w:rPr>
              <w:t>标准起草人</w:t>
            </w:r>
          </w:p>
          <w:p w:rsidR="004B2D74" w:rsidRDefault="00BA092D">
            <w:pPr>
              <w:pStyle w:val="af"/>
              <w:adjustRightInd w:val="0"/>
              <w:spacing w:line="360" w:lineRule="auto"/>
              <w:ind w:firstLineChars="0" w:firstLine="0"/>
              <w:contextualSpacing/>
              <w:jc w:val="center"/>
              <w:rPr>
                <w:rFonts w:hAnsi="宋体"/>
                <w:szCs w:val="21"/>
              </w:rPr>
            </w:pPr>
            <w:r>
              <w:rPr>
                <w:rFonts w:hAnsi="宋体" w:hint="eastAsia"/>
                <w:szCs w:val="21"/>
              </w:rPr>
              <w:t>（全部起草人，应与标准文本前言中起草人排序一致）</w:t>
            </w:r>
          </w:p>
        </w:tc>
      </w:tr>
      <w:tr w:rsidR="004B2D74">
        <w:trPr>
          <w:trHeight w:val="20"/>
          <w:jc w:val="center"/>
        </w:trPr>
        <w:tc>
          <w:tcPr>
            <w:tcW w:w="694" w:type="dxa"/>
            <w:vAlign w:val="center"/>
          </w:tcPr>
          <w:p w:rsidR="004B2D74" w:rsidRDefault="00BA092D">
            <w:pPr>
              <w:pStyle w:val="af"/>
              <w:adjustRightInd w:val="0"/>
              <w:spacing w:line="360" w:lineRule="auto"/>
              <w:ind w:firstLineChars="0" w:firstLine="0"/>
              <w:contextualSpacing/>
              <w:jc w:val="center"/>
              <w:rPr>
                <w:rFonts w:hAnsi="宋体"/>
                <w:szCs w:val="21"/>
              </w:rPr>
            </w:pPr>
            <w:r>
              <w:rPr>
                <w:rFonts w:hAnsi="宋体" w:hint="eastAsia"/>
                <w:szCs w:val="21"/>
              </w:rPr>
              <w:t>序号</w:t>
            </w:r>
          </w:p>
        </w:tc>
        <w:tc>
          <w:tcPr>
            <w:tcW w:w="1322" w:type="dxa"/>
            <w:vAlign w:val="center"/>
          </w:tcPr>
          <w:p w:rsidR="004B2D74" w:rsidRDefault="00BA092D">
            <w:pPr>
              <w:pStyle w:val="af"/>
              <w:adjustRightInd w:val="0"/>
              <w:spacing w:line="360" w:lineRule="auto"/>
              <w:ind w:firstLineChars="0" w:firstLine="0"/>
              <w:contextualSpacing/>
              <w:jc w:val="center"/>
              <w:rPr>
                <w:rFonts w:hAnsi="宋体"/>
                <w:szCs w:val="21"/>
              </w:rPr>
            </w:pPr>
            <w:r>
              <w:rPr>
                <w:rFonts w:hAnsi="宋体" w:hint="eastAsia"/>
                <w:szCs w:val="21"/>
              </w:rPr>
              <w:t>姓名</w:t>
            </w:r>
          </w:p>
        </w:tc>
        <w:tc>
          <w:tcPr>
            <w:tcW w:w="3501" w:type="dxa"/>
            <w:vAlign w:val="center"/>
          </w:tcPr>
          <w:p w:rsidR="004B2D74" w:rsidRDefault="00BA092D">
            <w:pPr>
              <w:pStyle w:val="af"/>
              <w:adjustRightInd w:val="0"/>
              <w:spacing w:line="360" w:lineRule="auto"/>
              <w:ind w:firstLineChars="0" w:firstLine="0"/>
              <w:contextualSpacing/>
              <w:jc w:val="center"/>
              <w:rPr>
                <w:rFonts w:hAnsi="宋体"/>
                <w:szCs w:val="21"/>
              </w:rPr>
            </w:pPr>
            <w:r>
              <w:rPr>
                <w:rFonts w:hAnsi="宋体" w:hint="eastAsia"/>
                <w:szCs w:val="21"/>
              </w:rPr>
              <w:t>单位</w:t>
            </w:r>
          </w:p>
        </w:tc>
        <w:tc>
          <w:tcPr>
            <w:tcW w:w="879" w:type="dxa"/>
            <w:vAlign w:val="center"/>
          </w:tcPr>
          <w:p w:rsidR="004B2D74" w:rsidRDefault="00BA092D">
            <w:pPr>
              <w:pStyle w:val="af"/>
              <w:adjustRightInd w:val="0"/>
              <w:spacing w:line="360" w:lineRule="auto"/>
              <w:ind w:firstLineChars="0" w:firstLine="0"/>
              <w:contextualSpacing/>
              <w:jc w:val="center"/>
              <w:rPr>
                <w:rFonts w:hAnsi="宋体"/>
                <w:szCs w:val="21"/>
              </w:rPr>
            </w:pPr>
            <w:r>
              <w:rPr>
                <w:rFonts w:hAnsi="宋体" w:hint="eastAsia"/>
                <w:szCs w:val="21"/>
              </w:rPr>
              <w:t>职务</w:t>
            </w:r>
          </w:p>
        </w:tc>
        <w:tc>
          <w:tcPr>
            <w:tcW w:w="1319" w:type="dxa"/>
            <w:vAlign w:val="center"/>
          </w:tcPr>
          <w:p w:rsidR="004B2D74" w:rsidRDefault="00BA092D">
            <w:pPr>
              <w:pStyle w:val="af"/>
              <w:adjustRightInd w:val="0"/>
              <w:spacing w:line="360" w:lineRule="auto"/>
              <w:ind w:firstLineChars="0" w:firstLine="0"/>
              <w:contextualSpacing/>
              <w:jc w:val="center"/>
              <w:rPr>
                <w:rFonts w:hAnsi="宋体"/>
                <w:szCs w:val="21"/>
              </w:rPr>
            </w:pPr>
            <w:r>
              <w:rPr>
                <w:rFonts w:hAnsi="宋体" w:hint="eastAsia"/>
                <w:szCs w:val="21"/>
              </w:rPr>
              <w:t>职称</w:t>
            </w:r>
          </w:p>
        </w:tc>
        <w:tc>
          <w:tcPr>
            <w:tcW w:w="1855" w:type="dxa"/>
            <w:vAlign w:val="center"/>
          </w:tcPr>
          <w:p w:rsidR="004B2D74" w:rsidRDefault="00BA092D">
            <w:pPr>
              <w:pStyle w:val="af"/>
              <w:adjustRightInd w:val="0"/>
              <w:spacing w:line="360" w:lineRule="auto"/>
              <w:ind w:firstLineChars="0" w:firstLine="0"/>
              <w:contextualSpacing/>
              <w:jc w:val="center"/>
              <w:rPr>
                <w:rFonts w:hAnsi="宋体"/>
                <w:szCs w:val="21"/>
              </w:rPr>
            </w:pPr>
            <w:r>
              <w:rPr>
                <w:rFonts w:hAnsi="宋体" w:hint="eastAsia"/>
                <w:szCs w:val="21"/>
              </w:rPr>
              <w:t>电话</w:t>
            </w:r>
          </w:p>
        </w:tc>
      </w:tr>
      <w:tr w:rsidR="004B2D74">
        <w:trPr>
          <w:trHeight w:val="20"/>
          <w:jc w:val="center"/>
        </w:trPr>
        <w:tc>
          <w:tcPr>
            <w:tcW w:w="694" w:type="dxa"/>
            <w:vAlign w:val="center"/>
          </w:tcPr>
          <w:p w:rsidR="004B2D74" w:rsidRDefault="004B2D74">
            <w:pPr>
              <w:pStyle w:val="af"/>
              <w:adjustRightInd w:val="0"/>
              <w:spacing w:line="360" w:lineRule="auto"/>
              <w:ind w:firstLineChars="0" w:firstLine="0"/>
              <w:contextualSpacing/>
              <w:rPr>
                <w:rFonts w:hAnsi="宋体"/>
                <w:szCs w:val="21"/>
              </w:rPr>
            </w:pPr>
          </w:p>
        </w:tc>
        <w:tc>
          <w:tcPr>
            <w:tcW w:w="1322" w:type="dxa"/>
            <w:vAlign w:val="center"/>
          </w:tcPr>
          <w:p w:rsidR="004B2D74" w:rsidRDefault="004B2D74">
            <w:pPr>
              <w:pStyle w:val="af"/>
              <w:adjustRightInd w:val="0"/>
              <w:spacing w:line="360" w:lineRule="auto"/>
              <w:ind w:firstLineChars="0" w:firstLine="0"/>
              <w:contextualSpacing/>
              <w:rPr>
                <w:rFonts w:hAnsi="宋体"/>
                <w:szCs w:val="21"/>
              </w:rPr>
            </w:pPr>
          </w:p>
        </w:tc>
        <w:tc>
          <w:tcPr>
            <w:tcW w:w="3501" w:type="dxa"/>
            <w:vAlign w:val="center"/>
          </w:tcPr>
          <w:p w:rsidR="004B2D74" w:rsidRDefault="004B2D74">
            <w:pPr>
              <w:pStyle w:val="af"/>
              <w:adjustRightInd w:val="0"/>
              <w:spacing w:line="360" w:lineRule="auto"/>
              <w:ind w:firstLineChars="0" w:firstLine="0"/>
              <w:contextualSpacing/>
              <w:rPr>
                <w:rFonts w:hAnsi="宋体"/>
                <w:szCs w:val="21"/>
              </w:rPr>
            </w:pPr>
          </w:p>
        </w:tc>
        <w:tc>
          <w:tcPr>
            <w:tcW w:w="879" w:type="dxa"/>
            <w:vAlign w:val="center"/>
          </w:tcPr>
          <w:p w:rsidR="004B2D74" w:rsidRDefault="004B2D74">
            <w:pPr>
              <w:pStyle w:val="af"/>
              <w:adjustRightInd w:val="0"/>
              <w:spacing w:line="360" w:lineRule="auto"/>
              <w:ind w:firstLineChars="0" w:firstLine="0"/>
              <w:contextualSpacing/>
              <w:rPr>
                <w:rFonts w:hAnsi="宋体"/>
                <w:szCs w:val="21"/>
              </w:rPr>
            </w:pPr>
          </w:p>
        </w:tc>
        <w:tc>
          <w:tcPr>
            <w:tcW w:w="1319" w:type="dxa"/>
            <w:vAlign w:val="center"/>
          </w:tcPr>
          <w:p w:rsidR="004B2D74" w:rsidRDefault="004B2D74">
            <w:pPr>
              <w:pStyle w:val="af"/>
              <w:adjustRightInd w:val="0"/>
              <w:spacing w:line="360" w:lineRule="auto"/>
              <w:ind w:firstLineChars="0" w:firstLine="0"/>
              <w:contextualSpacing/>
              <w:rPr>
                <w:rFonts w:hAnsi="宋体"/>
                <w:szCs w:val="21"/>
              </w:rPr>
            </w:pPr>
          </w:p>
        </w:tc>
        <w:tc>
          <w:tcPr>
            <w:tcW w:w="1855" w:type="dxa"/>
            <w:vAlign w:val="center"/>
          </w:tcPr>
          <w:p w:rsidR="004B2D74" w:rsidRDefault="004B2D74">
            <w:pPr>
              <w:pStyle w:val="af"/>
              <w:adjustRightInd w:val="0"/>
              <w:spacing w:line="360" w:lineRule="auto"/>
              <w:ind w:firstLineChars="0" w:firstLine="0"/>
              <w:contextualSpacing/>
              <w:rPr>
                <w:rFonts w:hAnsi="宋体"/>
                <w:szCs w:val="21"/>
              </w:rPr>
            </w:pPr>
          </w:p>
        </w:tc>
      </w:tr>
      <w:tr w:rsidR="004B2D74">
        <w:trPr>
          <w:trHeight w:val="20"/>
          <w:jc w:val="center"/>
        </w:trPr>
        <w:tc>
          <w:tcPr>
            <w:tcW w:w="694" w:type="dxa"/>
            <w:vAlign w:val="center"/>
          </w:tcPr>
          <w:p w:rsidR="004B2D74" w:rsidRDefault="004B2D74">
            <w:pPr>
              <w:pStyle w:val="af"/>
              <w:adjustRightInd w:val="0"/>
              <w:spacing w:line="360" w:lineRule="auto"/>
              <w:ind w:firstLineChars="0" w:firstLine="0"/>
              <w:contextualSpacing/>
              <w:rPr>
                <w:rFonts w:hAnsi="宋体"/>
                <w:szCs w:val="21"/>
              </w:rPr>
            </w:pPr>
          </w:p>
        </w:tc>
        <w:tc>
          <w:tcPr>
            <w:tcW w:w="1322" w:type="dxa"/>
            <w:vAlign w:val="center"/>
          </w:tcPr>
          <w:p w:rsidR="004B2D74" w:rsidRDefault="004B2D74">
            <w:pPr>
              <w:pStyle w:val="af"/>
              <w:adjustRightInd w:val="0"/>
              <w:spacing w:line="360" w:lineRule="auto"/>
              <w:ind w:firstLineChars="0" w:firstLine="0"/>
              <w:contextualSpacing/>
              <w:rPr>
                <w:rFonts w:hAnsi="宋体"/>
                <w:szCs w:val="21"/>
              </w:rPr>
            </w:pPr>
          </w:p>
        </w:tc>
        <w:tc>
          <w:tcPr>
            <w:tcW w:w="3501" w:type="dxa"/>
            <w:vAlign w:val="center"/>
          </w:tcPr>
          <w:p w:rsidR="004B2D74" w:rsidRDefault="004B2D74">
            <w:pPr>
              <w:pStyle w:val="af"/>
              <w:adjustRightInd w:val="0"/>
              <w:spacing w:line="360" w:lineRule="auto"/>
              <w:ind w:firstLineChars="0" w:firstLine="0"/>
              <w:contextualSpacing/>
              <w:rPr>
                <w:rFonts w:hAnsi="宋体"/>
                <w:szCs w:val="21"/>
              </w:rPr>
            </w:pPr>
          </w:p>
        </w:tc>
        <w:tc>
          <w:tcPr>
            <w:tcW w:w="879" w:type="dxa"/>
            <w:vAlign w:val="center"/>
          </w:tcPr>
          <w:p w:rsidR="004B2D74" w:rsidRDefault="004B2D74">
            <w:pPr>
              <w:pStyle w:val="af"/>
              <w:adjustRightInd w:val="0"/>
              <w:spacing w:line="360" w:lineRule="auto"/>
              <w:ind w:firstLineChars="0" w:firstLine="0"/>
              <w:contextualSpacing/>
              <w:rPr>
                <w:rFonts w:hAnsi="宋体"/>
                <w:szCs w:val="21"/>
              </w:rPr>
            </w:pPr>
          </w:p>
        </w:tc>
        <w:tc>
          <w:tcPr>
            <w:tcW w:w="1319" w:type="dxa"/>
            <w:vAlign w:val="center"/>
          </w:tcPr>
          <w:p w:rsidR="004B2D74" w:rsidRDefault="004B2D74">
            <w:pPr>
              <w:pStyle w:val="af"/>
              <w:adjustRightInd w:val="0"/>
              <w:spacing w:line="360" w:lineRule="auto"/>
              <w:ind w:firstLineChars="0" w:firstLine="0"/>
              <w:contextualSpacing/>
              <w:rPr>
                <w:rFonts w:hAnsi="宋体"/>
                <w:szCs w:val="21"/>
              </w:rPr>
            </w:pPr>
          </w:p>
        </w:tc>
        <w:tc>
          <w:tcPr>
            <w:tcW w:w="1855" w:type="dxa"/>
            <w:vAlign w:val="center"/>
          </w:tcPr>
          <w:p w:rsidR="004B2D74" w:rsidRDefault="004B2D74">
            <w:pPr>
              <w:pStyle w:val="af"/>
              <w:adjustRightInd w:val="0"/>
              <w:spacing w:line="360" w:lineRule="auto"/>
              <w:ind w:firstLineChars="0" w:firstLine="0"/>
              <w:contextualSpacing/>
              <w:rPr>
                <w:rFonts w:hAnsi="宋体"/>
                <w:szCs w:val="21"/>
              </w:rPr>
            </w:pPr>
          </w:p>
        </w:tc>
      </w:tr>
      <w:tr w:rsidR="004B2D74">
        <w:trPr>
          <w:trHeight w:val="20"/>
          <w:jc w:val="center"/>
        </w:trPr>
        <w:tc>
          <w:tcPr>
            <w:tcW w:w="694" w:type="dxa"/>
            <w:vAlign w:val="center"/>
          </w:tcPr>
          <w:p w:rsidR="004B2D74" w:rsidRDefault="004B2D74">
            <w:pPr>
              <w:pStyle w:val="af"/>
              <w:adjustRightInd w:val="0"/>
              <w:spacing w:line="360" w:lineRule="auto"/>
              <w:ind w:firstLineChars="0" w:firstLine="0"/>
              <w:contextualSpacing/>
              <w:rPr>
                <w:rFonts w:hAnsi="宋体"/>
                <w:szCs w:val="21"/>
              </w:rPr>
            </w:pPr>
          </w:p>
        </w:tc>
        <w:tc>
          <w:tcPr>
            <w:tcW w:w="1322" w:type="dxa"/>
            <w:vAlign w:val="center"/>
          </w:tcPr>
          <w:p w:rsidR="004B2D74" w:rsidRDefault="004B2D74">
            <w:pPr>
              <w:pStyle w:val="af"/>
              <w:adjustRightInd w:val="0"/>
              <w:spacing w:line="360" w:lineRule="auto"/>
              <w:ind w:firstLineChars="0" w:firstLine="0"/>
              <w:contextualSpacing/>
              <w:rPr>
                <w:rFonts w:hAnsi="宋体"/>
                <w:szCs w:val="21"/>
              </w:rPr>
            </w:pPr>
          </w:p>
        </w:tc>
        <w:tc>
          <w:tcPr>
            <w:tcW w:w="3501" w:type="dxa"/>
            <w:vAlign w:val="center"/>
          </w:tcPr>
          <w:p w:rsidR="004B2D74" w:rsidRDefault="004B2D74">
            <w:pPr>
              <w:pStyle w:val="af"/>
              <w:adjustRightInd w:val="0"/>
              <w:spacing w:line="360" w:lineRule="auto"/>
              <w:ind w:firstLineChars="0" w:firstLine="0"/>
              <w:contextualSpacing/>
              <w:rPr>
                <w:rFonts w:hAnsi="宋体"/>
                <w:szCs w:val="21"/>
              </w:rPr>
            </w:pPr>
          </w:p>
        </w:tc>
        <w:tc>
          <w:tcPr>
            <w:tcW w:w="879" w:type="dxa"/>
            <w:vAlign w:val="center"/>
          </w:tcPr>
          <w:p w:rsidR="004B2D74" w:rsidRDefault="004B2D74">
            <w:pPr>
              <w:pStyle w:val="af"/>
              <w:adjustRightInd w:val="0"/>
              <w:spacing w:line="360" w:lineRule="auto"/>
              <w:ind w:firstLineChars="0" w:firstLine="0"/>
              <w:contextualSpacing/>
              <w:rPr>
                <w:rFonts w:hAnsi="宋体"/>
                <w:szCs w:val="21"/>
              </w:rPr>
            </w:pPr>
          </w:p>
        </w:tc>
        <w:tc>
          <w:tcPr>
            <w:tcW w:w="1319" w:type="dxa"/>
            <w:vAlign w:val="center"/>
          </w:tcPr>
          <w:p w:rsidR="004B2D74" w:rsidRDefault="004B2D74">
            <w:pPr>
              <w:pStyle w:val="af"/>
              <w:adjustRightInd w:val="0"/>
              <w:spacing w:line="360" w:lineRule="auto"/>
              <w:ind w:firstLineChars="0" w:firstLine="0"/>
              <w:contextualSpacing/>
              <w:rPr>
                <w:rFonts w:hAnsi="宋体"/>
                <w:szCs w:val="21"/>
              </w:rPr>
            </w:pPr>
          </w:p>
        </w:tc>
        <w:tc>
          <w:tcPr>
            <w:tcW w:w="1855" w:type="dxa"/>
            <w:vAlign w:val="center"/>
          </w:tcPr>
          <w:p w:rsidR="004B2D74" w:rsidRDefault="004B2D74">
            <w:pPr>
              <w:pStyle w:val="af"/>
              <w:adjustRightInd w:val="0"/>
              <w:spacing w:line="360" w:lineRule="auto"/>
              <w:ind w:firstLineChars="0" w:firstLine="0"/>
              <w:contextualSpacing/>
              <w:rPr>
                <w:rFonts w:hAnsi="宋体"/>
                <w:szCs w:val="21"/>
              </w:rPr>
            </w:pPr>
          </w:p>
        </w:tc>
      </w:tr>
      <w:tr w:rsidR="004B2D74">
        <w:trPr>
          <w:trHeight w:val="20"/>
          <w:jc w:val="center"/>
        </w:trPr>
        <w:tc>
          <w:tcPr>
            <w:tcW w:w="9570" w:type="dxa"/>
            <w:gridSpan w:val="6"/>
            <w:vAlign w:val="center"/>
          </w:tcPr>
          <w:p w:rsidR="004B2D74" w:rsidRDefault="00BA092D">
            <w:pPr>
              <w:pStyle w:val="af"/>
              <w:adjustRightInd w:val="0"/>
              <w:spacing w:line="360" w:lineRule="auto"/>
              <w:ind w:firstLineChars="0" w:firstLine="0"/>
              <w:contextualSpacing/>
              <w:jc w:val="center"/>
              <w:rPr>
                <w:rFonts w:hAnsi="宋体"/>
                <w:szCs w:val="21"/>
              </w:rPr>
            </w:pPr>
            <w:r>
              <w:rPr>
                <w:rFonts w:hAnsi="宋体" w:hint="eastAsia"/>
                <w:szCs w:val="21"/>
              </w:rPr>
              <w:t>编制情况</w:t>
            </w:r>
          </w:p>
        </w:tc>
      </w:tr>
      <w:tr w:rsidR="004B2D74">
        <w:trPr>
          <w:trHeight w:val="20"/>
          <w:jc w:val="center"/>
        </w:trPr>
        <w:tc>
          <w:tcPr>
            <w:tcW w:w="9570" w:type="dxa"/>
            <w:gridSpan w:val="6"/>
            <w:vAlign w:val="center"/>
          </w:tcPr>
          <w:p w:rsidR="004B2D74" w:rsidRDefault="00BA092D">
            <w:pPr>
              <w:pStyle w:val="af"/>
              <w:adjustRightInd w:val="0"/>
              <w:spacing w:line="360" w:lineRule="auto"/>
              <w:ind w:firstLineChars="0" w:firstLine="0"/>
              <w:contextualSpacing/>
              <w:rPr>
                <w:rFonts w:hAnsi="宋体"/>
                <w:szCs w:val="21"/>
              </w:rPr>
            </w:pPr>
            <w:r>
              <w:rPr>
                <w:rFonts w:hAnsi="宋体" w:hint="eastAsia"/>
                <w:szCs w:val="21"/>
              </w:rPr>
              <w:t>1、编制过程简介</w:t>
            </w:r>
          </w:p>
        </w:tc>
      </w:tr>
      <w:tr w:rsidR="004B2D74">
        <w:trPr>
          <w:trHeight w:val="20"/>
          <w:jc w:val="center"/>
        </w:trPr>
        <w:tc>
          <w:tcPr>
            <w:tcW w:w="9570" w:type="dxa"/>
            <w:gridSpan w:val="6"/>
            <w:vAlign w:val="center"/>
          </w:tcPr>
          <w:p w:rsidR="004B2D74" w:rsidRDefault="00BA092D">
            <w:pPr>
              <w:pStyle w:val="af"/>
              <w:adjustRightInd w:val="0"/>
              <w:spacing w:line="360" w:lineRule="auto"/>
              <w:contextualSpacing/>
              <w:rPr>
                <w:rFonts w:hAnsi="宋体"/>
                <w:szCs w:val="21"/>
              </w:rPr>
            </w:pPr>
            <w:r>
              <w:rPr>
                <w:rFonts w:hAnsi="宋体" w:hint="eastAsia"/>
                <w:szCs w:val="21"/>
              </w:rPr>
              <w:t>我院为安徽中医药大学第二附属医院，创建于1985年，是全国最早成立和规模最大的省级针灸专科医院，2005年在全国率先获得三级甲等中医专科医院。是国家中医药管理局“中医药国际合作基地”、世界针灸学会联合会“临床基地”、国家中医药管理局“中医药标准化研究推广基地”和中国针灸学会“针灸标准化研究示范基地”。我</w:t>
            </w:r>
            <w:proofErr w:type="gramStart"/>
            <w:r>
              <w:rPr>
                <w:rFonts w:hAnsi="宋体" w:hint="eastAsia"/>
                <w:szCs w:val="21"/>
              </w:rPr>
              <w:t>科拥有</w:t>
            </w:r>
            <w:proofErr w:type="gramEnd"/>
            <w:r>
              <w:rPr>
                <w:rFonts w:hAnsi="宋体" w:hint="eastAsia"/>
                <w:szCs w:val="21"/>
              </w:rPr>
              <w:t>一支高学历结构，实干有为的医师和恪尽职守、技</w:t>
            </w:r>
            <w:proofErr w:type="gramStart"/>
            <w:r>
              <w:rPr>
                <w:rFonts w:hAnsi="宋体" w:hint="eastAsia"/>
                <w:szCs w:val="21"/>
              </w:rPr>
              <w:t>精业勤的</w:t>
            </w:r>
            <w:proofErr w:type="gramEnd"/>
            <w:r>
              <w:rPr>
                <w:rFonts w:hAnsi="宋体" w:hint="eastAsia"/>
                <w:szCs w:val="21"/>
              </w:rPr>
              <w:t>医护队伍。其中有高级职称医护人员5名，中级职称4名，硕士5名。科主任朱俊琛，江淮名医、安徽省名中医、主任医师、教授、博士研究生导师，安徽省针</w:t>
            </w:r>
            <w:proofErr w:type="gramStart"/>
            <w:r>
              <w:rPr>
                <w:rFonts w:hAnsi="宋体" w:hint="eastAsia"/>
                <w:szCs w:val="21"/>
              </w:rPr>
              <w:t>刀专业</w:t>
            </w:r>
            <w:proofErr w:type="gramEnd"/>
            <w:r>
              <w:rPr>
                <w:rFonts w:hAnsi="宋体" w:hint="eastAsia"/>
                <w:szCs w:val="21"/>
              </w:rPr>
              <w:t>委员会副主任委员、安徽省中医药学会骨伤专业委员会副主任委员。在临床方面，我科在治疗胸背肌筋膜</w:t>
            </w:r>
            <w:proofErr w:type="gramStart"/>
            <w:r>
              <w:rPr>
                <w:rFonts w:hAnsi="宋体" w:hint="eastAsia"/>
                <w:szCs w:val="21"/>
              </w:rPr>
              <w:t>炎方面</w:t>
            </w:r>
            <w:proofErr w:type="gramEnd"/>
            <w:r>
              <w:rPr>
                <w:rFonts w:hAnsi="宋体" w:hint="eastAsia"/>
                <w:szCs w:val="21"/>
              </w:rPr>
              <w:t>有着扎实的临床基础，采用针刀疗法治愈数百例胸背肌筋膜炎患者；在科研上，我科曾主持修订过中华中医药学会中医临床诊疗指南的修订工作，由我科团队负责修订的《中医整脊科临床诊疗指南 胸背肌筋膜炎》（编号SATCM-2015-BZ〔102〕）于2020年1月由中华中医药学会整脊分会发布，近5年间，发表胸背肌筋膜</w:t>
            </w:r>
            <w:proofErr w:type="gramStart"/>
            <w:r>
              <w:rPr>
                <w:rFonts w:hAnsi="宋体" w:hint="eastAsia"/>
                <w:szCs w:val="21"/>
              </w:rPr>
              <w:t>炎研究</w:t>
            </w:r>
            <w:proofErr w:type="gramEnd"/>
            <w:r>
              <w:rPr>
                <w:rFonts w:hAnsi="宋体" w:hint="eastAsia"/>
                <w:szCs w:val="21"/>
              </w:rPr>
              <w:t>论文3篇，以上表明在针刀治疗胸背肌筋膜炎方面，我科团队具备了制定标准的前期研究基础，基于此，标准编制小组选择了</w:t>
            </w:r>
            <w:r>
              <w:rPr>
                <w:rFonts w:hAnsi="宋体" w:hint="eastAsia"/>
                <w:szCs w:val="21"/>
              </w:rPr>
              <w:lastRenderedPageBreak/>
              <w:t>“针刀治疗胸背肌筋膜炎应用指南”为方向，以期对针刀治疗胸背肌筋膜炎的技术要求提出进一步的规范并形成标准，并提交了任务书和汇总表。按安徽省市场监督管理局统一安排，标准编制小组在2021年7月6日采用线上视频答辩的方式参加地方标准立项评估会并获得通过，2021年</w:t>
            </w:r>
            <w:r w:rsidR="00FF65CC">
              <w:rPr>
                <w:rFonts w:hAnsi="宋体" w:hint="eastAsia"/>
                <w:szCs w:val="21"/>
              </w:rPr>
              <w:t>9</w:t>
            </w:r>
            <w:r>
              <w:rPr>
                <w:rFonts w:hAnsi="宋体" w:hint="eastAsia"/>
                <w:szCs w:val="21"/>
              </w:rPr>
              <w:t>月接收安徽省市场监督管理局关于下达《区域性地震安全性评价技术规范》等 298 项地方标准计划的通知（皖市监函〔2021〕357 号）后，《针刀治疗胸背肌筋膜炎应用指南》项目计划号（2021-2-227）正式启动。</w:t>
            </w:r>
          </w:p>
          <w:p w:rsidR="004B2D74" w:rsidRDefault="00BA092D">
            <w:pPr>
              <w:spacing w:line="360" w:lineRule="auto"/>
              <w:ind w:firstLineChars="200" w:firstLine="420"/>
              <w:jc w:val="left"/>
              <w:rPr>
                <w:rFonts w:hAnsi="宋体"/>
              </w:rPr>
            </w:pPr>
            <w:r>
              <w:rPr>
                <w:rFonts w:hAnsi="宋体" w:hint="eastAsia"/>
              </w:rPr>
              <w:t>（</w:t>
            </w:r>
            <w:r>
              <w:rPr>
                <w:rFonts w:hAnsi="宋体" w:hint="eastAsia"/>
              </w:rPr>
              <w:t>1</w:t>
            </w:r>
            <w:r>
              <w:rPr>
                <w:rFonts w:hAnsi="宋体" w:hint="eastAsia"/>
              </w:rPr>
              <w:t>）</w:t>
            </w:r>
            <w:r>
              <w:rPr>
                <w:rFonts w:ascii="宋体" w:hAnsi="宋体" w:cs="宋体" w:hint="eastAsia"/>
              </w:rPr>
              <w:t>资料搜集：</w:t>
            </w:r>
            <w:r>
              <w:rPr>
                <w:rFonts w:hAnsi="宋体" w:hint="eastAsia"/>
              </w:rPr>
              <w:t>按照</w:t>
            </w:r>
            <w:r>
              <w:rPr>
                <w:rFonts w:hAnsi="宋体" w:hint="eastAsia"/>
              </w:rPr>
              <w:t>GB/T 1.1</w:t>
            </w:r>
            <w:r>
              <w:rPr>
                <w:rFonts w:hAnsi="宋体" w:hint="eastAsia"/>
              </w:rPr>
              <w:t>—</w:t>
            </w:r>
            <w:r>
              <w:rPr>
                <w:rFonts w:hAnsi="宋体" w:hint="eastAsia"/>
              </w:rPr>
              <w:t>2020</w:t>
            </w:r>
            <w:r>
              <w:rPr>
                <w:rFonts w:hAnsi="宋体" w:hint="eastAsia"/>
              </w:rPr>
              <w:t>《标准化工作导则</w:t>
            </w:r>
            <w:r>
              <w:rPr>
                <w:rFonts w:hAnsi="宋体" w:hint="eastAsia"/>
              </w:rPr>
              <w:t xml:space="preserve"> </w:t>
            </w:r>
            <w:r>
              <w:rPr>
                <w:rFonts w:hAnsi="宋体" w:hint="eastAsia"/>
              </w:rPr>
              <w:t>第</w:t>
            </w:r>
            <w:r>
              <w:rPr>
                <w:rFonts w:hAnsi="宋体" w:hint="eastAsia"/>
              </w:rPr>
              <w:t>1</w:t>
            </w:r>
            <w:r>
              <w:rPr>
                <w:rFonts w:hAnsi="宋体" w:hint="eastAsia"/>
              </w:rPr>
              <w:t>部分：标准化文件的结构和起草规则》的规定，以《针刀基本技术操作规范》（</w:t>
            </w:r>
            <w:r>
              <w:rPr>
                <w:rFonts w:hAnsi="宋体" w:hint="eastAsia"/>
              </w:rPr>
              <w:t>ZJ/TD001-2014</w:t>
            </w:r>
            <w:r>
              <w:rPr>
                <w:rFonts w:hAnsi="宋体" w:hint="eastAsia"/>
              </w:rPr>
              <w:t>），《中医整脊科临床诊疗指南</w:t>
            </w:r>
            <w:r>
              <w:rPr>
                <w:rFonts w:hAnsi="宋体" w:hint="eastAsia"/>
              </w:rPr>
              <w:t xml:space="preserve"> </w:t>
            </w:r>
            <w:r>
              <w:rPr>
                <w:rFonts w:hAnsi="宋体" w:hint="eastAsia"/>
              </w:rPr>
              <w:t>胸背肌筋膜炎》（</w:t>
            </w:r>
            <w:r>
              <w:rPr>
                <w:rFonts w:hAnsi="宋体" w:hint="eastAsia"/>
              </w:rPr>
              <w:t>SATCM-2015-BZ</w:t>
            </w:r>
            <w:r>
              <w:rPr>
                <w:rFonts w:hAnsi="宋体" w:hint="eastAsia"/>
              </w:rPr>
              <w:t>〔</w:t>
            </w:r>
            <w:r>
              <w:rPr>
                <w:rFonts w:hAnsi="宋体" w:hint="eastAsia"/>
              </w:rPr>
              <w:t>102</w:t>
            </w:r>
            <w:r>
              <w:rPr>
                <w:rFonts w:hAnsi="宋体" w:hint="eastAsia"/>
              </w:rPr>
              <w:t>〕）等标准为依据，通过检索现代文献及国内外相关医学核心期刊及相关医学论文中针刀治疗胸背肌筋膜炎的报道，并严格评价其治疗和疗效的文献资料。</w:t>
            </w:r>
          </w:p>
          <w:p w:rsidR="004B2D74" w:rsidRDefault="00BA092D">
            <w:pPr>
              <w:spacing w:line="360" w:lineRule="auto"/>
              <w:ind w:firstLineChars="200" w:firstLine="420"/>
              <w:rPr>
                <w:rFonts w:ascii="宋体" w:hAnsi="宋体" w:cs="宋体"/>
              </w:rPr>
            </w:pPr>
            <w:r>
              <w:rPr>
                <w:rFonts w:hAnsi="宋体" w:hint="eastAsia"/>
              </w:rPr>
              <w:t>（</w:t>
            </w:r>
            <w:r>
              <w:rPr>
                <w:rFonts w:hAnsi="宋体" w:hint="eastAsia"/>
              </w:rPr>
              <w:t>2</w:t>
            </w:r>
            <w:r>
              <w:rPr>
                <w:rFonts w:hAnsi="宋体" w:hint="eastAsia"/>
              </w:rPr>
              <w:t>）</w:t>
            </w:r>
            <w:r>
              <w:rPr>
                <w:rFonts w:ascii="宋体" w:hAnsi="宋体" w:cs="宋体" w:hint="eastAsia"/>
              </w:rPr>
              <w:t>标准初稿形成：</w:t>
            </w:r>
            <w:r>
              <w:rPr>
                <w:rFonts w:hAnsi="宋体" w:hint="eastAsia"/>
              </w:rPr>
              <w:t>结合收集的资料数据，</w:t>
            </w:r>
            <w:r>
              <w:rPr>
                <w:rFonts w:ascii="宋体" w:hAnsi="宋体" w:cs="宋体" w:hint="eastAsia"/>
              </w:rPr>
              <w:t>由项目起草组人员在搜集上述资料的基础上，</w:t>
            </w:r>
            <w:r>
              <w:rPr>
                <w:rFonts w:hAnsi="宋体" w:hint="eastAsia"/>
              </w:rPr>
              <w:t>结合团队前期临床试验验证结果，对“针刀治疗胸背肌筋膜炎应用指南”的“术语和定义、症状、体征、特殊检查、针刀相关解剖、诊断要点、鉴别诊断、中医辨证、针刀操作、疗程、禁忌症、注意事项及附录”形成草稿，</w:t>
            </w:r>
            <w:r>
              <w:rPr>
                <w:rFonts w:ascii="宋体" w:hAnsi="宋体" w:cs="宋体" w:hint="eastAsia"/>
              </w:rPr>
              <w:t>形成了标准初稿。</w:t>
            </w:r>
            <w:r>
              <w:rPr>
                <w:rFonts w:hAnsi="宋体" w:hint="eastAsia"/>
              </w:rPr>
              <w:t>并拟征求行业专家意见进一步完善。</w:t>
            </w:r>
          </w:p>
          <w:p w:rsidR="004B2D74" w:rsidRDefault="00BA092D" w:rsidP="001C2D5E">
            <w:pPr>
              <w:pStyle w:val="af"/>
              <w:adjustRightInd w:val="0"/>
              <w:spacing w:line="360" w:lineRule="auto"/>
              <w:contextualSpacing/>
              <w:rPr>
                <w:rFonts w:hAnsi="宋体"/>
                <w:szCs w:val="21"/>
              </w:rPr>
            </w:pPr>
            <w:r>
              <w:rPr>
                <w:rFonts w:hAnsi="宋体" w:hint="eastAsia"/>
                <w:color w:val="000000" w:themeColor="text1"/>
                <w:szCs w:val="21"/>
              </w:rPr>
              <w:t>(3)征求意见稿：自2022年4月，</w:t>
            </w:r>
            <w:r w:rsidR="001C2D5E">
              <w:rPr>
                <w:rFonts w:hAnsi="宋体" w:hint="eastAsia"/>
                <w:color w:val="000000" w:themeColor="text1"/>
                <w:szCs w:val="21"/>
              </w:rPr>
              <w:t>由工作组牵头负责，通过视频会议、电话、邮件等方式公开征求意见，</w:t>
            </w:r>
            <w:r>
              <w:rPr>
                <w:rFonts w:hAnsi="宋体" w:hint="eastAsia"/>
                <w:color w:val="000000" w:themeColor="text1"/>
                <w:szCs w:val="21"/>
              </w:rPr>
              <w:t>向</w:t>
            </w:r>
            <w:r w:rsidR="001C2D5E">
              <w:rPr>
                <w:rFonts w:hAnsi="宋体" w:hint="eastAsia"/>
                <w:color w:val="000000" w:themeColor="text1"/>
                <w:szCs w:val="21"/>
              </w:rPr>
              <w:t>多家医院或</w:t>
            </w:r>
            <w:r>
              <w:rPr>
                <w:rFonts w:hAnsi="宋体" w:hint="eastAsia"/>
                <w:color w:val="000000" w:themeColor="text1"/>
                <w:szCs w:val="21"/>
              </w:rPr>
              <w:t>专家发函征求意见，并根据意见</w:t>
            </w:r>
            <w:r>
              <w:rPr>
                <w:rFonts w:hAnsi="宋体" w:cs="宋体" w:hint="eastAsia"/>
                <w:color w:val="000000" w:themeColor="text1"/>
                <w:szCs w:val="21"/>
              </w:rPr>
              <w:t>形成了《</w:t>
            </w:r>
            <w:r>
              <w:rPr>
                <w:rFonts w:hAnsi="宋体" w:hint="eastAsia"/>
                <w:color w:val="000000" w:themeColor="text1"/>
                <w:szCs w:val="21"/>
              </w:rPr>
              <w:t>针刀治疗胸背肌筋膜炎应用指南</w:t>
            </w:r>
            <w:r>
              <w:rPr>
                <w:rFonts w:hAnsi="宋体" w:cs="宋体" w:hint="eastAsia"/>
                <w:color w:val="000000" w:themeColor="text1"/>
                <w:szCs w:val="21"/>
              </w:rPr>
              <w:t>》的征求意见稿。</w:t>
            </w:r>
          </w:p>
        </w:tc>
      </w:tr>
      <w:tr w:rsidR="004B2D74">
        <w:trPr>
          <w:trHeight w:val="20"/>
          <w:jc w:val="center"/>
        </w:trPr>
        <w:tc>
          <w:tcPr>
            <w:tcW w:w="9570" w:type="dxa"/>
            <w:gridSpan w:val="6"/>
            <w:vAlign w:val="center"/>
          </w:tcPr>
          <w:p w:rsidR="004B2D74" w:rsidRDefault="00BA092D">
            <w:pPr>
              <w:pStyle w:val="af"/>
              <w:adjustRightInd w:val="0"/>
              <w:spacing w:line="360" w:lineRule="auto"/>
              <w:ind w:firstLineChars="0" w:firstLine="0"/>
              <w:contextualSpacing/>
              <w:rPr>
                <w:rFonts w:hAnsi="宋体"/>
                <w:szCs w:val="21"/>
              </w:rPr>
            </w:pPr>
            <w:r>
              <w:rPr>
                <w:rFonts w:hAnsi="宋体" w:hint="eastAsia"/>
                <w:szCs w:val="21"/>
              </w:rPr>
              <w:lastRenderedPageBreak/>
              <w:t>2、制定标准的必要性和意义</w:t>
            </w:r>
          </w:p>
        </w:tc>
      </w:tr>
      <w:tr w:rsidR="004B2D74">
        <w:trPr>
          <w:trHeight w:val="90"/>
          <w:jc w:val="center"/>
        </w:trPr>
        <w:tc>
          <w:tcPr>
            <w:tcW w:w="9570" w:type="dxa"/>
            <w:gridSpan w:val="6"/>
            <w:vAlign w:val="center"/>
          </w:tcPr>
          <w:p w:rsidR="004B2D74" w:rsidRDefault="00BA092D">
            <w:pPr>
              <w:pStyle w:val="af"/>
              <w:adjustRightInd w:val="0"/>
              <w:spacing w:line="360" w:lineRule="auto"/>
              <w:ind w:firstLineChars="0" w:firstLine="0"/>
              <w:contextualSpacing/>
              <w:rPr>
                <w:rFonts w:hAnsi="宋体"/>
                <w:b/>
                <w:szCs w:val="21"/>
              </w:rPr>
            </w:pPr>
            <w:r>
              <w:rPr>
                <w:rFonts w:hAnsi="宋体" w:hint="eastAsia"/>
                <w:b/>
                <w:szCs w:val="21"/>
              </w:rPr>
              <w:t>必要性：</w:t>
            </w:r>
          </w:p>
          <w:p w:rsidR="004B2D74" w:rsidRDefault="00BA092D">
            <w:pPr>
              <w:pStyle w:val="af"/>
              <w:adjustRightInd w:val="0"/>
              <w:spacing w:line="360" w:lineRule="auto"/>
              <w:contextualSpacing/>
              <w:rPr>
                <w:rFonts w:hAnsi="宋体"/>
                <w:szCs w:val="21"/>
              </w:rPr>
            </w:pPr>
            <w:r>
              <w:rPr>
                <w:rFonts w:hAnsi="宋体" w:hint="eastAsia"/>
                <w:szCs w:val="21"/>
              </w:rPr>
              <w:t>现行标准方面：2014年12月，由</w:t>
            </w:r>
            <w:hyperlink r:id="rId7" w:tgtFrame="https://baike.baidu.com/item/%E9%92%88%E5%88%80%E5%9F%BA%E6%9C%AC%E6%8A%80%E6%9C%AF%E6%93%8D%E4%BD%9C%E8%A7%84%E8%8C%83/_blank" w:history="1">
              <w:r>
                <w:rPr>
                  <w:rFonts w:hAnsi="宋体" w:hint="eastAsia"/>
                  <w:szCs w:val="21"/>
                </w:rPr>
                <w:t>中国针灸学会</w:t>
              </w:r>
            </w:hyperlink>
            <w:r>
              <w:rPr>
                <w:rFonts w:hAnsi="宋体" w:hint="eastAsia"/>
                <w:szCs w:val="21"/>
              </w:rPr>
              <w:t>编写，并由</w:t>
            </w:r>
            <w:hyperlink r:id="rId8" w:tgtFrame="https://baike.baidu.com/item/%E9%92%88%E5%88%80%E5%9F%BA%E6%9C%AC%E6%8A%80%E6%9C%AF%E6%93%8D%E4%BD%9C%E8%A7%84%E8%8C%83/_blank" w:history="1">
              <w:r>
                <w:rPr>
                  <w:rFonts w:hAnsi="宋体" w:hint="eastAsia"/>
                  <w:szCs w:val="21"/>
                </w:rPr>
                <w:t>中国中医药出版社</w:t>
              </w:r>
            </w:hyperlink>
            <w:r>
              <w:rPr>
                <w:rFonts w:hAnsi="宋体" w:hint="eastAsia"/>
                <w:szCs w:val="21"/>
              </w:rPr>
              <w:t>出版的《针刀基本技术操作规范》，定义了针刀治疗的基本操作规范，对针刀术语、器具和基本技术等方面作了统一的规范和标准化，2020年1月由我科团队承担，中华中医药学会整脊分会发布的团体标准《中医整脊科临床诊疗指南 胸背肌筋膜炎》对胸背肌筋膜炎的定义、诊断、检查及常见治疗方法</w:t>
            </w:r>
            <w:proofErr w:type="gramStart"/>
            <w:r>
              <w:rPr>
                <w:rFonts w:hAnsi="宋体" w:hint="eastAsia"/>
                <w:szCs w:val="21"/>
              </w:rPr>
              <w:t>作出</w:t>
            </w:r>
            <w:proofErr w:type="gramEnd"/>
            <w:r>
              <w:rPr>
                <w:rFonts w:hAnsi="宋体" w:hint="eastAsia"/>
                <w:szCs w:val="21"/>
              </w:rPr>
              <w:t xml:space="preserve">了规范，但上述规范尚未对“针刀治疗胸背肌筋膜炎”的具体技术要求进一步细化和规范，安徽省地方标准也暂无涉及此类标准；此外，国外指南目前仍缺乏对针刀治疗胸背肌筋膜炎的规范标准，因此，本标准的制订有利于填补行业不足。 </w:t>
            </w:r>
          </w:p>
          <w:p w:rsidR="004B2D74" w:rsidRDefault="00BA092D">
            <w:pPr>
              <w:pStyle w:val="af"/>
              <w:adjustRightInd w:val="0"/>
              <w:spacing w:line="360" w:lineRule="auto"/>
              <w:contextualSpacing/>
              <w:rPr>
                <w:rFonts w:hAnsi="宋体"/>
                <w:szCs w:val="21"/>
              </w:rPr>
            </w:pPr>
            <w:r>
              <w:rPr>
                <w:rFonts w:hAnsi="宋体" w:hint="eastAsia"/>
                <w:szCs w:val="21"/>
              </w:rPr>
              <w:t>国内外文献方面：对于针刀治疗胸背肌筋膜炎的具体操作尚无统一的技术规范和操作流程，无标准可循，使得针刀治疗胸背肌筋膜炎的推广范围受限，进一步影响本病的治疗。因此，根据现代临床研究，制订针刀治疗胸背肌筋膜炎的</w:t>
            </w:r>
            <w:proofErr w:type="gramStart"/>
            <w:r>
              <w:rPr>
                <w:rFonts w:hAnsi="宋体" w:hint="eastAsia"/>
                <w:szCs w:val="21"/>
              </w:rPr>
              <w:t>的</w:t>
            </w:r>
            <w:proofErr w:type="gramEnd"/>
            <w:r>
              <w:rPr>
                <w:rFonts w:hAnsi="宋体" w:hint="eastAsia"/>
                <w:szCs w:val="21"/>
              </w:rPr>
              <w:t>技术标准是必要的。</w:t>
            </w:r>
          </w:p>
          <w:p w:rsidR="004B2D74" w:rsidRDefault="00BA092D">
            <w:pPr>
              <w:pStyle w:val="af"/>
              <w:adjustRightInd w:val="0"/>
              <w:spacing w:line="360" w:lineRule="auto"/>
              <w:ind w:firstLineChars="0" w:firstLine="0"/>
              <w:contextualSpacing/>
              <w:rPr>
                <w:rFonts w:hAnsi="宋体"/>
                <w:szCs w:val="21"/>
              </w:rPr>
            </w:pPr>
            <w:r>
              <w:rPr>
                <w:rFonts w:hAnsi="宋体" w:hint="eastAsia"/>
                <w:b/>
                <w:szCs w:val="21"/>
              </w:rPr>
              <w:t>意义：</w:t>
            </w:r>
          </w:p>
          <w:p w:rsidR="004B2D74" w:rsidRDefault="00BA092D">
            <w:pPr>
              <w:pStyle w:val="af"/>
              <w:adjustRightInd w:val="0"/>
              <w:spacing w:line="360" w:lineRule="auto"/>
              <w:contextualSpacing/>
              <w:rPr>
                <w:rFonts w:hAnsi="宋体"/>
                <w:szCs w:val="21"/>
              </w:rPr>
            </w:pPr>
            <w:r>
              <w:rPr>
                <w:rFonts w:hAnsi="宋体" w:hint="eastAsia"/>
                <w:szCs w:val="21"/>
              </w:rPr>
              <w:lastRenderedPageBreak/>
              <w:t>中医服务标准的制定是深入贯彻党的十九大精神和习近平总书记系列重要讲话精神，以满足群众健康需求为目标，充分调动社会力量的积极性和创造性，释放中医服务潜力和活力，丰富服务内涵，规范服务行为，创新服务模式，提高服务质量，促进中医服务规范化和专业化。本标准的制定具有以下重要意义：</w:t>
            </w:r>
          </w:p>
          <w:p w:rsidR="004B2D74" w:rsidRDefault="00BA092D">
            <w:pPr>
              <w:pStyle w:val="af"/>
              <w:adjustRightInd w:val="0"/>
              <w:spacing w:line="360" w:lineRule="auto"/>
              <w:contextualSpacing/>
              <w:rPr>
                <w:rFonts w:hAnsi="宋体"/>
                <w:szCs w:val="21"/>
              </w:rPr>
            </w:pPr>
            <w:r>
              <w:rPr>
                <w:rFonts w:hAnsi="宋体" w:hint="eastAsia"/>
                <w:szCs w:val="21"/>
              </w:rPr>
              <w:t>第一，为针刀治疗胸背肌筋膜</w:t>
            </w:r>
            <w:proofErr w:type="gramStart"/>
            <w:r>
              <w:rPr>
                <w:rFonts w:hAnsi="宋体" w:hint="eastAsia"/>
                <w:szCs w:val="21"/>
              </w:rPr>
              <w:t>炎提供</w:t>
            </w:r>
            <w:proofErr w:type="gramEnd"/>
            <w:r>
              <w:rPr>
                <w:rFonts w:hAnsi="宋体" w:hint="eastAsia"/>
                <w:szCs w:val="21"/>
              </w:rPr>
              <w:t>临床参考标准和技术规范；</w:t>
            </w:r>
          </w:p>
          <w:p w:rsidR="004B2D74" w:rsidRDefault="00BA092D">
            <w:pPr>
              <w:pStyle w:val="af"/>
              <w:adjustRightInd w:val="0"/>
              <w:spacing w:line="360" w:lineRule="auto"/>
              <w:contextualSpacing/>
              <w:rPr>
                <w:rFonts w:hAnsi="宋体"/>
                <w:szCs w:val="21"/>
              </w:rPr>
            </w:pPr>
            <w:r>
              <w:rPr>
                <w:rFonts w:hAnsi="宋体" w:hint="eastAsia"/>
                <w:szCs w:val="21"/>
              </w:rPr>
              <w:t>第二，标准的制定规范了针刀的操作，进一步提高了针刀治疗胸背肌筋膜炎的疗效；</w:t>
            </w:r>
          </w:p>
          <w:p w:rsidR="004B2D74" w:rsidRDefault="00BA092D">
            <w:pPr>
              <w:pStyle w:val="af"/>
              <w:adjustRightInd w:val="0"/>
              <w:spacing w:line="360" w:lineRule="auto"/>
              <w:contextualSpacing/>
              <w:rPr>
                <w:rFonts w:hAnsi="宋体"/>
                <w:szCs w:val="21"/>
              </w:rPr>
            </w:pPr>
            <w:r>
              <w:rPr>
                <w:rFonts w:hAnsi="宋体" w:hint="eastAsia"/>
                <w:szCs w:val="21"/>
              </w:rPr>
              <w:t>第三，疗效的提高进一步推广针刀疗法在胸背肌筋膜炎上的应用；</w:t>
            </w:r>
          </w:p>
          <w:p w:rsidR="004B2D74" w:rsidRDefault="00BA092D">
            <w:pPr>
              <w:pStyle w:val="af"/>
              <w:adjustRightInd w:val="0"/>
              <w:spacing w:line="360" w:lineRule="auto"/>
              <w:contextualSpacing/>
              <w:rPr>
                <w:rFonts w:hAnsi="宋体"/>
                <w:szCs w:val="21"/>
              </w:rPr>
            </w:pPr>
            <w:r>
              <w:rPr>
                <w:rFonts w:hAnsi="宋体" w:hint="eastAsia"/>
                <w:szCs w:val="21"/>
              </w:rPr>
              <w:t>第四，充分发挥针刀疗法“简便廉验”的特点，为更多胸背肌筋膜炎患者解决病痛，减轻患者就医的经济负担。</w:t>
            </w:r>
          </w:p>
          <w:p w:rsidR="004B2D74" w:rsidRDefault="00BA092D">
            <w:pPr>
              <w:pStyle w:val="af"/>
              <w:adjustRightInd w:val="0"/>
              <w:spacing w:line="360" w:lineRule="auto"/>
              <w:contextualSpacing/>
              <w:rPr>
                <w:rFonts w:hAnsi="宋体"/>
                <w:szCs w:val="21"/>
              </w:rPr>
            </w:pPr>
            <w:r>
              <w:rPr>
                <w:rFonts w:hAnsi="宋体" w:hint="eastAsia"/>
                <w:szCs w:val="21"/>
              </w:rPr>
              <w:t>第五，对针刀诊疗标准化工作和针刀学科的发展与进步有着积极的意义。</w:t>
            </w:r>
          </w:p>
        </w:tc>
      </w:tr>
      <w:tr w:rsidR="004B2D74">
        <w:trPr>
          <w:trHeight w:val="20"/>
          <w:jc w:val="center"/>
        </w:trPr>
        <w:tc>
          <w:tcPr>
            <w:tcW w:w="9570" w:type="dxa"/>
            <w:gridSpan w:val="6"/>
            <w:vAlign w:val="center"/>
          </w:tcPr>
          <w:p w:rsidR="004B2D74" w:rsidRDefault="00BA092D">
            <w:pPr>
              <w:pStyle w:val="af"/>
              <w:adjustRightInd w:val="0"/>
              <w:spacing w:line="360" w:lineRule="auto"/>
              <w:ind w:firstLineChars="0" w:firstLine="0"/>
              <w:contextualSpacing/>
              <w:rPr>
                <w:rFonts w:hAnsi="宋体"/>
                <w:szCs w:val="21"/>
              </w:rPr>
            </w:pPr>
            <w:r>
              <w:rPr>
                <w:rFonts w:hAnsi="宋体" w:hint="eastAsia"/>
                <w:szCs w:val="21"/>
              </w:rPr>
              <w:lastRenderedPageBreak/>
              <w:t>3、制定标准的原则和依据，与现行法律法规、标准的关系</w:t>
            </w:r>
          </w:p>
        </w:tc>
      </w:tr>
      <w:tr w:rsidR="004B2D74">
        <w:trPr>
          <w:trHeight w:val="20"/>
          <w:jc w:val="center"/>
        </w:trPr>
        <w:tc>
          <w:tcPr>
            <w:tcW w:w="9570" w:type="dxa"/>
            <w:gridSpan w:val="6"/>
            <w:vAlign w:val="center"/>
          </w:tcPr>
          <w:p w:rsidR="004B2D74" w:rsidRDefault="00BA092D">
            <w:pPr>
              <w:pStyle w:val="af"/>
              <w:adjustRightInd w:val="0"/>
              <w:spacing w:line="360" w:lineRule="auto"/>
              <w:rPr>
                <w:rFonts w:hAnsi="宋体" w:cs="仿宋"/>
                <w:szCs w:val="21"/>
              </w:rPr>
            </w:pPr>
            <w:r>
              <w:rPr>
                <w:rFonts w:hAnsi="宋体" w:cs="仿宋" w:hint="eastAsia"/>
                <w:szCs w:val="21"/>
              </w:rPr>
              <w:t>（一）标准编制原则</w:t>
            </w:r>
          </w:p>
          <w:p w:rsidR="004B2D74" w:rsidRDefault="00BA092D">
            <w:pPr>
              <w:pStyle w:val="af"/>
              <w:adjustRightInd w:val="0"/>
              <w:spacing w:line="360" w:lineRule="auto"/>
              <w:rPr>
                <w:rFonts w:hAnsi="宋体" w:cs="仿宋"/>
                <w:szCs w:val="21"/>
              </w:rPr>
            </w:pPr>
            <w:r>
              <w:rPr>
                <w:rFonts w:hAnsi="宋体" w:cs="仿宋" w:hint="eastAsia"/>
                <w:szCs w:val="21"/>
              </w:rPr>
              <w:t>本标准在制定时主要遵循以下原则：</w:t>
            </w:r>
          </w:p>
          <w:p w:rsidR="004B2D74" w:rsidRDefault="00BA092D">
            <w:pPr>
              <w:pStyle w:val="af"/>
              <w:adjustRightInd w:val="0"/>
              <w:spacing w:line="360" w:lineRule="auto"/>
              <w:rPr>
                <w:rFonts w:hAnsi="宋体" w:cs="仿宋"/>
                <w:szCs w:val="21"/>
              </w:rPr>
            </w:pPr>
            <w:r>
              <w:rPr>
                <w:rFonts w:hAnsi="宋体" w:cs="仿宋" w:hint="eastAsia"/>
                <w:szCs w:val="21"/>
              </w:rPr>
              <w:t>（1）符合国家的政策，贯彻国家的法律法规；</w:t>
            </w:r>
          </w:p>
          <w:p w:rsidR="004B2D74" w:rsidRDefault="00BA092D">
            <w:pPr>
              <w:pStyle w:val="af"/>
              <w:adjustRightInd w:val="0"/>
              <w:spacing w:line="360" w:lineRule="auto"/>
              <w:rPr>
                <w:rFonts w:hAnsi="宋体" w:cs="仿宋"/>
                <w:szCs w:val="21"/>
              </w:rPr>
            </w:pPr>
            <w:r>
              <w:rPr>
                <w:rFonts w:hAnsi="宋体" w:cs="仿宋" w:hint="eastAsia"/>
                <w:szCs w:val="21"/>
              </w:rPr>
              <w:t>（2）具有科学性；</w:t>
            </w:r>
          </w:p>
          <w:p w:rsidR="004B2D74" w:rsidRDefault="00BA092D">
            <w:pPr>
              <w:pStyle w:val="af"/>
              <w:adjustRightInd w:val="0"/>
              <w:spacing w:line="360" w:lineRule="auto"/>
              <w:rPr>
                <w:rFonts w:hAnsi="宋体" w:cs="仿宋"/>
                <w:szCs w:val="21"/>
              </w:rPr>
            </w:pPr>
            <w:r>
              <w:rPr>
                <w:rFonts w:hAnsi="宋体" w:cs="仿宋" w:hint="eastAsia"/>
                <w:szCs w:val="21"/>
              </w:rPr>
              <w:t>（3）具有适用性；</w:t>
            </w:r>
          </w:p>
          <w:p w:rsidR="004B2D74" w:rsidRDefault="00BA092D">
            <w:pPr>
              <w:pStyle w:val="af"/>
              <w:adjustRightInd w:val="0"/>
              <w:spacing w:line="360" w:lineRule="auto"/>
              <w:rPr>
                <w:rFonts w:hAnsi="宋体" w:cs="仿宋"/>
                <w:szCs w:val="21"/>
              </w:rPr>
            </w:pPr>
            <w:r>
              <w:rPr>
                <w:rFonts w:hAnsi="宋体" w:cs="仿宋" w:hint="eastAsia"/>
                <w:szCs w:val="21"/>
              </w:rPr>
              <w:t>（4）具有适度性；</w:t>
            </w:r>
          </w:p>
          <w:p w:rsidR="004B2D74" w:rsidRDefault="00BA092D">
            <w:pPr>
              <w:pStyle w:val="af"/>
              <w:adjustRightInd w:val="0"/>
              <w:spacing w:line="360" w:lineRule="auto"/>
              <w:rPr>
                <w:rFonts w:hAnsi="宋体" w:cs="仿宋"/>
                <w:szCs w:val="21"/>
              </w:rPr>
            </w:pPr>
            <w:r>
              <w:rPr>
                <w:rFonts w:hAnsi="宋体" w:cs="仿宋" w:hint="eastAsia"/>
                <w:szCs w:val="21"/>
              </w:rPr>
              <w:t>（5）广泛调动各方面的积极性；</w:t>
            </w:r>
          </w:p>
          <w:p w:rsidR="004B2D74" w:rsidRDefault="00BA092D">
            <w:pPr>
              <w:pStyle w:val="af"/>
              <w:adjustRightInd w:val="0"/>
              <w:spacing w:line="360" w:lineRule="auto"/>
              <w:rPr>
                <w:rFonts w:hAnsi="宋体" w:cs="仿宋"/>
                <w:szCs w:val="21"/>
              </w:rPr>
            </w:pPr>
            <w:r>
              <w:rPr>
                <w:rFonts w:hAnsi="宋体" w:cs="仿宋" w:hint="eastAsia"/>
                <w:szCs w:val="21"/>
              </w:rPr>
              <w:t>（6）适时制定，适时复审。</w:t>
            </w:r>
          </w:p>
          <w:p w:rsidR="004B2D74" w:rsidRDefault="00BA092D">
            <w:pPr>
              <w:pStyle w:val="af"/>
              <w:adjustRightInd w:val="0"/>
              <w:spacing w:line="360" w:lineRule="auto"/>
              <w:rPr>
                <w:rFonts w:hAnsi="宋体" w:cs="仿宋"/>
                <w:szCs w:val="21"/>
              </w:rPr>
            </w:pPr>
            <w:r>
              <w:rPr>
                <w:rFonts w:hAnsi="宋体" w:cs="仿宋" w:hint="eastAsia"/>
                <w:szCs w:val="21"/>
              </w:rPr>
              <w:t>（二）</w:t>
            </w:r>
            <w:r>
              <w:rPr>
                <w:rFonts w:hAnsi="宋体" w:cs="仿宋"/>
                <w:szCs w:val="21"/>
              </w:rPr>
              <w:t>标准主要内容的依据</w:t>
            </w:r>
          </w:p>
          <w:p w:rsidR="004B2D74" w:rsidRDefault="00BA092D">
            <w:pPr>
              <w:pStyle w:val="af"/>
              <w:adjustRightInd w:val="0"/>
              <w:spacing w:line="360" w:lineRule="auto"/>
              <w:rPr>
                <w:rFonts w:hAnsi="宋体" w:cs="仿宋"/>
                <w:szCs w:val="21"/>
              </w:rPr>
            </w:pPr>
            <w:r>
              <w:rPr>
                <w:rFonts w:hAnsi="宋体" w:cs="仿宋" w:hint="eastAsia"/>
                <w:szCs w:val="21"/>
              </w:rPr>
              <w:t>（1）</w:t>
            </w:r>
            <w:r>
              <w:rPr>
                <w:rFonts w:hAnsi="宋体" w:cs="仿宋"/>
                <w:szCs w:val="21"/>
              </w:rPr>
              <w:t>本标准</w:t>
            </w:r>
            <w:r>
              <w:rPr>
                <w:rFonts w:hAnsi="宋体" w:cs="仿宋" w:hint="eastAsia"/>
                <w:szCs w:val="21"/>
              </w:rPr>
              <w:t>中服务管理要素的确定与标准内容的编制，结合了服务的现状和发展需求。</w:t>
            </w:r>
          </w:p>
          <w:p w:rsidR="004B2D74" w:rsidRDefault="00BA092D">
            <w:pPr>
              <w:pStyle w:val="af"/>
              <w:adjustRightInd w:val="0"/>
              <w:spacing w:line="360" w:lineRule="auto"/>
              <w:rPr>
                <w:rFonts w:hAnsi="宋体" w:cs="宋体"/>
                <w:color w:val="000000"/>
              </w:rPr>
            </w:pPr>
            <w:r>
              <w:rPr>
                <w:rFonts w:hAnsi="宋体" w:cs="仿宋" w:hint="eastAsia"/>
                <w:szCs w:val="21"/>
              </w:rPr>
              <w:t>（2）</w:t>
            </w:r>
            <w:r>
              <w:rPr>
                <w:rFonts w:hAnsi="宋体" w:cs="仿宋"/>
                <w:szCs w:val="21"/>
              </w:rPr>
              <w:t>本标准根据</w:t>
            </w:r>
            <w:r>
              <w:rPr>
                <w:rFonts w:hAnsi="宋体" w:cs="仿宋" w:hint="eastAsia"/>
                <w:szCs w:val="21"/>
              </w:rPr>
              <w:t>GB/T 1.1-2020</w:t>
            </w:r>
            <w:r>
              <w:rPr>
                <w:rFonts w:hAnsi="宋体" w:cs="仿宋"/>
                <w:szCs w:val="21"/>
              </w:rPr>
              <w:t>《</w:t>
            </w:r>
            <w:r>
              <w:rPr>
                <w:rFonts w:hAnsi="宋体" w:cs="仿宋" w:hint="eastAsia"/>
                <w:szCs w:val="21"/>
              </w:rPr>
              <w:t>标准化工作导则 第1部分：标准化文件的结构和起草规则》的规定起草</w:t>
            </w:r>
            <w:r>
              <w:rPr>
                <w:rFonts w:hAnsi="宋体" w:cs="仿宋"/>
                <w:szCs w:val="21"/>
              </w:rPr>
              <w:t>。</w:t>
            </w:r>
          </w:p>
          <w:p w:rsidR="004B2D74" w:rsidRDefault="00BA092D">
            <w:pPr>
              <w:pStyle w:val="af"/>
              <w:adjustRightInd w:val="0"/>
              <w:spacing w:line="360" w:lineRule="auto"/>
              <w:rPr>
                <w:rFonts w:hAnsi="宋体" w:cs="仿宋"/>
                <w:szCs w:val="21"/>
              </w:rPr>
            </w:pPr>
            <w:r>
              <w:rPr>
                <w:rFonts w:hAnsi="宋体" w:cs="仿宋" w:hint="eastAsia"/>
                <w:szCs w:val="21"/>
              </w:rPr>
              <w:t>（三）与现有法律法规、相关标准的关系</w:t>
            </w:r>
          </w:p>
          <w:p w:rsidR="004B2D74" w:rsidRDefault="00BA092D">
            <w:pPr>
              <w:pStyle w:val="af"/>
              <w:adjustRightInd w:val="0"/>
              <w:spacing w:line="360" w:lineRule="auto"/>
              <w:rPr>
                <w:rFonts w:hAnsi="宋体" w:cs="宋体"/>
                <w:color w:val="000000" w:themeColor="text1"/>
                <w:szCs w:val="21"/>
              </w:rPr>
            </w:pPr>
            <w:r>
              <w:rPr>
                <w:rFonts w:hAnsi="宋体" w:cs="仿宋" w:hint="eastAsia"/>
                <w:szCs w:val="21"/>
              </w:rPr>
              <w:t>本标准符合现行法律、法规要求，与国家、行业、地方标准协调一致、无冲突和矛盾，同时</w:t>
            </w:r>
            <w:r>
              <w:rPr>
                <w:rFonts w:hAnsi="宋体" w:cs="宋体" w:hint="eastAsia"/>
                <w:color w:val="000000" w:themeColor="text1"/>
                <w:szCs w:val="21"/>
              </w:rPr>
              <w:t>参考了以下团体标准：</w:t>
            </w:r>
          </w:p>
          <w:p w:rsidR="004B2D74" w:rsidRDefault="00BA092D">
            <w:pPr>
              <w:pStyle w:val="af"/>
              <w:adjustRightInd w:val="0"/>
              <w:spacing w:line="360" w:lineRule="auto"/>
              <w:contextualSpacing/>
              <w:rPr>
                <w:rFonts w:hAnsi="宋体"/>
                <w:szCs w:val="21"/>
              </w:rPr>
            </w:pPr>
            <w:r>
              <w:rPr>
                <w:rFonts w:hAnsi="宋体" w:hint="eastAsia"/>
                <w:szCs w:val="21"/>
              </w:rPr>
              <w:t>《针刀基本技术操作规范》（ZJ/TD001-2014）</w:t>
            </w:r>
          </w:p>
          <w:p w:rsidR="004B2D74" w:rsidRDefault="00BA092D">
            <w:pPr>
              <w:pStyle w:val="af"/>
              <w:adjustRightInd w:val="0"/>
              <w:spacing w:line="360" w:lineRule="auto"/>
              <w:contextualSpacing/>
              <w:rPr>
                <w:rFonts w:hAnsi="宋体"/>
                <w:szCs w:val="21"/>
              </w:rPr>
            </w:pPr>
            <w:r>
              <w:rPr>
                <w:rFonts w:hAnsi="宋体" w:hint="eastAsia"/>
                <w:szCs w:val="21"/>
              </w:rPr>
              <w:t>《中医整脊科临床诊疗指南 胸背肌筋膜炎》（SATCM-2015-BZ〔102〕）</w:t>
            </w:r>
            <w:r>
              <w:rPr>
                <w:rFonts w:hAnsi="宋体"/>
                <w:szCs w:val="21"/>
              </w:rPr>
              <w:t xml:space="preserve"> </w:t>
            </w:r>
          </w:p>
        </w:tc>
      </w:tr>
      <w:tr w:rsidR="004B2D74">
        <w:trPr>
          <w:trHeight w:val="20"/>
          <w:jc w:val="center"/>
        </w:trPr>
        <w:tc>
          <w:tcPr>
            <w:tcW w:w="9570" w:type="dxa"/>
            <w:gridSpan w:val="6"/>
            <w:vAlign w:val="center"/>
          </w:tcPr>
          <w:p w:rsidR="004B2D74" w:rsidRDefault="00BA092D">
            <w:pPr>
              <w:pStyle w:val="af"/>
              <w:adjustRightInd w:val="0"/>
              <w:spacing w:line="360" w:lineRule="auto"/>
              <w:ind w:firstLineChars="0" w:firstLine="0"/>
              <w:contextualSpacing/>
              <w:rPr>
                <w:rFonts w:hAnsi="宋体"/>
                <w:szCs w:val="21"/>
              </w:rPr>
            </w:pPr>
            <w:r>
              <w:rPr>
                <w:rFonts w:hAnsi="宋体" w:hint="eastAsia"/>
                <w:szCs w:val="21"/>
              </w:rPr>
              <w:t>4、主要条款的说明，主要技术指标、参数、试验验证的论述（</w:t>
            </w:r>
            <w:r>
              <w:rPr>
                <w:rFonts w:hAnsi="宋体" w:hint="eastAsia"/>
                <w:b/>
                <w:szCs w:val="21"/>
              </w:rPr>
              <w:t>详细说明</w:t>
            </w:r>
            <w:r>
              <w:rPr>
                <w:rFonts w:hAnsi="宋体" w:hint="eastAsia"/>
                <w:szCs w:val="21"/>
              </w:rPr>
              <w:t>）</w:t>
            </w:r>
          </w:p>
        </w:tc>
      </w:tr>
      <w:tr w:rsidR="004B2D74">
        <w:trPr>
          <w:trHeight w:val="20"/>
          <w:jc w:val="center"/>
        </w:trPr>
        <w:tc>
          <w:tcPr>
            <w:tcW w:w="9570" w:type="dxa"/>
            <w:gridSpan w:val="6"/>
            <w:vAlign w:val="center"/>
          </w:tcPr>
          <w:p w:rsidR="004B2D74" w:rsidRDefault="00BA092D">
            <w:pPr>
              <w:pStyle w:val="af"/>
              <w:adjustRightInd w:val="0"/>
              <w:spacing w:line="400" w:lineRule="atLeast"/>
              <w:ind w:firstLineChars="0" w:firstLine="0"/>
              <w:contextualSpacing/>
              <w:rPr>
                <w:rFonts w:hAnsi="宋体"/>
                <w:b/>
                <w:szCs w:val="21"/>
              </w:rPr>
            </w:pPr>
            <w:r>
              <w:rPr>
                <w:rFonts w:hAnsi="宋体" w:hint="eastAsia"/>
                <w:b/>
                <w:szCs w:val="21"/>
              </w:rPr>
              <w:lastRenderedPageBreak/>
              <w:t>主要条款：</w:t>
            </w:r>
          </w:p>
          <w:p w:rsidR="004B2D74" w:rsidRDefault="00BA092D">
            <w:pPr>
              <w:pStyle w:val="af"/>
              <w:adjustRightInd w:val="0"/>
              <w:spacing w:line="400" w:lineRule="atLeast"/>
              <w:contextualSpacing/>
              <w:rPr>
                <w:rFonts w:hAnsi="宋体"/>
                <w:szCs w:val="21"/>
              </w:rPr>
            </w:pPr>
            <w:r>
              <w:rPr>
                <w:rFonts w:hAnsi="宋体" w:hint="eastAsia"/>
                <w:szCs w:val="21"/>
              </w:rPr>
              <w:t>本标准的章节由：术语和定义、症状、体征、特殊检查、针刀解剖、诊断要点、鉴别诊断、中医辨证、针刀操作、疗程、禁忌症、注意事项及附录组成。其中“针刀操作”中“定点”和“施术方法”是本标准的主要技术内容。</w:t>
            </w:r>
          </w:p>
          <w:p w:rsidR="004B2D74" w:rsidRDefault="00BA092D">
            <w:pPr>
              <w:pStyle w:val="af"/>
              <w:adjustRightInd w:val="0"/>
              <w:spacing w:line="400" w:lineRule="atLeast"/>
              <w:contextualSpacing/>
              <w:rPr>
                <w:rFonts w:hAnsi="宋体"/>
                <w:szCs w:val="21"/>
              </w:rPr>
            </w:pPr>
            <w:r>
              <w:rPr>
                <w:rFonts w:hAnsi="宋体" w:hint="eastAsia"/>
                <w:szCs w:val="21"/>
              </w:rPr>
              <w:t>本标准规定，针刀治疗胸背肌筋膜炎的操作的施术前准备、</w:t>
            </w:r>
            <w:r>
              <w:rPr>
                <w:rFonts w:hint="eastAsia"/>
              </w:rPr>
              <w:t>刀具选择、部位选择、体位选择、环境要求、定点、消毒、麻醉、施术方法、常见松解方式、施术后处理、疗程、禁忌症、注意事项</w:t>
            </w:r>
            <w:r>
              <w:rPr>
                <w:rFonts w:hAnsi="宋体" w:hint="eastAsia"/>
                <w:szCs w:val="21"/>
              </w:rPr>
              <w:t>。</w:t>
            </w:r>
          </w:p>
          <w:p w:rsidR="004B2D74" w:rsidRDefault="00BA092D">
            <w:pPr>
              <w:pStyle w:val="af"/>
              <w:adjustRightInd w:val="0"/>
              <w:spacing w:line="400" w:lineRule="atLeast"/>
              <w:ind w:firstLineChars="0" w:firstLine="0"/>
              <w:contextualSpacing/>
              <w:rPr>
                <w:rFonts w:hAnsi="宋体"/>
                <w:b/>
                <w:szCs w:val="21"/>
              </w:rPr>
            </w:pPr>
            <w:r>
              <w:rPr>
                <w:rFonts w:hAnsi="宋体" w:hint="eastAsia"/>
                <w:b/>
                <w:szCs w:val="21"/>
              </w:rPr>
              <w:t>主要技术内容：</w:t>
            </w:r>
          </w:p>
          <w:p w:rsidR="004B2D74" w:rsidRDefault="00BA092D">
            <w:pPr>
              <w:pStyle w:val="af"/>
              <w:adjustRightInd w:val="0"/>
              <w:spacing w:line="400" w:lineRule="atLeast"/>
              <w:contextualSpacing/>
              <w:rPr>
                <w:rFonts w:hAnsi="宋体"/>
                <w:szCs w:val="21"/>
              </w:rPr>
            </w:pPr>
            <w:r>
              <w:rPr>
                <w:rFonts w:hAnsi="宋体" w:hint="eastAsia"/>
                <w:szCs w:val="21"/>
              </w:rPr>
              <w:t>本标准的主要技术内容是针刀治疗胸背肌筋膜炎“针刀操作”中的“定点”和“施术方法”：</w:t>
            </w:r>
          </w:p>
          <w:p w:rsidR="004B2D74" w:rsidRDefault="00BA092D">
            <w:pPr>
              <w:pStyle w:val="af"/>
              <w:adjustRightInd w:val="0"/>
              <w:spacing w:line="400" w:lineRule="atLeast"/>
              <w:contextualSpacing/>
            </w:pPr>
            <w:r>
              <w:rPr>
                <w:rFonts w:hAnsi="宋体" w:hint="eastAsia"/>
                <w:szCs w:val="21"/>
              </w:rPr>
              <w:t>定点：</w:t>
            </w:r>
            <w:r>
              <w:rPr>
                <w:rFonts w:hint="eastAsia"/>
              </w:rPr>
              <w:t>选取胸背部病变部位压痛点(扳机点)、硬性条索处及其所属肌群的起止点（或者在疼痛的激发中心进行常规超声检查，选择增粗或毛糙、钙化的肌腱或韧带作为手术部位）。</w:t>
            </w:r>
          </w:p>
          <w:p w:rsidR="004B2D74" w:rsidRDefault="00BA092D">
            <w:pPr>
              <w:pStyle w:val="af"/>
              <w:adjustRightInd w:val="0"/>
              <w:spacing w:line="400" w:lineRule="atLeast"/>
              <w:contextualSpacing/>
            </w:pPr>
            <w:r>
              <w:rPr>
                <w:rFonts w:hint="eastAsia"/>
              </w:rPr>
              <w:t>施术方法：在肌纤维平行处进针刀，针刀刺入过程中，刀刃需（尽可能）达到治疗区域的骨面，但</w:t>
            </w:r>
            <w:proofErr w:type="gramStart"/>
            <w:r>
              <w:rPr>
                <w:rFonts w:hint="eastAsia"/>
              </w:rPr>
              <w:t>避免深</w:t>
            </w:r>
            <w:proofErr w:type="gramEnd"/>
            <w:r>
              <w:rPr>
                <w:rFonts w:hint="eastAsia"/>
              </w:rPr>
              <w:t>刺，到达骨面后，先进行纵行疏通，然后再进行横行剥离松解，</w:t>
            </w:r>
            <w:proofErr w:type="gramStart"/>
            <w:r>
              <w:rPr>
                <w:rFonts w:hint="eastAsia"/>
              </w:rPr>
              <w:t>硬结及条索状物</w:t>
            </w:r>
            <w:proofErr w:type="gramEnd"/>
            <w:r>
              <w:rPr>
                <w:rFonts w:hint="eastAsia"/>
              </w:rPr>
              <w:t>处还应该继续将其剥离或切断，于刀下感到松动时出针。术毕后压迫止血，术野用0.5%碘伏纱布或棉球消毒，</w:t>
            </w:r>
            <w:proofErr w:type="gramStart"/>
            <w:r>
              <w:rPr>
                <w:rFonts w:hint="eastAsia"/>
              </w:rPr>
              <w:t>然后用创可贴</w:t>
            </w:r>
            <w:proofErr w:type="gramEnd"/>
            <w:r>
              <w:rPr>
                <w:rFonts w:hint="eastAsia"/>
              </w:rPr>
              <w:t>或无菌纱布覆盖。针刀治疗可配合盐酸利多卡因+醋酸</w:t>
            </w:r>
            <w:proofErr w:type="gramStart"/>
            <w:r>
              <w:rPr>
                <w:rFonts w:hint="eastAsia"/>
              </w:rPr>
              <w:t>曲安奈</w:t>
            </w:r>
            <w:proofErr w:type="gramEnd"/>
            <w:r>
              <w:rPr>
                <w:rFonts w:hint="eastAsia"/>
              </w:rPr>
              <w:t>德或盐酸利多卡因+复方</w:t>
            </w:r>
            <w:proofErr w:type="gramStart"/>
            <w:r>
              <w:rPr>
                <w:rFonts w:hint="eastAsia"/>
              </w:rPr>
              <w:t>倍</w:t>
            </w:r>
            <w:proofErr w:type="gramEnd"/>
            <w:r>
              <w:rPr>
                <w:rFonts w:hint="eastAsia"/>
              </w:rPr>
              <w:t>他米松痛点注射治疗。</w:t>
            </w:r>
            <w:bookmarkStart w:id="0" w:name="_GoBack"/>
            <w:bookmarkEnd w:id="0"/>
          </w:p>
          <w:p w:rsidR="004B2D74" w:rsidRDefault="00BA092D">
            <w:pPr>
              <w:pStyle w:val="af"/>
              <w:adjustRightInd w:val="0"/>
              <w:spacing w:line="400" w:lineRule="atLeast"/>
              <w:ind w:firstLineChars="0" w:firstLine="0"/>
              <w:contextualSpacing/>
              <w:rPr>
                <w:rFonts w:hAnsi="宋体"/>
                <w:b/>
                <w:szCs w:val="21"/>
              </w:rPr>
            </w:pPr>
            <w:r>
              <w:rPr>
                <w:rFonts w:hAnsi="宋体" w:hint="eastAsia"/>
                <w:b/>
                <w:szCs w:val="21"/>
              </w:rPr>
              <w:t>试验验证的论述：</w:t>
            </w:r>
          </w:p>
          <w:p w:rsidR="004B2D74" w:rsidRDefault="00BA092D">
            <w:pPr>
              <w:pStyle w:val="af"/>
              <w:adjustRightInd w:val="0"/>
              <w:spacing w:line="400" w:lineRule="atLeast"/>
              <w:contextualSpacing/>
            </w:pPr>
            <w:r>
              <w:rPr>
                <w:rFonts w:hAnsi="宋体" w:hint="eastAsia"/>
                <w:szCs w:val="21"/>
              </w:rPr>
              <w:t>标准的制定单位选择2010年5月-2015年5月间安徽中医药大学第二附属医院骨伤科门诊和住院部接诊的120例菱形</w:t>
            </w:r>
            <w:proofErr w:type="gramStart"/>
            <w:r>
              <w:rPr>
                <w:rFonts w:hAnsi="宋体" w:hint="eastAsia"/>
                <w:szCs w:val="21"/>
              </w:rPr>
              <w:t>肌</w:t>
            </w:r>
            <w:proofErr w:type="gramEnd"/>
            <w:r>
              <w:rPr>
                <w:rFonts w:hAnsi="宋体" w:hint="eastAsia"/>
                <w:szCs w:val="21"/>
              </w:rPr>
              <w:t>损伤（属于胸背肌筋膜炎的范畴）的患者。</w:t>
            </w:r>
            <w:proofErr w:type="gramStart"/>
            <w:r>
              <w:rPr>
                <w:rFonts w:hAnsi="宋体" w:hint="eastAsia"/>
                <w:szCs w:val="21"/>
              </w:rPr>
              <w:t>采用单盲设计</w:t>
            </w:r>
            <w:proofErr w:type="gramEnd"/>
            <w:r>
              <w:rPr>
                <w:rFonts w:hAnsi="宋体" w:hint="eastAsia"/>
                <w:szCs w:val="21"/>
              </w:rPr>
              <w:t>，将所有患者分为针刀治疗组和梅花针治疗组，每组60例，观察其治疗菱形</w:t>
            </w:r>
            <w:proofErr w:type="gramStart"/>
            <w:r>
              <w:rPr>
                <w:rFonts w:hAnsi="宋体" w:hint="eastAsia"/>
                <w:szCs w:val="21"/>
              </w:rPr>
              <w:t>肌</w:t>
            </w:r>
            <w:proofErr w:type="gramEnd"/>
            <w:r>
              <w:rPr>
                <w:rFonts w:hAnsi="宋体" w:hint="eastAsia"/>
                <w:szCs w:val="21"/>
              </w:rPr>
              <w:t>损伤的临床疗效；</w:t>
            </w:r>
            <w:r>
              <w:rPr>
                <w:rFonts w:hint="eastAsia"/>
              </w:rPr>
              <w:t>于治疗结束后第２天和治疗结束后３个月进行</w:t>
            </w:r>
            <w:r>
              <w:rPr>
                <w:rFonts w:ascii="Times New Roman"/>
              </w:rPr>
              <w:t>VAS</w:t>
            </w:r>
            <w:r>
              <w:rPr>
                <w:rFonts w:hint="eastAsia"/>
              </w:rPr>
              <w:t>评分和临床疗效评估。结果：治疗结束后第２天及治疗结束后</w:t>
            </w:r>
            <w:r>
              <w:rPr>
                <w:rFonts w:ascii="Times New Roman" w:hint="eastAsia"/>
                <w:color w:val="000000"/>
              </w:rPr>
              <w:t>３</w:t>
            </w:r>
            <w:r>
              <w:rPr>
                <w:rFonts w:hint="eastAsia"/>
              </w:rPr>
              <w:t xml:space="preserve">个月治疗组的 </w:t>
            </w:r>
            <w:r>
              <w:rPr>
                <w:rFonts w:ascii="Times New Roman"/>
              </w:rPr>
              <w:t>VAS</w:t>
            </w:r>
            <w:r>
              <w:rPr>
                <w:rFonts w:hint="eastAsia"/>
              </w:rPr>
              <w:t>评分均低于对照组</w:t>
            </w:r>
            <w:r>
              <w:rPr>
                <w:rFonts w:ascii="Times New Roman"/>
                <w:color w:val="000000"/>
              </w:rPr>
              <w:t>（</w:t>
            </w:r>
            <w:r>
              <w:rPr>
                <w:rFonts w:ascii="Times New Roman"/>
                <w:i/>
                <w:iCs/>
                <w:color w:val="000000"/>
              </w:rPr>
              <w:t>P</w:t>
            </w:r>
            <w:r>
              <w:rPr>
                <w:rFonts w:ascii="Times New Roman"/>
                <w:color w:val="000000"/>
              </w:rPr>
              <w:t>&lt;0.05</w:t>
            </w:r>
            <w:r>
              <w:rPr>
                <w:rFonts w:ascii="Times New Roman"/>
                <w:color w:val="000000"/>
              </w:rPr>
              <w:t>）</w:t>
            </w:r>
            <w:r>
              <w:rPr>
                <w:rFonts w:hint="eastAsia"/>
              </w:rPr>
              <w:t>，治疗</w:t>
            </w:r>
            <w:proofErr w:type="gramStart"/>
            <w:r>
              <w:rPr>
                <w:rFonts w:hint="eastAsia"/>
              </w:rPr>
              <w:t>组治疗</w:t>
            </w:r>
            <w:proofErr w:type="gramEnd"/>
            <w:r>
              <w:rPr>
                <w:rFonts w:hint="eastAsia"/>
              </w:rPr>
              <w:t>后</w:t>
            </w:r>
            <w:r>
              <w:rPr>
                <w:rFonts w:ascii="Times New Roman" w:hint="eastAsia"/>
                <w:color w:val="000000"/>
              </w:rPr>
              <w:t>３</w:t>
            </w:r>
            <w:r>
              <w:rPr>
                <w:rFonts w:hint="eastAsia"/>
              </w:rPr>
              <w:t>个月的</w:t>
            </w:r>
            <w:r>
              <w:rPr>
                <w:rFonts w:ascii="Times New Roman"/>
              </w:rPr>
              <w:t>VAS</w:t>
            </w:r>
            <w:r>
              <w:rPr>
                <w:rFonts w:hint="eastAsia"/>
              </w:rPr>
              <w:t>评分低于治疗后第２天的</w:t>
            </w:r>
            <w:r>
              <w:rPr>
                <w:rFonts w:ascii="Times New Roman"/>
              </w:rPr>
              <w:t>VAS</w:t>
            </w:r>
            <w:r>
              <w:rPr>
                <w:rFonts w:hint="eastAsia"/>
              </w:rPr>
              <w:t>评分</w:t>
            </w:r>
            <w:r>
              <w:rPr>
                <w:rFonts w:ascii="Times New Roman"/>
                <w:color w:val="000000"/>
              </w:rPr>
              <w:t>（</w:t>
            </w:r>
            <w:r>
              <w:rPr>
                <w:rFonts w:ascii="Times New Roman"/>
                <w:i/>
                <w:iCs/>
                <w:color w:val="000000"/>
              </w:rPr>
              <w:t>P</w:t>
            </w:r>
            <w:r>
              <w:rPr>
                <w:rFonts w:ascii="Times New Roman"/>
                <w:color w:val="000000"/>
              </w:rPr>
              <w:t>&lt;0.05</w:t>
            </w:r>
            <w:r>
              <w:rPr>
                <w:rFonts w:ascii="Times New Roman"/>
                <w:color w:val="000000"/>
              </w:rPr>
              <w:t>）</w:t>
            </w:r>
            <w:r>
              <w:rPr>
                <w:rFonts w:hint="eastAsia"/>
              </w:rPr>
              <w:t>，而对照组两个时间点之间差异无统计学意义</w:t>
            </w:r>
            <w:r>
              <w:rPr>
                <w:rFonts w:ascii="Times New Roman"/>
                <w:color w:val="000000"/>
              </w:rPr>
              <w:t>（</w:t>
            </w:r>
            <w:r>
              <w:rPr>
                <w:rFonts w:ascii="Times New Roman"/>
                <w:i/>
                <w:iCs/>
                <w:color w:val="000000"/>
              </w:rPr>
              <w:t>P</w:t>
            </w:r>
            <w:r>
              <w:rPr>
                <w:rFonts w:ascii="Times New Roman" w:hint="eastAsia"/>
                <w:i/>
                <w:iCs/>
                <w:color w:val="000000"/>
              </w:rPr>
              <w:t>&gt;</w:t>
            </w:r>
            <w:r>
              <w:rPr>
                <w:rFonts w:ascii="Times New Roman"/>
                <w:color w:val="000000"/>
              </w:rPr>
              <w:t>0.05</w:t>
            </w:r>
            <w:r>
              <w:rPr>
                <w:rFonts w:ascii="Times New Roman"/>
                <w:color w:val="000000"/>
              </w:rPr>
              <w:t>）</w:t>
            </w:r>
            <w:r>
              <w:rPr>
                <w:rFonts w:hint="eastAsia"/>
              </w:rPr>
              <w:t>。临床疗效评估方面，治疗后第２天两组之间的有效率比较差异无统计学意义</w:t>
            </w:r>
            <w:r>
              <w:rPr>
                <w:rFonts w:ascii="Times New Roman"/>
                <w:color w:val="000000"/>
              </w:rPr>
              <w:t>（</w:t>
            </w:r>
            <w:r>
              <w:rPr>
                <w:rFonts w:ascii="Times New Roman"/>
                <w:i/>
                <w:iCs/>
                <w:color w:val="000000"/>
              </w:rPr>
              <w:t>P</w:t>
            </w:r>
            <w:r>
              <w:rPr>
                <w:rFonts w:ascii="Times New Roman" w:hint="eastAsia"/>
                <w:i/>
                <w:iCs/>
                <w:color w:val="000000"/>
              </w:rPr>
              <w:t>&gt;</w:t>
            </w:r>
            <w:r>
              <w:rPr>
                <w:rFonts w:ascii="Times New Roman"/>
                <w:color w:val="000000"/>
              </w:rPr>
              <w:t>0.05</w:t>
            </w:r>
            <w:r>
              <w:rPr>
                <w:rFonts w:ascii="Times New Roman"/>
                <w:color w:val="000000"/>
              </w:rPr>
              <w:t>）</w:t>
            </w:r>
            <w:r>
              <w:rPr>
                <w:rFonts w:hint="eastAsia"/>
              </w:rPr>
              <w:t>，治疗后３个月治疗组的有效率则高于对照组</w:t>
            </w:r>
            <w:r>
              <w:rPr>
                <w:rFonts w:ascii="Times New Roman"/>
                <w:color w:val="000000"/>
              </w:rPr>
              <w:t>（</w:t>
            </w:r>
            <w:r>
              <w:rPr>
                <w:rFonts w:ascii="Times New Roman"/>
                <w:i/>
                <w:iCs/>
                <w:color w:val="000000"/>
              </w:rPr>
              <w:t>P</w:t>
            </w:r>
            <w:r>
              <w:rPr>
                <w:rFonts w:ascii="Times New Roman"/>
                <w:color w:val="000000"/>
              </w:rPr>
              <w:t>&lt;0.05</w:t>
            </w:r>
            <w:r>
              <w:rPr>
                <w:rFonts w:ascii="Times New Roman"/>
                <w:color w:val="000000"/>
              </w:rPr>
              <w:t>）</w:t>
            </w:r>
            <w:r>
              <w:rPr>
                <w:rFonts w:hint="eastAsia"/>
              </w:rPr>
              <w:t>；在对照组中，治疗后３个月时的有效率相比于治疗后第２天则降低</w:t>
            </w:r>
            <w:r>
              <w:rPr>
                <w:rFonts w:ascii="Times New Roman"/>
                <w:color w:val="000000"/>
              </w:rPr>
              <w:t>（</w:t>
            </w:r>
            <w:r>
              <w:rPr>
                <w:rFonts w:ascii="Times New Roman"/>
                <w:i/>
                <w:iCs/>
                <w:color w:val="000000"/>
              </w:rPr>
              <w:t>P</w:t>
            </w:r>
            <w:r>
              <w:rPr>
                <w:rFonts w:ascii="Times New Roman"/>
                <w:color w:val="000000"/>
              </w:rPr>
              <w:t>&lt;0.05</w:t>
            </w:r>
            <w:r>
              <w:rPr>
                <w:rFonts w:ascii="Times New Roman"/>
                <w:color w:val="000000"/>
              </w:rPr>
              <w:t>）</w:t>
            </w:r>
            <w:r>
              <w:rPr>
                <w:rFonts w:hint="eastAsia"/>
              </w:rPr>
              <w:t>。结论：</w:t>
            </w:r>
            <w:proofErr w:type="gramStart"/>
            <w:r>
              <w:rPr>
                <w:rFonts w:hint="eastAsia"/>
              </w:rPr>
              <w:t>针刀松解</w:t>
            </w:r>
            <w:proofErr w:type="gramEnd"/>
            <w:r>
              <w:rPr>
                <w:rFonts w:hint="eastAsia"/>
              </w:rPr>
              <w:t>治疗菱形</w:t>
            </w:r>
            <w:proofErr w:type="gramStart"/>
            <w:r>
              <w:rPr>
                <w:rFonts w:hint="eastAsia"/>
              </w:rPr>
              <w:t>肌</w:t>
            </w:r>
            <w:proofErr w:type="gramEnd"/>
            <w:r>
              <w:rPr>
                <w:rFonts w:hint="eastAsia"/>
              </w:rPr>
              <w:t>损伤具有良好的临床疗效，且中远期效果稳定。</w:t>
            </w:r>
          </w:p>
          <w:p w:rsidR="004B2D74" w:rsidRDefault="00BA092D">
            <w:pPr>
              <w:pStyle w:val="af"/>
              <w:adjustRightInd w:val="0"/>
              <w:spacing w:line="400" w:lineRule="atLeast"/>
              <w:contextualSpacing/>
            </w:pPr>
            <w:r>
              <w:rPr>
                <w:rFonts w:hint="eastAsia"/>
              </w:rPr>
              <w:t>通过既往试验的验证，结果显示采用标准拟定的针刀治疗胸背肌筋膜炎的技术方法，能明显改善患者的疼痛症状，有良好的临床疗效，且具备中远期疗效稳定的特点，这表明本标准在临床广泛开展是安全有效和切实可行的，具有推广意义。</w:t>
            </w:r>
          </w:p>
        </w:tc>
      </w:tr>
      <w:tr w:rsidR="004B2D74">
        <w:trPr>
          <w:trHeight w:val="20"/>
          <w:jc w:val="center"/>
        </w:trPr>
        <w:tc>
          <w:tcPr>
            <w:tcW w:w="9570" w:type="dxa"/>
            <w:gridSpan w:val="6"/>
            <w:vAlign w:val="center"/>
          </w:tcPr>
          <w:p w:rsidR="004B2D74" w:rsidRDefault="00BA092D">
            <w:pPr>
              <w:pStyle w:val="af"/>
              <w:adjustRightInd w:val="0"/>
              <w:spacing w:line="360" w:lineRule="auto"/>
              <w:ind w:firstLineChars="0" w:firstLine="0"/>
              <w:contextualSpacing/>
              <w:rPr>
                <w:rFonts w:hAnsi="宋体"/>
                <w:szCs w:val="21"/>
              </w:rPr>
            </w:pPr>
            <w:bookmarkStart w:id="1" w:name="_Toc464902852"/>
            <w:bookmarkStart w:id="2" w:name="_Toc464905613"/>
            <w:bookmarkStart w:id="3" w:name="_Toc464905809"/>
            <w:bookmarkStart w:id="4" w:name="_Toc464905557"/>
            <w:bookmarkStart w:id="5" w:name="_Toc465074266"/>
            <w:r>
              <w:rPr>
                <w:rFonts w:hAnsi="宋体" w:hint="eastAsia"/>
                <w:szCs w:val="21"/>
              </w:rPr>
              <w:t>5、标准中如果涉及专利，应有明确的知识产权说明</w:t>
            </w:r>
            <w:bookmarkEnd w:id="1"/>
            <w:bookmarkEnd w:id="2"/>
            <w:bookmarkEnd w:id="3"/>
            <w:bookmarkEnd w:id="4"/>
            <w:bookmarkEnd w:id="5"/>
          </w:p>
        </w:tc>
      </w:tr>
      <w:tr w:rsidR="004B2D74">
        <w:trPr>
          <w:trHeight w:val="20"/>
          <w:jc w:val="center"/>
        </w:trPr>
        <w:tc>
          <w:tcPr>
            <w:tcW w:w="9570" w:type="dxa"/>
            <w:gridSpan w:val="6"/>
            <w:vAlign w:val="center"/>
          </w:tcPr>
          <w:p w:rsidR="004B2D74" w:rsidRDefault="00BA092D">
            <w:pPr>
              <w:pStyle w:val="af"/>
              <w:adjustRightInd w:val="0"/>
              <w:spacing w:line="360" w:lineRule="auto"/>
              <w:ind w:firstLineChars="0" w:firstLine="0"/>
              <w:contextualSpacing/>
              <w:rPr>
                <w:rFonts w:hAnsi="宋体"/>
                <w:szCs w:val="21"/>
              </w:rPr>
            </w:pPr>
            <w:r>
              <w:rPr>
                <w:rFonts w:hAnsi="宋体" w:hint="eastAsia"/>
                <w:szCs w:val="21"/>
              </w:rPr>
              <w:t>无</w:t>
            </w:r>
          </w:p>
        </w:tc>
      </w:tr>
      <w:tr w:rsidR="004B2D74">
        <w:trPr>
          <w:trHeight w:val="20"/>
          <w:jc w:val="center"/>
        </w:trPr>
        <w:tc>
          <w:tcPr>
            <w:tcW w:w="9570" w:type="dxa"/>
            <w:gridSpan w:val="6"/>
            <w:vAlign w:val="center"/>
          </w:tcPr>
          <w:p w:rsidR="004B2D74" w:rsidRDefault="00BA092D">
            <w:pPr>
              <w:pStyle w:val="af"/>
              <w:adjustRightInd w:val="0"/>
              <w:spacing w:line="360" w:lineRule="auto"/>
              <w:ind w:firstLineChars="0" w:firstLine="0"/>
              <w:contextualSpacing/>
              <w:rPr>
                <w:rFonts w:hAnsi="宋体"/>
                <w:szCs w:val="21"/>
              </w:rPr>
            </w:pPr>
            <w:bookmarkStart w:id="6" w:name="_Toc464905558"/>
            <w:bookmarkStart w:id="7" w:name="_Toc464905614"/>
            <w:bookmarkStart w:id="8" w:name="_Toc464902853"/>
            <w:bookmarkStart w:id="9" w:name="_Toc464905810"/>
            <w:bookmarkStart w:id="10" w:name="_Toc465074267"/>
            <w:r>
              <w:rPr>
                <w:rFonts w:hAnsi="宋体" w:hint="eastAsia"/>
                <w:szCs w:val="21"/>
              </w:rPr>
              <w:t>6、采用国际标准或国外先进标准的，说明采标程度，以及国内外同类标准水平的对比情况</w:t>
            </w:r>
            <w:bookmarkEnd w:id="6"/>
            <w:bookmarkEnd w:id="7"/>
            <w:bookmarkEnd w:id="8"/>
            <w:bookmarkEnd w:id="9"/>
            <w:bookmarkEnd w:id="10"/>
          </w:p>
        </w:tc>
      </w:tr>
      <w:tr w:rsidR="004B2D74">
        <w:trPr>
          <w:trHeight w:val="20"/>
          <w:jc w:val="center"/>
        </w:trPr>
        <w:tc>
          <w:tcPr>
            <w:tcW w:w="9570" w:type="dxa"/>
            <w:gridSpan w:val="6"/>
            <w:vAlign w:val="center"/>
          </w:tcPr>
          <w:p w:rsidR="004B2D74" w:rsidRDefault="00BA092D">
            <w:pPr>
              <w:pStyle w:val="af"/>
              <w:adjustRightInd w:val="0"/>
              <w:spacing w:line="360" w:lineRule="auto"/>
              <w:ind w:firstLineChars="0" w:firstLine="0"/>
              <w:contextualSpacing/>
              <w:rPr>
                <w:rFonts w:hAnsi="宋体"/>
                <w:szCs w:val="21"/>
              </w:rPr>
            </w:pPr>
            <w:r>
              <w:rPr>
                <w:rFonts w:hAnsi="宋体" w:hint="eastAsia"/>
                <w:szCs w:val="21"/>
              </w:rPr>
              <w:t>无</w:t>
            </w:r>
          </w:p>
        </w:tc>
      </w:tr>
      <w:tr w:rsidR="004B2D74">
        <w:trPr>
          <w:trHeight w:val="20"/>
          <w:jc w:val="center"/>
        </w:trPr>
        <w:tc>
          <w:tcPr>
            <w:tcW w:w="9570" w:type="dxa"/>
            <w:gridSpan w:val="6"/>
            <w:vAlign w:val="center"/>
          </w:tcPr>
          <w:p w:rsidR="004B2D74" w:rsidRDefault="00BA092D">
            <w:pPr>
              <w:pStyle w:val="af"/>
              <w:adjustRightInd w:val="0"/>
              <w:spacing w:line="360" w:lineRule="auto"/>
              <w:ind w:firstLineChars="0" w:firstLine="0"/>
              <w:contextualSpacing/>
              <w:rPr>
                <w:rFonts w:hAnsi="宋体"/>
                <w:szCs w:val="21"/>
              </w:rPr>
            </w:pPr>
            <w:bookmarkStart w:id="11" w:name="_Toc464905559"/>
            <w:bookmarkStart w:id="12" w:name="_Toc464905615"/>
            <w:bookmarkStart w:id="13" w:name="_Toc464905811"/>
            <w:bookmarkStart w:id="14" w:name="_Toc464902854"/>
            <w:bookmarkStart w:id="15" w:name="_Toc465074268"/>
            <w:r>
              <w:rPr>
                <w:rFonts w:hAnsi="宋体" w:hint="eastAsia"/>
                <w:szCs w:val="21"/>
              </w:rPr>
              <w:t>7、重大分歧意见的处理经过和依据</w:t>
            </w:r>
            <w:bookmarkEnd w:id="11"/>
            <w:bookmarkEnd w:id="12"/>
            <w:bookmarkEnd w:id="13"/>
            <w:bookmarkEnd w:id="14"/>
            <w:bookmarkEnd w:id="15"/>
          </w:p>
        </w:tc>
      </w:tr>
      <w:tr w:rsidR="004B2D74">
        <w:trPr>
          <w:trHeight w:val="20"/>
          <w:jc w:val="center"/>
        </w:trPr>
        <w:tc>
          <w:tcPr>
            <w:tcW w:w="9570" w:type="dxa"/>
            <w:gridSpan w:val="6"/>
            <w:vAlign w:val="center"/>
          </w:tcPr>
          <w:p w:rsidR="004B2D74" w:rsidRDefault="00BA092D">
            <w:pPr>
              <w:pStyle w:val="af"/>
              <w:adjustRightInd w:val="0"/>
              <w:spacing w:line="360" w:lineRule="auto"/>
              <w:ind w:firstLineChars="0" w:firstLine="0"/>
              <w:contextualSpacing/>
              <w:rPr>
                <w:rFonts w:hAnsi="宋体"/>
                <w:szCs w:val="21"/>
              </w:rPr>
            </w:pPr>
            <w:r>
              <w:rPr>
                <w:rFonts w:hAnsi="宋体" w:hint="eastAsia"/>
                <w:szCs w:val="21"/>
              </w:rPr>
              <w:lastRenderedPageBreak/>
              <w:t>无</w:t>
            </w:r>
          </w:p>
        </w:tc>
      </w:tr>
      <w:tr w:rsidR="004B2D74">
        <w:trPr>
          <w:trHeight w:val="20"/>
          <w:jc w:val="center"/>
        </w:trPr>
        <w:tc>
          <w:tcPr>
            <w:tcW w:w="9570" w:type="dxa"/>
            <w:gridSpan w:val="6"/>
            <w:vAlign w:val="center"/>
          </w:tcPr>
          <w:p w:rsidR="004B2D74" w:rsidRDefault="00BA092D">
            <w:pPr>
              <w:pStyle w:val="af"/>
              <w:adjustRightInd w:val="0"/>
              <w:spacing w:line="360" w:lineRule="auto"/>
              <w:ind w:firstLineChars="0" w:firstLine="0"/>
              <w:contextualSpacing/>
              <w:rPr>
                <w:rFonts w:hAnsi="宋体"/>
                <w:szCs w:val="21"/>
              </w:rPr>
            </w:pPr>
            <w:bookmarkStart w:id="16" w:name="_Toc464905812"/>
            <w:bookmarkStart w:id="17" w:name="_Toc465074269"/>
            <w:bookmarkStart w:id="18" w:name="_Toc464905616"/>
            <w:bookmarkStart w:id="19" w:name="_Toc464902855"/>
            <w:bookmarkStart w:id="20" w:name="_Toc464905560"/>
            <w:r>
              <w:rPr>
                <w:rFonts w:hAnsi="宋体" w:hint="eastAsia"/>
                <w:szCs w:val="21"/>
              </w:rPr>
              <w:t>8、贯彻标准的要求和措施建议（包括组织措施、技术措施、过渡办法、实施日期等）</w:t>
            </w:r>
            <w:bookmarkEnd w:id="16"/>
            <w:bookmarkEnd w:id="17"/>
            <w:bookmarkEnd w:id="18"/>
            <w:bookmarkEnd w:id="19"/>
            <w:bookmarkEnd w:id="20"/>
          </w:p>
        </w:tc>
      </w:tr>
      <w:tr w:rsidR="004B2D74">
        <w:trPr>
          <w:trHeight w:val="20"/>
          <w:jc w:val="center"/>
        </w:trPr>
        <w:tc>
          <w:tcPr>
            <w:tcW w:w="9570" w:type="dxa"/>
            <w:gridSpan w:val="6"/>
            <w:vAlign w:val="center"/>
          </w:tcPr>
          <w:p w:rsidR="004B2D74" w:rsidRDefault="00BA092D">
            <w:pPr>
              <w:pStyle w:val="af"/>
              <w:adjustRightInd w:val="0"/>
              <w:spacing w:line="360" w:lineRule="auto"/>
              <w:ind w:firstLine="422"/>
              <w:rPr>
                <w:rFonts w:hAnsi="宋体" w:cs="宋体"/>
                <w:b/>
                <w:bCs/>
                <w:color w:val="000000" w:themeColor="text1"/>
                <w:szCs w:val="21"/>
              </w:rPr>
            </w:pPr>
            <w:r>
              <w:rPr>
                <w:rFonts w:hAnsi="宋体" w:cs="宋体" w:hint="eastAsia"/>
                <w:b/>
                <w:bCs/>
                <w:color w:val="000000" w:themeColor="text1"/>
                <w:szCs w:val="21"/>
              </w:rPr>
              <w:t>组织措施：</w:t>
            </w:r>
          </w:p>
          <w:p w:rsidR="004B2D74" w:rsidRDefault="00BA092D">
            <w:pPr>
              <w:pStyle w:val="af"/>
              <w:adjustRightInd w:val="0"/>
              <w:spacing w:line="360" w:lineRule="auto"/>
              <w:rPr>
                <w:rFonts w:hAnsi="宋体" w:cs="宋体"/>
                <w:color w:val="000000" w:themeColor="text1"/>
                <w:szCs w:val="21"/>
              </w:rPr>
            </w:pPr>
            <w:r>
              <w:rPr>
                <w:rFonts w:hAnsi="宋体" w:cs="宋体" w:hint="eastAsia"/>
                <w:color w:val="000000" w:themeColor="text1"/>
                <w:szCs w:val="21"/>
              </w:rPr>
              <w:t>本标准一经发布，标准起草单位将在安徽省卫生健康委员会、安徽省市场监督管理局的协调推进下，配合开展《</w:t>
            </w:r>
            <w:r>
              <w:rPr>
                <w:rFonts w:hAnsi="宋体" w:hint="eastAsia"/>
                <w:color w:val="000000" w:themeColor="text1"/>
                <w:szCs w:val="21"/>
              </w:rPr>
              <w:t>针刀治疗胸背肌筋膜炎应用指南</w:t>
            </w:r>
            <w:r>
              <w:rPr>
                <w:rFonts w:hAnsi="宋体" w:cs="宋体" w:hint="eastAsia"/>
                <w:color w:val="000000" w:themeColor="text1"/>
                <w:szCs w:val="21"/>
              </w:rPr>
              <w:t>》的宣贯和培训工作，增强实施标准的自觉性。</w:t>
            </w:r>
          </w:p>
          <w:p w:rsidR="004B2D74" w:rsidRDefault="00BA092D">
            <w:pPr>
              <w:pStyle w:val="af"/>
              <w:adjustRightInd w:val="0"/>
              <w:spacing w:line="360" w:lineRule="auto"/>
              <w:ind w:firstLine="422"/>
              <w:rPr>
                <w:rFonts w:hAnsi="宋体" w:cs="宋体"/>
                <w:b/>
                <w:bCs/>
                <w:color w:val="000000" w:themeColor="text1"/>
                <w:szCs w:val="21"/>
              </w:rPr>
            </w:pPr>
            <w:r>
              <w:rPr>
                <w:rFonts w:hAnsi="宋体" w:cs="宋体" w:hint="eastAsia"/>
                <w:b/>
                <w:bCs/>
                <w:color w:val="000000" w:themeColor="text1"/>
                <w:szCs w:val="21"/>
              </w:rPr>
              <w:t>技术措施：</w:t>
            </w:r>
          </w:p>
          <w:p w:rsidR="004B2D74" w:rsidRDefault="00BA092D">
            <w:pPr>
              <w:pStyle w:val="af"/>
              <w:adjustRightInd w:val="0"/>
              <w:spacing w:line="360" w:lineRule="auto"/>
              <w:rPr>
                <w:rFonts w:hAnsi="宋体" w:cs="宋体"/>
                <w:color w:val="000000" w:themeColor="text1"/>
                <w:szCs w:val="21"/>
              </w:rPr>
            </w:pPr>
            <w:r>
              <w:rPr>
                <w:rFonts w:hAnsi="宋体" w:cs="宋体" w:hint="eastAsia"/>
                <w:color w:val="000000" w:themeColor="text1"/>
                <w:szCs w:val="21"/>
              </w:rPr>
              <w:t>通过标准的实施、监督、评价和改进活动，使标准得到有效运用。</w:t>
            </w:r>
          </w:p>
          <w:p w:rsidR="004B2D74" w:rsidRDefault="00BA092D">
            <w:pPr>
              <w:pStyle w:val="af"/>
              <w:adjustRightInd w:val="0"/>
              <w:spacing w:line="360" w:lineRule="auto"/>
              <w:ind w:firstLine="422"/>
              <w:rPr>
                <w:rFonts w:hAnsi="宋体" w:cs="宋体"/>
                <w:b/>
                <w:bCs/>
                <w:color w:val="000000" w:themeColor="text1"/>
                <w:szCs w:val="21"/>
              </w:rPr>
            </w:pPr>
            <w:r>
              <w:rPr>
                <w:rFonts w:hAnsi="宋体" w:cs="宋体" w:hint="eastAsia"/>
                <w:b/>
                <w:bCs/>
                <w:color w:val="000000" w:themeColor="text1"/>
                <w:szCs w:val="21"/>
              </w:rPr>
              <w:t>过渡办法：</w:t>
            </w:r>
          </w:p>
          <w:p w:rsidR="004B2D74" w:rsidRDefault="00BA092D">
            <w:pPr>
              <w:pStyle w:val="af"/>
              <w:adjustRightInd w:val="0"/>
              <w:spacing w:line="360" w:lineRule="auto"/>
              <w:rPr>
                <w:rFonts w:hAnsi="宋体" w:cs="宋体"/>
                <w:color w:val="000000" w:themeColor="text1"/>
                <w:szCs w:val="21"/>
              </w:rPr>
            </w:pPr>
            <w:r>
              <w:rPr>
                <w:rFonts w:hAnsi="宋体" w:cs="宋体" w:hint="eastAsia"/>
                <w:color w:val="000000" w:themeColor="text1"/>
                <w:szCs w:val="21"/>
              </w:rPr>
              <w:t>由相关领导部门联合组织各级相关部门及全范围内开展宣贯活动，并给予不少于1个月的过渡期。</w:t>
            </w:r>
          </w:p>
          <w:p w:rsidR="004B2D74" w:rsidRDefault="00BA092D">
            <w:pPr>
              <w:pStyle w:val="af"/>
              <w:adjustRightInd w:val="0"/>
              <w:spacing w:line="360" w:lineRule="auto"/>
              <w:ind w:firstLine="422"/>
              <w:rPr>
                <w:rFonts w:hAnsi="宋体" w:cs="宋体"/>
                <w:b/>
                <w:bCs/>
                <w:color w:val="000000" w:themeColor="text1"/>
                <w:szCs w:val="21"/>
              </w:rPr>
            </w:pPr>
            <w:r>
              <w:rPr>
                <w:rFonts w:hAnsi="宋体" w:cs="宋体" w:hint="eastAsia"/>
                <w:b/>
                <w:bCs/>
                <w:color w:val="000000" w:themeColor="text1"/>
                <w:szCs w:val="21"/>
              </w:rPr>
              <w:t>实施日期：</w:t>
            </w:r>
          </w:p>
          <w:p w:rsidR="004B2D74" w:rsidRDefault="00BA092D">
            <w:pPr>
              <w:pStyle w:val="af"/>
              <w:adjustRightInd w:val="0"/>
              <w:spacing w:line="360" w:lineRule="auto"/>
              <w:contextualSpacing/>
              <w:rPr>
                <w:rFonts w:hAnsi="宋体"/>
                <w:szCs w:val="21"/>
              </w:rPr>
            </w:pPr>
            <w:r>
              <w:rPr>
                <w:rFonts w:hAnsi="宋体" w:cs="宋体" w:hint="eastAsia"/>
                <w:color w:val="000000" w:themeColor="text1"/>
                <w:szCs w:val="21"/>
              </w:rPr>
              <w:t>建议标准尽快发布实施，由相关管理部门联合起草单位在全省范围内开展宣贯活动，积极推动标准实施和应用。</w:t>
            </w:r>
          </w:p>
        </w:tc>
      </w:tr>
      <w:tr w:rsidR="004B2D74">
        <w:trPr>
          <w:trHeight w:val="20"/>
          <w:jc w:val="center"/>
        </w:trPr>
        <w:tc>
          <w:tcPr>
            <w:tcW w:w="9570" w:type="dxa"/>
            <w:gridSpan w:val="6"/>
            <w:vAlign w:val="center"/>
          </w:tcPr>
          <w:p w:rsidR="004B2D74" w:rsidRDefault="00BA092D">
            <w:pPr>
              <w:pStyle w:val="af"/>
              <w:adjustRightInd w:val="0"/>
              <w:spacing w:line="360" w:lineRule="auto"/>
              <w:ind w:firstLineChars="0" w:firstLine="0"/>
              <w:contextualSpacing/>
              <w:rPr>
                <w:rFonts w:hAnsi="宋体"/>
                <w:szCs w:val="21"/>
              </w:rPr>
            </w:pPr>
            <w:bookmarkStart w:id="21" w:name="_Toc464905617"/>
            <w:bookmarkStart w:id="22" w:name="_Toc464902856"/>
            <w:bookmarkStart w:id="23" w:name="_Toc464905561"/>
            <w:bookmarkStart w:id="24" w:name="_Toc464905813"/>
            <w:bookmarkStart w:id="25" w:name="_Toc465074270"/>
            <w:r>
              <w:rPr>
                <w:rFonts w:hAnsi="宋体" w:hint="eastAsia"/>
                <w:szCs w:val="21"/>
              </w:rPr>
              <w:t>9、废止现行相关标准的建议</w:t>
            </w:r>
            <w:bookmarkEnd w:id="21"/>
            <w:bookmarkEnd w:id="22"/>
            <w:bookmarkEnd w:id="23"/>
            <w:bookmarkEnd w:id="24"/>
            <w:bookmarkEnd w:id="25"/>
          </w:p>
        </w:tc>
      </w:tr>
      <w:tr w:rsidR="004B2D74">
        <w:trPr>
          <w:trHeight w:val="20"/>
          <w:jc w:val="center"/>
        </w:trPr>
        <w:tc>
          <w:tcPr>
            <w:tcW w:w="9570" w:type="dxa"/>
            <w:gridSpan w:val="6"/>
            <w:vAlign w:val="center"/>
          </w:tcPr>
          <w:p w:rsidR="004B2D74" w:rsidRDefault="00BA092D">
            <w:pPr>
              <w:pStyle w:val="af"/>
              <w:adjustRightInd w:val="0"/>
              <w:spacing w:line="360" w:lineRule="auto"/>
              <w:ind w:firstLineChars="0" w:firstLine="0"/>
              <w:contextualSpacing/>
              <w:rPr>
                <w:rFonts w:hAnsi="宋体"/>
                <w:szCs w:val="21"/>
              </w:rPr>
            </w:pPr>
            <w:r>
              <w:rPr>
                <w:rFonts w:hAnsi="宋体" w:hint="eastAsia"/>
                <w:szCs w:val="21"/>
              </w:rPr>
              <w:t>无</w:t>
            </w:r>
          </w:p>
        </w:tc>
      </w:tr>
      <w:tr w:rsidR="004B2D74">
        <w:trPr>
          <w:trHeight w:val="20"/>
          <w:jc w:val="center"/>
        </w:trPr>
        <w:tc>
          <w:tcPr>
            <w:tcW w:w="9570" w:type="dxa"/>
            <w:gridSpan w:val="6"/>
            <w:vAlign w:val="center"/>
          </w:tcPr>
          <w:p w:rsidR="004B2D74" w:rsidRDefault="00BA092D">
            <w:pPr>
              <w:pStyle w:val="af"/>
              <w:adjustRightInd w:val="0"/>
              <w:spacing w:line="360" w:lineRule="auto"/>
              <w:ind w:firstLineChars="0" w:firstLine="0"/>
              <w:contextualSpacing/>
              <w:rPr>
                <w:rFonts w:hAnsi="宋体"/>
                <w:szCs w:val="21"/>
              </w:rPr>
            </w:pPr>
            <w:bookmarkStart w:id="26" w:name="_Toc464905814"/>
            <w:bookmarkStart w:id="27" w:name="_Toc464902857"/>
            <w:bookmarkStart w:id="28" w:name="_Toc465074271"/>
            <w:bookmarkStart w:id="29" w:name="_Toc464905618"/>
            <w:bookmarkStart w:id="30" w:name="_Toc464905562"/>
            <w:r>
              <w:rPr>
                <w:rFonts w:hAnsi="宋体" w:hint="eastAsia"/>
                <w:szCs w:val="21"/>
              </w:rPr>
              <w:t>10、其它应予说明的事项</w:t>
            </w:r>
            <w:bookmarkEnd w:id="26"/>
            <w:bookmarkEnd w:id="27"/>
            <w:bookmarkEnd w:id="28"/>
            <w:bookmarkEnd w:id="29"/>
            <w:bookmarkEnd w:id="30"/>
          </w:p>
        </w:tc>
      </w:tr>
      <w:tr w:rsidR="004B2D74">
        <w:trPr>
          <w:trHeight w:val="20"/>
          <w:jc w:val="center"/>
        </w:trPr>
        <w:tc>
          <w:tcPr>
            <w:tcW w:w="9570" w:type="dxa"/>
            <w:gridSpan w:val="6"/>
            <w:vAlign w:val="center"/>
          </w:tcPr>
          <w:p w:rsidR="004B2D74" w:rsidRDefault="00BA092D">
            <w:pPr>
              <w:pStyle w:val="af"/>
              <w:adjustRightInd w:val="0"/>
              <w:spacing w:line="360" w:lineRule="auto"/>
              <w:ind w:firstLineChars="0" w:firstLine="0"/>
              <w:contextualSpacing/>
              <w:rPr>
                <w:rFonts w:hAnsi="宋体"/>
                <w:szCs w:val="21"/>
              </w:rPr>
            </w:pPr>
            <w:r>
              <w:rPr>
                <w:rFonts w:hAnsi="宋体" w:hint="eastAsia"/>
                <w:szCs w:val="21"/>
              </w:rPr>
              <w:t>无</w:t>
            </w:r>
          </w:p>
        </w:tc>
      </w:tr>
    </w:tbl>
    <w:p w:rsidR="004B2D74" w:rsidRDefault="00BA092D">
      <w:pPr>
        <w:pStyle w:val="a6"/>
      </w:pPr>
      <w:r>
        <w:rPr>
          <w:rFonts w:hint="eastAsia"/>
        </w:rPr>
        <w:t>没有的请填写 “无”。</w:t>
      </w:r>
    </w:p>
    <w:p w:rsidR="004B2D74" w:rsidRDefault="004B2D74"/>
    <w:sectPr w:rsidR="004B2D74" w:rsidSect="004B2D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092D" w:rsidRDefault="00BA092D">
      <w:pPr>
        <w:spacing w:line="240" w:lineRule="auto"/>
      </w:pPr>
      <w:r>
        <w:separator/>
      </w:r>
    </w:p>
  </w:endnote>
  <w:endnote w:type="continuationSeparator" w:id="0">
    <w:p w:rsidR="00BA092D" w:rsidRDefault="00BA092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092D" w:rsidRDefault="00BA092D">
      <w:pPr>
        <w:spacing w:line="240" w:lineRule="auto"/>
      </w:pPr>
      <w:r>
        <w:separator/>
      </w:r>
    </w:p>
  </w:footnote>
  <w:footnote w:type="continuationSeparator" w:id="0">
    <w:p w:rsidR="00BA092D" w:rsidRDefault="00BA092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657D3FBC"/>
    <w:multiLevelType w:val="multilevel"/>
    <w:tmpl w:val="657D3FBC"/>
    <w:lvl w:ilvl="0">
      <w:start w:val="1"/>
      <w:numFmt w:val="upperLetter"/>
      <w:pStyle w:val="a0"/>
      <w:suff w:val="nothing"/>
      <w:lvlText w:val="附录%1"/>
      <w:lvlJc w:val="left"/>
      <w:pPr>
        <w:ind w:left="0" w:firstLine="0"/>
      </w:pPr>
      <w:rPr>
        <w:rFonts w:hint="eastAsia"/>
        <w:spacing w:val="100"/>
      </w:rPr>
    </w:lvl>
    <w:lvl w:ilvl="1">
      <w:start w:val="1"/>
      <w:numFmt w:val="decimal"/>
      <w:pStyle w:val="a1"/>
      <w:suff w:val="nothing"/>
      <w:lvlText w:val="%1.%2　"/>
      <w:lvlJc w:val="left"/>
      <w:pPr>
        <w:ind w:left="0" w:firstLine="0"/>
      </w:pPr>
      <w:rPr>
        <w:rFonts w:ascii="黑体" w:eastAsia="黑体" w:hint="eastAsia"/>
        <w:b w:val="0"/>
        <w:i w:val="0"/>
        <w:sz w:val="21"/>
      </w:rPr>
    </w:lvl>
    <w:lvl w:ilvl="2">
      <w:start w:val="1"/>
      <w:numFmt w:val="decimal"/>
      <w:pStyle w:val="a2"/>
      <w:suff w:val="nothing"/>
      <w:lvlText w:val="%1.%2.%3　"/>
      <w:lvlJc w:val="left"/>
      <w:pPr>
        <w:ind w:left="0" w:firstLine="0"/>
      </w:pPr>
      <w:rPr>
        <w:rFonts w:ascii="黑体" w:eastAsia="黑体" w:hint="eastAsia"/>
        <w:b w:val="0"/>
        <w:i w:val="0"/>
        <w:sz w:val="21"/>
      </w:rPr>
    </w:lvl>
    <w:lvl w:ilvl="3">
      <w:start w:val="1"/>
      <w:numFmt w:val="decimal"/>
      <w:pStyle w:val="a3"/>
      <w:suff w:val="nothing"/>
      <w:lvlText w:val="%1.%2.%3.%4　"/>
      <w:lvlJc w:val="left"/>
      <w:pPr>
        <w:ind w:left="0" w:firstLine="0"/>
      </w:pPr>
      <w:rPr>
        <w:rFonts w:ascii="黑体" w:eastAsia="黑体" w:hint="eastAsia"/>
        <w:b w:val="0"/>
        <w:i w:val="0"/>
        <w:sz w:val="21"/>
      </w:rPr>
    </w:lvl>
    <w:lvl w:ilvl="4">
      <w:start w:val="1"/>
      <w:numFmt w:val="decimal"/>
      <w:pStyle w:val="a4"/>
      <w:suff w:val="nothing"/>
      <w:lvlText w:val="%1.%2.%3.%4.%5　"/>
      <w:lvlJc w:val="left"/>
      <w:pPr>
        <w:ind w:left="0" w:firstLine="0"/>
      </w:pPr>
      <w:rPr>
        <w:rFonts w:ascii="黑体" w:eastAsia="黑体" w:hint="eastAsia"/>
        <w:b w:val="0"/>
        <w:i w:val="0"/>
        <w:sz w:val="21"/>
      </w:rPr>
    </w:lvl>
    <w:lvl w:ilvl="5">
      <w:start w:val="1"/>
      <w:numFmt w:val="decimal"/>
      <w:pStyle w:val="a5"/>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nsid w:val="6DBF04F4"/>
    <w:multiLevelType w:val="multilevel"/>
    <w:tmpl w:val="6DBF04F4"/>
    <w:lvl w:ilvl="0">
      <w:start w:val="1"/>
      <w:numFmt w:val="none"/>
      <w:pStyle w:val="a6"/>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A4NzIyN2MxYTlmMzQ1NGE2MjU5NWRkMjhlOGMxYTAifQ=="/>
  </w:docVars>
  <w:rsids>
    <w:rsidRoot w:val="0082467C"/>
    <w:rsid w:val="000550BF"/>
    <w:rsid w:val="00074B21"/>
    <w:rsid w:val="00097F13"/>
    <w:rsid w:val="00166D5A"/>
    <w:rsid w:val="001C1D23"/>
    <w:rsid w:val="001C2D5E"/>
    <w:rsid w:val="001E7D8D"/>
    <w:rsid w:val="00237EB8"/>
    <w:rsid w:val="002528E2"/>
    <w:rsid w:val="00305CE7"/>
    <w:rsid w:val="00351AF7"/>
    <w:rsid w:val="003B7AE3"/>
    <w:rsid w:val="003E75F2"/>
    <w:rsid w:val="004073E3"/>
    <w:rsid w:val="004A3D39"/>
    <w:rsid w:val="004B2D74"/>
    <w:rsid w:val="004C3E33"/>
    <w:rsid w:val="005861D5"/>
    <w:rsid w:val="005C0F61"/>
    <w:rsid w:val="00641560"/>
    <w:rsid w:val="0082467C"/>
    <w:rsid w:val="0083481C"/>
    <w:rsid w:val="00947E4E"/>
    <w:rsid w:val="009E48BF"/>
    <w:rsid w:val="00A40FC9"/>
    <w:rsid w:val="00A93DFD"/>
    <w:rsid w:val="00AD2BFC"/>
    <w:rsid w:val="00B72F63"/>
    <w:rsid w:val="00B74D4D"/>
    <w:rsid w:val="00BA092D"/>
    <w:rsid w:val="00BA4548"/>
    <w:rsid w:val="00C32280"/>
    <w:rsid w:val="00CB534E"/>
    <w:rsid w:val="00DC45FE"/>
    <w:rsid w:val="00F51A02"/>
    <w:rsid w:val="00FB1CA9"/>
    <w:rsid w:val="00FF65CC"/>
    <w:rsid w:val="01021551"/>
    <w:rsid w:val="025A4202"/>
    <w:rsid w:val="027A5940"/>
    <w:rsid w:val="02E165B6"/>
    <w:rsid w:val="033E39EA"/>
    <w:rsid w:val="036A7F63"/>
    <w:rsid w:val="044B766A"/>
    <w:rsid w:val="05161452"/>
    <w:rsid w:val="05916864"/>
    <w:rsid w:val="05E521EA"/>
    <w:rsid w:val="06F774C2"/>
    <w:rsid w:val="0A6A5555"/>
    <w:rsid w:val="0B462071"/>
    <w:rsid w:val="0C3B3D21"/>
    <w:rsid w:val="0C6631A7"/>
    <w:rsid w:val="0DF905F9"/>
    <w:rsid w:val="0E214EC1"/>
    <w:rsid w:val="0E367C2E"/>
    <w:rsid w:val="0FF85FC8"/>
    <w:rsid w:val="10A679DD"/>
    <w:rsid w:val="120E0031"/>
    <w:rsid w:val="132103F3"/>
    <w:rsid w:val="141E3320"/>
    <w:rsid w:val="16B972AA"/>
    <w:rsid w:val="17970A37"/>
    <w:rsid w:val="191517F6"/>
    <w:rsid w:val="19B97876"/>
    <w:rsid w:val="1A591AF2"/>
    <w:rsid w:val="1C1B6A3B"/>
    <w:rsid w:val="1EB07725"/>
    <w:rsid w:val="1F9505C5"/>
    <w:rsid w:val="202820DF"/>
    <w:rsid w:val="203306E2"/>
    <w:rsid w:val="20363D28"/>
    <w:rsid w:val="203C4CFB"/>
    <w:rsid w:val="21CF1EEF"/>
    <w:rsid w:val="226F5DBF"/>
    <w:rsid w:val="25A8232A"/>
    <w:rsid w:val="26B3706F"/>
    <w:rsid w:val="280156D1"/>
    <w:rsid w:val="28643ED1"/>
    <w:rsid w:val="29F65C51"/>
    <w:rsid w:val="2AAF23F1"/>
    <w:rsid w:val="2BF4794F"/>
    <w:rsid w:val="2E14129F"/>
    <w:rsid w:val="32B56950"/>
    <w:rsid w:val="32CC52A7"/>
    <w:rsid w:val="35223625"/>
    <w:rsid w:val="36D729D5"/>
    <w:rsid w:val="380C6174"/>
    <w:rsid w:val="3C3540BC"/>
    <w:rsid w:val="3F64342E"/>
    <w:rsid w:val="3F9D2143"/>
    <w:rsid w:val="40DF0D69"/>
    <w:rsid w:val="40DF2677"/>
    <w:rsid w:val="410A4463"/>
    <w:rsid w:val="413759A7"/>
    <w:rsid w:val="41A82244"/>
    <w:rsid w:val="4408720B"/>
    <w:rsid w:val="46592743"/>
    <w:rsid w:val="466A76DA"/>
    <w:rsid w:val="478F0B12"/>
    <w:rsid w:val="48A5126D"/>
    <w:rsid w:val="49BA16A9"/>
    <w:rsid w:val="4BE4737B"/>
    <w:rsid w:val="4E402B66"/>
    <w:rsid w:val="4F047D75"/>
    <w:rsid w:val="4F0B2D7B"/>
    <w:rsid w:val="4FF376F1"/>
    <w:rsid w:val="50FA1C00"/>
    <w:rsid w:val="52A8727D"/>
    <w:rsid w:val="53E57828"/>
    <w:rsid w:val="559663E2"/>
    <w:rsid w:val="55D03072"/>
    <w:rsid w:val="57AE673C"/>
    <w:rsid w:val="57B82C8E"/>
    <w:rsid w:val="57CE4D2A"/>
    <w:rsid w:val="5952171E"/>
    <w:rsid w:val="5C1A5F69"/>
    <w:rsid w:val="5CED367A"/>
    <w:rsid w:val="5E18706A"/>
    <w:rsid w:val="5F680265"/>
    <w:rsid w:val="60D235C8"/>
    <w:rsid w:val="62427027"/>
    <w:rsid w:val="626D784A"/>
    <w:rsid w:val="633B5223"/>
    <w:rsid w:val="64842127"/>
    <w:rsid w:val="648C4EA5"/>
    <w:rsid w:val="65C12910"/>
    <w:rsid w:val="66D85255"/>
    <w:rsid w:val="67890C82"/>
    <w:rsid w:val="69763255"/>
    <w:rsid w:val="69C06BEF"/>
    <w:rsid w:val="6C5A1DD6"/>
    <w:rsid w:val="6C7F2EDF"/>
    <w:rsid w:val="6C9C3371"/>
    <w:rsid w:val="6EC34879"/>
    <w:rsid w:val="6FE717CE"/>
    <w:rsid w:val="71162715"/>
    <w:rsid w:val="715F1151"/>
    <w:rsid w:val="724573D2"/>
    <w:rsid w:val="73842CB0"/>
    <w:rsid w:val="77FC62E1"/>
    <w:rsid w:val="782D11B6"/>
    <w:rsid w:val="79A62705"/>
    <w:rsid w:val="7C5A6427"/>
    <w:rsid w:val="7CC61167"/>
    <w:rsid w:val="7FB817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4B2D74"/>
    <w:pPr>
      <w:widowControl w:val="0"/>
      <w:adjustRightInd w:val="0"/>
      <w:spacing w:line="400" w:lineRule="exact"/>
      <w:jc w:val="both"/>
    </w:pPr>
    <w:rPr>
      <w:rFonts w:ascii="Calibri" w:hAnsi="Calibri"/>
      <w:kern w:val="2"/>
      <w:sz w:val="21"/>
      <w:szCs w:val="21"/>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Balloon Text"/>
    <w:basedOn w:val="a7"/>
    <w:link w:val="Char"/>
    <w:uiPriority w:val="99"/>
    <w:semiHidden/>
    <w:unhideWhenUsed/>
    <w:qFormat/>
    <w:rsid w:val="004B2D74"/>
    <w:pPr>
      <w:spacing w:line="240" w:lineRule="auto"/>
    </w:pPr>
    <w:rPr>
      <w:sz w:val="18"/>
      <w:szCs w:val="18"/>
    </w:rPr>
  </w:style>
  <w:style w:type="paragraph" w:styleId="ac">
    <w:name w:val="footer"/>
    <w:basedOn w:val="a7"/>
    <w:link w:val="Char0"/>
    <w:uiPriority w:val="99"/>
    <w:unhideWhenUsed/>
    <w:qFormat/>
    <w:rsid w:val="004B2D74"/>
    <w:pPr>
      <w:tabs>
        <w:tab w:val="center" w:pos="4153"/>
        <w:tab w:val="right" w:pos="8306"/>
      </w:tabs>
      <w:snapToGrid w:val="0"/>
      <w:jc w:val="left"/>
    </w:pPr>
    <w:rPr>
      <w:sz w:val="18"/>
      <w:szCs w:val="18"/>
    </w:rPr>
  </w:style>
  <w:style w:type="paragraph" w:styleId="ad">
    <w:name w:val="header"/>
    <w:basedOn w:val="a7"/>
    <w:link w:val="Char1"/>
    <w:uiPriority w:val="99"/>
    <w:unhideWhenUsed/>
    <w:qFormat/>
    <w:rsid w:val="004B2D7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8"/>
    <w:link w:val="ad"/>
    <w:uiPriority w:val="99"/>
    <w:qFormat/>
    <w:rsid w:val="004B2D74"/>
    <w:rPr>
      <w:sz w:val="18"/>
      <w:szCs w:val="18"/>
    </w:rPr>
  </w:style>
  <w:style w:type="character" w:customStyle="1" w:styleId="Char0">
    <w:name w:val="页脚 Char"/>
    <w:basedOn w:val="a8"/>
    <w:link w:val="ac"/>
    <w:uiPriority w:val="99"/>
    <w:qFormat/>
    <w:rsid w:val="004B2D74"/>
    <w:rPr>
      <w:sz w:val="18"/>
      <w:szCs w:val="18"/>
    </w:rPr>
  </w:style>
  <w:style w:type="paragraph" w:customStyle="1" w:styleId="ae">
    <w:name w:val="标准文件_段"/>
    <w:link w:val="Char2"/>
    <w:qFormat/>
    <w:rsid w:val="004B2D74"/>
    <w:pPr>
      <w:autoSpaceDE w:val="0"/>
      <w:autoSpaceDN w:val="0"/>
      <w:ind w:firstLineChars="200" w:firstLine="200"/>
      <w:jc w:val="both"/>
    </w:pPr>
    <w:rPr>
      <w:rFonts w:ascii="宋体"/>
      <w:sz w:val="21"/>
    </w:rPr>
  </w:style>
  <w:style w:type="paragraph" w:customStyle="1" w:styleId="a0">
    <w:name w:val="标准文件_附录标识"/>
    <w:next w:val="ae"/>
    <w:qFormat/>
    <w:rsid w:val="004B2D74"/>
    <w:pPr>
      <w:numPr>
        <w:numId w:val="1"/>
      </w:numPr>
      <w:shd w:val="clear" w:color="FFFFFF" w:fill="FFFFFF"/>
      <w:tabs>
        <w:tab w:val="left" w:pos="6406"/>
      </w:tabs>
      <w:spacing w:beforeLines="25" w:afterLines="50"/>
      <w:jc w:val="center"/>
      <w:outlineLvl w:val="0"/>
    </w:pPr>
    <w:rPr>
      <w:rFonts w:ascii="黑体" w:eastAsia="黑体"/>
      <w:sz w:val="21"/>
    </w:rPr>
  </w:style>
  <w:style w:type="paragraph" w:customStyle="1" w:styleId="a1">
    <w:name w:val="标准文件_附录一级条标题"/>
    <w:next w:val="ae"/>
    <w:qFormat/>
    <w:rsid w:val="004B2D74"/>
    <w:pPr>
      <w:widowControl w:val="0"/>
      <w:numPr>
        <w:ilvl w:val="1"/>
        <w:numId w:val="1"/>
      </w:numPr>
      <w:spacing w:beforeLines="50" w:afterLines="50"/>
      <w:jc w:val="both"/>
      <w:outlineLvl w:val="2"/>
    </w:pPr>
    <w:rPr>
      <w:rFonts w:ascii="黑体" w:eastAsia="黑体"/>
      <w:kern w:val="21"/>
      <w:sz w:val="21"/>
    </w:rPr>
  </w:style>
  <w:style w:type="paragraph" w:customStyle="1" w:styleId="a2">
    <w:name w:val="标准文件_附录二级条标题"/>
    <w:basedOn w:val="a1"/>
    <w:next w:val="ae"/>
    <w:qFormat/>
    <w:rsid w:val="004B2D74"/>
    <w:pPr>
      <w:widowControl/>
      <w:numPr>
        <w:ilvl w:val="2"/>
      </w:numPr>
      <w:wordWrap w:val="0"/>
      <w:overflowPunct w:val="0"/>
      <w:autoSpaceDE w:val="0"/>
      <w:autoSpaceDN w:val="0"/>
      <w:textAlignment w:val="baseline"/>
      <w:outlineLvl w:val="3"/>
    </w:pPr>
  </w:style>
  <w:style w:type="paragraph" w:customStyle="1" w:styleId="a3">
    <w:name w:val="标准文件_附录三级条标题"/>
    <w:next w:val="ae"/>
    <w:qFormat/>
    <w:rsid w:val="004B2D74"/>
    <w:pPr>
      <w:widowControl w:val="0"/>
      <w:numPr>
        <w:ilvl w:val="3"/>
        <w:numId w:val="1"/>
      </w:numPr>
      <w:spacing w:beforeLines="50" w:afterLines="50"/>
      <w:jc w:val="both"/>
      <w:outlineLvl w:val="4"/>
    </w:pPr>
    <w:rPr>
      <w:rFonts w:ascii="黑体" w:eastAsia="黑体"/>
      <w:kern w:val="21"/>
      <w:sz w:val="21"/>
    </w:rPr>
  </w:style>
  <w:style w:type="paragraph" w:customStyle="1" w:styleId="a4">
    <w:name w:val="标准文件_附录四级条标题"/>
    <w:next w:val="ae"/>
    <w:qFormat/>
    <w:rsid w:val="004B2D74"/>
    <w:pPr>
      <w:widowControl w:val="0"/>
      <w:numPr>
        <w:ilvl w:val="4"/>
        <w:numId w:val="1"/>
      </w:numPr>
      <w:spacing w:beforeLines="50" w:afterLines="50"/>
      <w:jc w:val="both"/>
      <w:outlineLvl w:val="5"/>
    </w:pPr>
    <w:rPr>
      <w:rFonts w:ascii="黑体" w:eastAsia="黑体"/>
      <w:kern w:val="21"/>
      <w:sz w:val="21"/>
    </w:rPr>
  </w:style>
  <w:style w:type="paragraph" w:customStyle="1" w:styleId="a5">
    <w:name w:val="标准文件_附录五级条标题"/>
    <w:next w:val="ae"/>
    <w:qFormat/>
    <w:rsid w:val="004B2D74"/>
    <w:pPr>
      <w:widowControl w:val="0"/>
      <w:numPr>
        <w:ilvl w:val="5"/>
        <w:numId w:val="1"/>
      </w:numPr>
      <w:spacing w:beforeLines="50" w:afterLines="50"/>
      <w:jc w:val="both"/>
      <w:outlineLvl w:val="6"/>
    </w:pPr>
    <w:rPr>
      <w:rFonts w:ascii="黑体" w:eastAsia="黑体"/>
      <w:kern w:val="21"/>
      <w:sz w:val="21"/>
    </w:rPr>
  </w:style>
  <w:style w:type="paragraph" w:customStyle="1" w:styleId="a6">
    <w:name w:val="标准文件_注："/>
    <w:next w:val="ae"/>
    <w:qFormat/>
    <w:rsid w:val="004B2D74"/>
    <w:pPr>
      <w:widowControl w:val="0"/>
      <w:numPr>
        <w:numId w:val="2"/>
      </w:numPr>
      <w:autoSpaceDE w:val="0"/>
      <w:autoSpaceDN w:val="0"/>
      <w:jc w:val="both"/>
    </w:pPr>
    <w:rPr>
      <w:rFonts w:ascii="宋体"/>
      <w:sz w:val="18"/>
      <w:szCs w:val="18"/>
    </w:rPr>
  </w:style>
  <w:style w:type="character" w:customStyle="1" w:styleId="Char2">
    <w:name w:val="标准文件_段 Char"/>
    <w:link w:val="ae"/>
    <w:qFormat/>
    <w:rsid w:val="004B2D74"/>
    <w:rPr>
      <w:rFonts w:ascii="宋体" w:eastAsia="宋体" w:hAnsi="Times New Roman" w:cs="Times New Roman"/>
      <w:kern w:val="0"/>
      <w:szCs w:val="20"/>
    </w:rPr>
  </w:style>
  <w:style w:type="paragraph" w:customStyle="1" w:styleId="af">
    <w:name w:val="段"/>
    <w:link w:val="Char3"/>
    <w:qFormat/>
    <w:rsid w:val="004B2D74"/>
    <w:pPr>
      <w:tabs>
        <w:tab w:val="center" w:pos="4201"/>
        <w:tab w:val="right" w:leader="dot" w:pos="9298"/>
      </w:tabs>
      <w:autoSpaceDE w:val="0"/>
      <w:autoSpaceDN w:val="0"/>
      <w:ind w:firstLineChars="200" w:firstLine="420"/>
      <w:jc w:val="both"/>
    </w:pPr>
    <w:rPr>
      <w:rFonts w:ascii="宋体"/>
      <w:sz w:val="21"/>
    </w:rPr>
  </w:style>
  <w:style w:type="character" w:customStyle="1" w:styleId="Char3">
    <w:name w:val="段 Char"/>
    <w:basedOn w:val="a8"/>
    <w:link w:val="af"/>
    <w:qFormat/>
    <w:rsid w:val="004B2D74"/>
    <w:rPr>
      <w:rFonts w:ascii="宋体" w:eastAsia="宋体" w:hAnsi="Times New Roman" w:cs="Times New Roman"/>
      <w:kern w:val="0"/>
      <w:szCs w:val="20"/>
    </w:rPr>
  </w:style>
  <w:style w:type="character" w:customStyle="1" w:styleId="Char">
    <w:name w:val="批注框文本 Char"/>
    <w:basedOn w:val="a8"/>
    <w:link w:val="ab"/>
    <w:uiPriority w:val="99"/>
    <w:semiHidden/>
    <w:qFormat/>
    <w:rsid w:val="004B2D74"/>
    <w:rPr>
      <w:rFonts w:ascii="Calibri" w:eastAsia="宋体" w:hAnsi="Calibri" w:cs="Times New Roman"/>
      <w:sz w:val="18"/>
      <w:szCs w:val="18"/>
    </w:rPr>
  </w:style>
  <w:style w:type="paragraph" w:customStyle="1" w:styleId="TableParagraph">
    <w:name w:val="Table Paragraph"/>
    <w:basedOn w:val="a7"/>
    <w:uiPriority w:val="99"/>
    <w:qFormat/>
    <w:rsid w:val="004B2D74"/>
  </w:style>
  <w:style w:type="paragraph" w:customStyle="1" w:styleId="a">
    <w:name w:val="章标题"/>
    <w:next w:val="af"/>
    <w:qFormat/>
    <w:rsid w:val="004B2D74"/>
    <w:pPr>
      <w:numPr>
        <w:numId w:val="3"/>
      </w:numPr>
      <w:spacing w:beforeLines="100" w:afterLines="100"/>
      <w:jc w:val="both"/>
      <w:outlineLvl w:val="1"/>
    </w:pPr>
    <w:rPr>
      <w:rFonts w:ascii="黑体" w:eastAsia="黑体"/>
      <w:sz w:val="21"/>
    </w:rPr>
  </w:style>
  <w:style w:type="paragraph" w:customStyle="1" w:styleId="1">
    <w:name w:val="列出段落1"/>
    <w:basedOn w:val="a7"/>
    <w:uiPriority w:val="34"/>
    <w:qFormat/>
    <w:rsid w:val="004B2D74"/>
    <w:pPr>
      <w:ind w:firstLineChars="200" w:firstLine="420"/>
    </w:pPr>
  </w:style>
  <w:style w:type="character" w:styleId="af0">
    <w:name w:val="annotation reference"/>
    <w:basedOn w:val="a8"/>
    <w:uiPriority w:val="99"/>
    <w:semiHidden/>
    <w:unhideWhenUsed/>
    <w:rsid w:val="00947E4E"/>
    <w:rPr>
      <w:sz w:val="21"/>
      <w:szCs w:val="21"/>
    </w:rPr>
  </w:style>
  <w:style w:type="paragraph" w:styleId="af1">
    <w:name w:val="annotation text"/>
    <w:basedOn w:val="a7"/>
    <w:link w:val="Char4"/>
    <w:uiPriority w:val="99"/>
    <w:semiHidden/>
    <w:unhideWhenUsed/>
    <w:rsid w:val="00947E4E"/>
    <w:pPr>
      <w:jc w:val="left"/>
    </w:pPr>
  </w:style>
  <w:style w:type="character" w:customStyle="1" w:styleId="Char4">
    <w:name w:val="批注文字 Char"/>
    <w:basedOn w:val="a8"/>
    <w:link w:val="af1"/>
    <w:uiPriority w:val="99"/>
    <w:semiHidden/>
    <w:rsid w:val="00947E4E"/>
    <w:rPr>
      <w:rFonts w:ascii="Calibri" w:hAnsi="Calibri"/>
      <w:kern w:val="2"/>
      <w:sz w:val="21"/>
      <w:szCs w:val="21"/>
    </w:rPr>
  </w:style>
  <w:style w:type="paragraph" w:styleId="af2">
    <w:name w:val="annotation subject"/>
    <w:basedOn w:val="af1"/>
    <w:next w:val="af1"/>
    <w:link w:val="Char5"/>
    <w:uiPriority w:val="99"/>
    <w:semiHidden/>
    <w:unhideWhenUsed/>
    <w:rsid w:val="00947E4E"/>
    <w:rPr>
      <w:b/>
      <w:bCs/>
    </w:rPr>
  </w:style>
  <w:style w:type="character" w:customStyle="1" w:styleId="Char5">
    <w:name w:val="批注主题 Char"/>
    <w:basedOn w:val="Char4"/>
    <w:link w:val="af2"/>
    <w:uiPriority w:val="99"/>
    <w:semiHidden/>
    <w:rsid w:val="00947E4E"/>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baike.baidu.com/item/%E4%B8%AD%E5%9B%BD%E4%B8%AD%E5%8C%BB%E8%8D%AF%E5%87%BA%E7%89%88%E7%A4%BE/2857948" TargetMode="External"/><Relationship Id="rId3" Type="http://schemas.openxmlformats.org/officeDocument/2006/relationships/settings" Target="settings.xml"/><Relationship Id="rId7" Type="http://schemas.openxmlformats.org/officeDocument/2006/relationships/hyperlink" Target="https://baike.baidu.com/item/%E4%B8%AD%E5%9B%BD%E9%92%88%E7%81%B8%E5%AD%A6%E4%BC%9A/109265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3712</Words>
  <Characters>840</Characters>
  <Application>Microsoft Office Word</Application>
  <DocSecurity>0</DocSecurity>
  <Lines>7</Lines>
  <Paragraphs>9</Paragraphs>
  <ScaleCrop>false</ScaleCrop>
  <Company>Microsoft</Company>
  <LinksUpToDate>false</LinksUpToDate>
  <CharactersWithSpaces>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20</cp:revision>
  <dcterms:created xsi:type="dcterms:W3CDTF">2022-04-19T08:51:00Z</dcterms:created>
  <dcterms:modified xsi:type="dcterms:W3CDTF">2022-08-08T01:05:00Z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39E9926E3E374246BC69F923DA54A3F9</vt:lpwstr>
  </property>
  <property fmtid="{D5CDD505-2E9C-101B-9397-08002B2CF9AE}" pid="4" name="commondata">
    <vt:lpwstr>eyJoZGlkIjoiMjQxODdiNjBjNzRkYjU3MGRmNGNkZGExN2JkZWFjNzMifQ==</vt:lpwstr>
  </property>
</Properties>
</file>