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E7E" w:rsidRDefault="002A665B">
      <w:pPr>
        <w:spacing w:line="360" w:lineRule="auto"/>
        <w:jc w:val="center"/>
        <w:rPr>
          <w:rFonts w:ascii="黑体" w:eastAsia="黑体" w:hAnsi="黑体" w:cs="黑体"/>
          <w:color w:val="000000"/>
          <w:sz w:val="28"/>
          <w:szCs w:val="28"/>
        </w:rPr>
      </w:pPr>
      <w:r w:rsidRPr="00F202E8">
        <w:rPr>
          <w:rFonts w:ascii="黑体" w:eastAsia="黑体" w:hAnsi="黑体" w:cs="黑体" w:hint="eastAsia"/>
          <w:color w:val="000000"/>
          <w:sz w:val="28"/>
          <w:szCs w:val="28"/>
        </w:rPr>
        <w:t>安徽省地方标准编制说明</w:t>
      </w:r>
    </w:p>
    <w:p w:rsidR="00F202E8" w:rsidRPr="00F202E8" w:rsidRDefault="00F202E8">
      <w:pPr>
        <w:spacing w:line="360" w:lineRule="auto"/>
        <w:jc w:val="center"/>
        <w:rPr>
          <w:rFonts w:ascii="华文中宋" w:eastAsia="华文中宋" w:hAnsi="华文中宋"/>
          <w:color w:val="000000"/>
          <w:sz w:val="28"/>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4"/>
        <w:gridCol w:w="1322"/>
        <w:gridCol w:w="3501"/>
        <w:gridCol w:w="879"/>
        <w:gridCol w:w="1122"/>
        <w:gridCol w:w="2052"/>
      </w:tblGrid>
      <w:tr w:rsidR="00694E7E">
        <w:trPr>
          <w:trHeight w:val="20"/>
          <w:jc w:val="center"/>
        </w:trPr>
        <w:tc>
          <w:tcPr>
            <w:tcW w:w="2016" w:type="dxa"/>
            <w:gridSpan w:val="2"/>
            <w:vAlign w:val="center"/>
          </w:tcPr>
          <w:p w:rsidR="00694E7E" w:rsidRDefault="002A665B">
            <w:pPr>
              <w:pStyle w:val="af"/>
              <w:adjustRightInd w:val="0"/>
              <w:spacing w:line="360" w:lineRule="auto"/>
              <w:ind w:firstLineChars="0" w:firstLine="0"/>
              <w:contextualSpacing/>
              <w:jc w:val="center"/>
              <w:rPr>
                <w:rFonts w:hAnsi="宋体"/>
                <w:szCs w:val="21"/>
              </w:rPr>
            </w:pPr>
            <w:r>
              <w:rPr>
                <w:rFonts w:hAnsi="宋体" w:hint="eastAsia"/>
                <w:szCs w:val="21"/>
              </w:rPr>
              <w:t>标准名称</w:t>
            </w:r>
          </w:p>
        </w:tc>
        <w:tc>
          <w:tcPr>
            <w:tcW w:w="7554" w:type="dxa"/>
            <w:gridSpan w:val="4"/>
            <w:vAlign w:val="center"/>
          </w:tcPr>
          <w:p w:rsidR="00694E7E" w:rsidRDefault="002A665B" w:rsidP="00660A00">
            <w:pPr>
              <w:rPr>
                <w:rFonts w:hAnsi="宋体"/>
              </w:rPr>
            </w:pPr>
            <w:r>
              <w:rPr>
                <w:rFonts w:hint="eastAsia"/>
                <w:spacing w:val="-1"/>
              </w:rPr>
              <w:t>中医治未病</w:t>
            </w:r>
            <w:proofErr w:type="gramStart"/>
            <w:r>
              <w:rPr>
                <w:rFonts w:hint="eastAsia"/>
                <w:spacing w:val="-1"/>
              </w:rPr>
              <w:t>科</w:t>
            </w:r>
            <w:r>
              <w:rPr>
                <w:spacing w:val="-1"/>
              </w:rPr>
              <w:t>设施</w:t>
            </w:r>
            <w:proofErr w:type="gramEnd"/>
            <w:r>
              <w:rPr>
                <w:spacing w:val="-1"/>
              </w:rPr>
              <w:t>配置</w:t>
            </w:r>
            <w:r w:rsidR="00660A00">
              <w:rPr>
                <w:rFonts w:hint="eastAsia"/>
                <w:spacing w:val="-1"/>
              </w:rPr>
              <w:t>规范</w:t>
            </w:r>
          </w:p>
        </w:tc>
      </w:tr>
      <w:tr w:rsidR="00694E7E">
        <w:trPr>
          <w:trHeight w:val="20"/>
          <w:jc w:val="center"/>
        </w:trPr>
        <w:tc>
          <w:tcPr>
            <w:tcW w:w="2016" w:type="dxa"/>
            <w:gridSpan w:val="2"/>
            <w:vAlign w:val="center"/>
          </w:tcPr>
          <w:p w:rsidR="00694E7E" w:rsidRDefault="002A665B">
            <w:pPr>
              <w:pStyle w:val="af"/>
              <w:adjustRightInd w:val="0"/>
              <w:spacing w:line="360" w:lineRule="auto"/>
              <w:ind w:firstLineChars="0" w:firstLine="0"/>
              <w:contextualSpacing/>
              <w:jc w:val="center"/>
              <w:rPr>
                <w:rFonts w:hAnsi="宋体"/>
                <w:szCs w:val="21"/>
              </w:rPr>
            </w:pPr>
            <w:r>
              <w:rPr>
                <w:rFonts w:hAnsi="宋体" w:hint="eastAsia"/>
                <w:szCs w:val="21"/>
              </w:rPr>
              <w:t>任务来源</w:t>
            </w:r>
          </w:p>
          <w:p w:rsidR="00694E7E" w:rsidRDefault="002A665B">
            <w:pPr>
              <w:pStyle w:val="af"/>
              <w:adjustRightInd w:val="0"/>
              <w:spacing w:line="360" w:lineRule="auto"/>
              <w:ind w:firstLineChars="0" w:firstLine="0"/>
              <w:contextualSpacing/>
              <w:jc w:val="center"/>
              <w:rPr>
                <w:rFonts w:hAnsi="宋体"/>
                <w:szCs w:val="21"/>
              </w:rPr>
            </w:pPr>
            <w:r>
              <w:rPr>
                <w:rFonts w:hAnsi="宋体" w:hint="eastAsia"/>
                <w:szCs w:val="21"/>
              </w:rPr>
              <w:t>（</w:t>
            </w:r>
            <w:r w:rsidR="00CB3029">
              <w:rPr>
                <w:rStyle w:val="fontstyle01"/>
                <w:rFonts w:hint="default"/>
              </w:rPr>
              <w:t>2021-2-253</w:t>
            </w:r>
            <w:r>
              <w:rPr>
                <w:rFonts w:hAnsi="宋体" w:hint="eastAsia"/>
                <w:szCs w:val="21"/>
              </w:rPr>
              <w:t>）</w:t>
            </w:r>
          </w:p>
        </w:tc>
        <w:tc>
          <w:tcPr>
            <w:tcW w:w="7554" w:type="dxa"/>
            <w:gridSpan w:val="4"/>
            <w:vAlign w:val="center"/>
          </w:tcPr>
          <w:p w:rsidR="00694E7E" w:rsidRDefault="00CB3029" w:rsidP="00660A00">
            <w:pPr>
              <w:rPr>
                <w:rFonts w:ascii="宋体" w:hAnsi="宋体" w:cs="宋体"/>
                <w:sz w:val="24"/>
                <w:szCs w:val="24"/>
              </w:rPr>
            </w:pPr>
            <w:r>
              <w:rPr>
                <w:rFonts w:hAnsi="宋体" w:cs="宋体" w:hint="eastAsia"/>
              </w:rPr>
              <w:t>安徽省市场监督管理局关于下达《区域性地震安全性评价技术规范》等</w:t>
            </w:r>
            <w:r>
              <w:rPr>
                <w:rFonts w:hAnsi="宋体" w:cs="宋体" w:hint="eastAsia"/>
              </w:rPr>
              <w:t>298</w:t>
            </w:r>
            <w:r>
              <w:rPr>
                <w:rFonts w:hAnsi="宋体" w:cs="宋体" w:hint="eastAsia"/>
              </w:rPr>
              <w:t>项地方标准计划的通知</w:t>
            </w:r>
            <w:r>
              <w:rPr>
                <w:rFonts w:hAnsi="宋体" w:hint="eastAsia"/>
              </w:rPr>
              <w:t>（</w:t>
            </w:r>
            <w:proofErr w:type="gramStart"/>
            <w:r>
              <w:rPr>
                <w:rFonts w:hAnsi="宋体" w:hint="eastAsia"/>
              </w:rPr>
              <w:t>皖市监</w:t>
            </w:r>
            <w:proofErr w:type="gramEnd"/>
            <w:r>
              <w:rPr>
                <w:rFonts w:hAnsi="宋体" w:hint="eastAsia"/>
              </w:rPr>
              <w:t>函〔</w:t>
            </w:r>
            <w:r>
              <w:rPr>
                <w:rFonts w:hAnsi="宋体" w:hint="eastAsia"/>
              </w:rPr>
              <w:t>2021</w:t>
            </w:r>
            <w:r>
              <w:rPr>
                <w:rFonts w:hAnsi="宋体" w:hint="eastAsia"/>
              </w:rPr>
              <w:t>〕</w:t>
            </w:r>
            <w:r>
              <w:rPr>
                <w:rFonts w:hAnsi="宋体" w:hint="eastAsia"/>
              </w:rPr>
              <w:t>357</w:t>
            </w:r>
            <w:r>
              <w:rPr>
                <w:rFonts w:hAnsi="宋体" w:hint="eastAsia"/>
              </w:rPr>
              <w:t>号）文件</w:t>
            </w:r>
          </w:p>
        </w:tc>
      </w:tr>
      <w:tr w:rsidR="00694E7E">
        <w:trPr>
          <w:trHeight w:val="20"/>
          <w:jc w:val="center"/>
        </w:trPr>
        <w:tc>
          <w:tcPr>
            <w:tcW w:w="2016" w:type="dxa"/>
            <w:gridSpan w:val="2"/>
            <w:vAlign w:val="center"/>
          </w:tcPr>
          <w:p w:rsidR="00694E7E" w:rsidRDefault="002A665B">
            <w:pPr>
              <w:pStyle w:val="af"/>
              <w:adjustRightInd w:val="0"/>
              <w:spacing w:line="360" w:lineRule="auto"/>
              <w:ind w:firstLineChars="0" w:firstLine="0"/>
              <w:contextualSpacing/>
              <w:jc w:val="center"/>
              <w:rPr>
                <w:rFonts w:hAnsi="宋体"/>
                <w:szCs w:val="21"/>
              </w:rPr>
            </w:pPr>
            <w:r>
              <w:rPr>
                <w:rFonts w:hAnsi="宋体" w:hint="eastAsia"/>
                <w:szCs w:val="21"/>
              </w:rPr>
              <w:t>第一起草单位</w:t>
            </w:r>
          </w:p>
          <w:p w:rsidR="00694E7E" w:rsidRDefault="002A665B">
            <w:pPr>
              <w:pStyle w:val="af"/>
              <w:adjustRightInd w:val="0"/>
              <w:spacing w:line="360" w:lineRule="auto"/>
              <w:ind w:firstLineChars="0" w:firstLine="0"/>
              <w:contextualSpacing/>
              <w:jc w:val="center"/>
              <w:rPr>
                <w:rFonts w:hAnsi="宋体"/>
                <w:szCs w:val="21"/>
              </w:rPr>
            </w:pPr>
            <w:r>
              <w:rPr>
                <w:rFonts w:hAnsi="宋体" w:hint="eastAsia"/>
                <w:szCs w:val="21"/>
              </w:rPr>
              <w:t>（盖章）</w:t>
            </w:r>
          </w:p>
        </w:tc>
        <w:tc>
          <w:tcPr>
            <w:tcW w:w="7554" w:type="dxa"/>
            <w:gridSpan w:val="4"/>
            <w:vAlign w:val="center"/>
          </w:tcPr>
          <w:p w:rsidR="00694E7E" w:rsidRDefault="002A665B">
            <w:pPr>
              <w:pStyle w:val="af"/>
              <w:adjustRightInd w:val="0"/>
              <w:spacing w:line="360" w:lineRule="auto"/>
              <w:ind w:firstLineChars="0" w:firstLine="0"/>
              <w:contextualSpacing/>
              <w:rPr>
                <w:rFonts w:hAnsi="宋体"/>
                <w:szCs w:val="21"/>
              </w:rPr>
            </w:pPr>
            <w:r>
              <w:rPr>
                <w:rFonts w:ascii="Times New Roman" w:hint="eastAsia"/>
                <w:szCs w:val="21"/>
              </w:rPr>
              <w:t>安徽中医药大学第二附属医院</w:t>
            </w:r>
          </w:p>
        </w:tc>
      </w:tr>
      <w:tr w:rsidR="00694E7E">
        <w:trPr>
          <w:trHeight w:val="20"/>
          <w:jc w:val="center"/>
        </w:trPr>
        <w:tc>
          <w:tcPr>
            <w:tcW w:w="2016" w:type="dxa"/>
            <w:gridSpan w:val="2"/>
            <w:vAlign w:val="center"/>
          </w:tcPr>
          <w:p w:rsidR="00694E7E" w:rsidRDefault="002A665B">
            <w:pPr>
              <w:pStyle w:val="af"/>
              <w:adjustRightInd w:val="0"/>
              <w:spacing w:line="360" w:lineRule="auto"/>
              <w:ind w:firstLineChars="0" w:firstLine="0"/>
              <w:contextualSpacing/>
              <w:jc w:val="center"/>
              <w:rPr>
                <w:rFonts w:hAnsi="宋体"/>
                <w:szCs w:val="21"/>
              </w:rPr>
            </w:pPr>
            <w:r>
              <w:rPr>
                <w:rFonts w:hAnsi="宋体" w:hint="eastAsia"/>
                <w:szCs w:val="21"/>
              </w:rPr>
              <w:t>单位地址</w:t>
            </w:r>
          </w:p>
        </w:tc>
        <w:tc>
          <w:tcPr>
            <w:tcW w:w="7554" w:type="dxa"/>
            <w:gridSpan w:val="4"/>
            <w:vAlign w:val="center"/>
          </w:tcPr>
          <w:p w:rsidR="00694E7E" w:rsidRDefault="00694E7E">
            <w:pPr>
              <w:pStyle w:val="af"/>
              <w:adjustRightInd w:val="0"/>
              <w:spacing w:line="360" w:lineRule="auto"/>
              <w:ind w:firstLineChars="0" w:firstLine="0"/>
              <w:contextualSpacing/>
              <w:rPr>
                <w:rFonts w:hAnsi="宋体"/>
                <w:szCs w:val="21"/>
              </w:rPr>
            </w:pPr>
          </w:p>
        </w:tc>
      </w:tr>
      <w:tr w:rsidR="00694E7E">
        <w:trPr>
          <w:trHeight w:val="20"/>
          <w:jc w:val="center"/>
        </w:trPr>
        <w:tc>
          <w:tcPr>
            <w:tcW w:w="2016" w:type="dxa"/>
            <w:gridSpan w:val="2"/>
            <w:vAlign w:val="center"/>
          </w:tcPr>
          <w:p w:rsidR="00694E7E" w:rsidRDefault="002A665B">
            <w:pPr>
              <w:pStyle w:val="af"/>
              <w:adjustRightInd w:val="0"/>
              <w:spacing w:line="360" w:lineRule="auto"/>
              <w:ind w:firstLineChars="0" w:firstLine="0"/>
              <w:contextualSpacing/>
              <w:jc w:val="center"/>
              <w:rPr>
                <w:rFonts w:hAnsi="宋体"/>
                <w:szCs w:val="21"/>
              </w:rPr>
            </w:pPr>
            <w:r>
              <w:rPr>
                <w:rFonts w:hAnsi="宋体" w:hint="eastAsia"/>
                <w:szCs w:val="21"/>
              </w:rPr>
              <w:t>参与起草单位</w:t>
            </w:r>
          </w:p>
        </w:tc>
        <w:tc>
          <w:tcPr>
            <w:tcW w:w="7554" w:type="dxa"/>
            <w:gridSpan w:val="4"/>
            <w:vAlign w:val="center"/>
          </w:tcPr>
          <w:p w:rsidR="00694E7E" w:rsidRDefault="00694E7E">
            <w:pPr>
              <w:pStyle w:val="af"/>
              <w:adjustRightInd w:val="0"/>
              <w:spacing w:line="360" w:lineRule="auto"/>
              <w:ind w:firstLineChars="0" w:firstLine="0"/>
              <w:contextualSpacing/>
              <w:rPr>
                <w:rFonts w:hAnsi="宋体"/>
                <w:szCs w:val="21"/>
              </w:rPr>
            </w:pPr>
          </w:p>
        </w:tc>
      </w:tr>
      <w:tr w:rsidR="00694E7E">
        <w:trPr>
          <w:trHeight w:val="20"/>
          <w:jc w:val="center"/>
        </w:trPr>
        <w:tc>
          <w:tcPr>
            <w:tcW w:w="9570" w:type="dxa"/>
            <w:gridSpan w:val="6"/>
            <w:vAlign w:val="center"/>
          </w:tcPr>
          <w:p w:rsidR="00694E7E" w:rsidRDefault="002A665B">
            <w:pPr>
              <w:pStyle w:val="af"/>
              <w:adjustRightInd w:val="0"/>
              <w:spacing w:line="360" w:lineRule="auto"/>
              <w:ind w:firstLineChars="0" w:firstLine="0"/>
              <w:contextualSpacing/>
              <w:jc w:val="center"/>
              <w:rPr>
                <w:rFonts w:hAnsi="宋体"/>
                <w:szCs w:val="21"/>
              </w:rPr>
            </w:pPr>
            <w:r>
              <w:rPr>
                <w:rFonts w:hAnsi="宋体" w:hint="eastAsia"/>
                <w:szCs w:val="21"/>
              </w:rPr>
              <w:t>标准起草人</w:t>
            </w:r>
          </w:p>
          <w:p w:rsidR="00694E7E" w:rsidRDefault="002A665B">
            <w:pPr>
              <w:pStyle w:val="af"/>
              <w:adjustRightInd w:val="0"/>
              <w:spacing w:line="360" w:lineRule="auto"/>
              <w:ind w:firstLineChars="0" w:firstLine="0"/>
              <w:contextualSpacing/>
              <w:jc w:val="center"/>
              <w:rPr>
                <w:rFonts w:hAnsi="宋体"/>
                <w:szCs w:val="21"/>
              </w:rPr>
            </w:pPr>
            <w:r>
              <w:rPr>
                <w:rFonts w:hAnsi="宋体" w:hint="eastAsia"/>
                <w:szCs w:val="21"/>
              </w:rPr>
              <w:t>（全部起草人，应与标准文本前言中起草人排序一致）</w:t>
            </w:r>
          </w:p>
        </w:tc>
      </w:tr>
      <w:tr w:rsidR="00694E7E">
        <w:trPr>
          <w:trHeight w:val="20"/>
          <w:jc w:val="center"/>
        </w:trPr>
        <w:tc>
          <w:tcPr>
            <w:tcW w:w="694" w:type="dxa"/>
            <w:vAlign w:val="center"/>
          </w:tcPr>
          <w:p w:rsidR="00694E7E" w:rsidRDefault="002A665B">
            <w:pPr>
              <w:pStyle w:val="af"/>
              <w:adjustRightInd w:val="0"/>
              <w:spacing w:line="360" w:lineRule="auto"/>
              <w:ind w:firstLineChars="0" w:firstLine="0"/>
              <w:contextualSpacing/>
              <w:jc w:val="center"/>
              <w:rPr>
                <w:rFonts w:hAnsi="宋体"/>
                <w:szCs w:val="21"/>
              </w:rPr>
            </w:pPr>
            <w:r>
              <w:rPr>
                <w:rFonts w:hAnsi="宋体" w:hint="eastAsia"/>
                <w:szCs w:val="21"/>
              </w:rPr>
              <w:t>序号</w:t>
            </w:r>
          </w:p>
        </w:tc>
        <w:tc>
          <w:tcPr>
            <w:tcW w:w="1322" w:type="dxa"/>
            <w:vAlign w:val="center"/>
          </w:tcPr>
          <w:p w:rsidR="00694E7E" w:rsidRDefault="002A665B">
            <w:pPr>
              <w:pStyle w:val="af"/>
              <w:adjustRightInd w:val="0"/>
              <w:spacing w:line="360" w:lineRule="auto"/>
              <w:ind w:firstLineChars="0" w:firstLine="0"/>
              <w:contextualSpacing/>
              <w:jc w:val="center"/>
              <w:rPr>
                <w:rFonts w:hAnsi="宋体"/>
                <w:szCs w:val="21"/>
              </w:rPr>
            </w:pPr>
            <w:r>
              <w:rPr>
                <w:rFonts w:hAnsi="宋体" w:hint="eastAsia"/>
                <w:szCs w:val="21"/>
              </w:rPr>
              <w:t>姓名</w:t>
            </w:r>
          </w:p>
        </w:tc>
        <w:tc>
          <w:tcPr>
            <w:tcW w:w="3501" w:type="dxa"/>
            <w:vAlign w:val="center"/>
          </w:tcPr>
          <w:p w:rsidR="00694E7E" w:rsidRDefault="002A665B">
            <w:pPr>
              <w:pStyle w:val="af"/>
              <w:adjustRightInd w:val="0"/>
              <w:spacing w:line="360" w:lineRule="auto"/>
              <w:ind w:firstLineChars="0" w:firstLine="0"/>
              <w:contextualSpacing/>
              <w:jc w:val="center"/>
              <w:rPr>
                <w:rFonts w:hAnsi="宋体"/>
                <w:szCs w:val="21"/>
              </w:rPr>
            </w:pPr>
            <w:r>
              <w:rPr>
                <w:rFonts w:hAnsi="宋体" w:hint="eastAsia"/>
                <w:szCs w:val="21"/>
              </w:rPr>
              <w:t>单位</w:t>
            </w:r>
          </w:p>
        </w:tc>
        <w:tc>
          <w:tcPr>
            <w:tcW w:w="879" w:type="dxa"/>
            <w:vAlign w:val="center"/>
          </w:tcPr>
          <w:p w:rsidR="00694E7E" w:rsidRDefault="002A665B">
            <w:pPr>
              <w:pStyle w:val="af"/>
              <w:adjustRightInd w:val="0"/>
              <w:spacing w:line="360" w:lineRule="auto"/>
              <w:ind w:firstLineChars="0" w:firstLine="0"/>
              <w:contextualSpacing/>
              <w:jc w:val="center"/>
              <w:rPr>
                <w:rFonts w:hAnsi="宋体"/>
                <w:szCs w:val="21"/>
              </w:rPr>
            </w:pPr>
            <w:r>
              <w:rPr>
                <w:rFonts w:hAnsi="宋体" w:hint="eastAsia"/>
                <w:szCs w:val="21"/>
              </w:rPr>
              <w:t>职务</w:t>
            </w:r>
          </w:p>
        </w:tc>
        <w:tc>
          <w:tcPr>
            <w:tcW w:w="1122" w:type="dxa"/>
            <w:vAlign w:val="center"/>
          </w:tcPr>
          <w:p w:rsidR="00694E7E" w:rsidRDefault="002A665B">
            <w:pPr>
              <w:pStyle w:val="af"/>
              <w:adjustRightInd w:val="0"/>
              <w:spacing w:line="360" w:lineRule="auto"/>
              <w:ind w:firstLineChars="0" w:firstLine="0"/>
              <w:contextualSpacing/>
              <w:jc w:val="center"/>
              <w:rPr>
                <w:rFonts w:hAnsi="宋体"/>
                <w:szCs w:val="21"/>
              </w:rPr>
            </w:pPr>
            <w:r>
              <w:rPr>
                <w:rFonts w:hAnsi="宋体" w:hint="eastAsia"/>
                <w:szCs w:val="21"/>
              </w:rPr>
              <w:t>职称</w:t>
            </w:r>
          </w:p>
        </w:tc>
        <w:tc>
          <w:tcPr>
            <w:tcW w:w="2052" w:type="dxa"/>
            <w:vAlign w:val="center"/>
          </w:tcPr>
          <w:p w:rsidR="00694E7E" w:rsidRDefault="002A665B">
            <w:pPr>
              <w:pStyle w:val="af"/>
              <w:adjustRightInd w:val="0"/>
              <w:spacing w:line="360" w:lineRule="auto"/>
              <w:ind w:firstLineChars="0" w:firstLine="0"/>
              <w:contextualSpacing/>
              <w:jc w:val="center"/>
              <w:rPr>
                <w:rFonts w:hAnsi="宋体"/>
                <w:szCs w:val="21"/>
              </w:rPr>
            </w:pPr>
            <w:r>
              <w:rPr>
                <w:rFonts w:hAnsi="宋体" w:hint="eastAsia"/>
                <w:szCs w:val="21"/>
              </w:rPr>
              <w:t>电话</w:t>
            </w:r>
          </w:p>
        </w:tc>
      </w:tr>
      <w:tr w:rsidR="00694E7E">
        <w:trPr>
          <w:trHeight w:val="20"/>
          <w:jc w:val="center"/>
        </w:trPr>
        <w:tc>
          <w:tcPr>
            <w:tcW w:w="694" w:type="dxa"/>
            <w:vAlign w:val="center"/>
          </w:tcPr>
          <w:p w:rsidR="00694E7E" w:rsidRDefault="00694E7E">
            <w:pPr>
              <w:pStyle w:val="af"/>
              <w:adjustRightInd w:val="0"/>
              <w:spacing w:line="360" w:lineRule="auto"/>
              <w:ind w:firstLineChars="0" w:firstLine="0"/>
              <w:contextualSpacing/>
              <w:rPr>
                <w:rFonts w:hAnsi="宋体"/>
                <w:szCs w:val="21"/>
              </w:rPr>
            </w:pPr>
          </w:p>
        </w:tc>
        <w:tc>
          <w:tcPr>
            <w:tcW w:w="1322" w:type="dxa"/>
            <w:vAlign w:val="center"/>
          </w:tcPr>
          <w:p w:rsidR="00694E7E" w:rsidRDefault="00694E7E">
            <w:pPr>
              <w:pStyle w:val="af"/>
              <w:adjustRightInd w:val="0"/>
              <w:spacing w:line="360" w:lineRule="auto"/>
              <w:ind w:firstLineChars="0" w:firstLine="0"/>
              <w:contextualSpacing/>
              <w:rPr>
                <w:rFonts w:hAnsi="宋体"/>
                <w:szCs w:val="21"/>
              </w:rPr>
            </w:pPr>
          </w:p>
        </w:tc>
        <w:tc>
          <w:tcPr>
            <w:tcW w:w="3501" w:type="dxa"/>
            <w:vAlign w:val="center"/>
          </w:tcPr>
          <w:p w:rsidR="00694E7E" w:rsidRDefault="00694E7E">
            <w:pPr>
              <w:pStyle w:val="af"/>
              <w:adjustRightInd w:val="0"/>
              <w:spacing w:line="360" w:lineRule="auto"/>
              <w:ind w:firstLineChars="0" w:firstLine="0"/>
              <w:contextualSpacing/>
              <w:rPr>
                <w:rFonts w:hAnsi="宋体"/>
                <w:szCs w:val="21"/>
              </w:rPr>
            </w:pPr>
          </w:p>
        </w:tc>
        <w:tc>
          <w:tcPr>
            <w:tcW w:w="879" w:type="dxa"/>
            <w:vAlign w:val="center"/>
          </w:tcPr>
          <w:p w:rsidR="00694E7E" w:rsidRDefault="00694E7E">
            <w:pPr>
              <w:pStyle w:val="af"/>
              <w:adjustRightInd w:val="0"/>
              <w:spacing w:line="360" w:lineRule="auto"/>
              <w:ind w:firstLineChars="0" w:firstLine="0"/>
              <w:contextualSpacing/>
              <w:rPr>
                <w:rFonts w:hAnsi="宋体"/>
                <w:szCs w:val="21"/>
              </w:rPr>
            </w:pPr>
          </w:p>
        </w:tc>
        <w:tc>
          <w:tcPr>
            <w:tcW w:w="1122" w:type="dxa"/>
            <w:vAlign w:val="center"/>
          </w:tcPr>
          <w:p w:rsidR="00694E7E" w:rsidRDefault="00694E7E">
            <w:pPr>
              <w:pStyle w:val="af"/>
              <w:adjustRightInd w:val="0"/>
              <w:spacing w:line="360" w:lineRule="auto"/>
              <w:ind w:firstLineChars="0" w:firstLine="0"/>
              <w:contextualSpacing/>
              <w:rPr>
                <w:rFonts w:hAnsi="宋体"/>
                <w:szCs w:val="21"/>
              </w:rPr>
            </w:pPr>
          </w:p>
        </w:tc>
        <w:tc>
          <w:tcPr>
            <w:tcW w:w="2052" w:type="dxa"/>
            <w:vAlign w:val="center"/>
          </w:tcPr>
          <w:p w:rsidR="00694E7E" w:rsidRDefault="00694E7E">
            <w:pPr>
              <w:pStyle w:val="af"/>
              <w:adjustRightInd w:val="0"/>
              <w:spacing w:line="360" w:lineRule="auto"/>
              <w:ind w:firstLineChars="0" w:firstLine="0"/>
              <w:contextualSpacing/>
              <w:rPr>
                <w:rFonts w:hAnsi="宋体"/>
                <w:szCs w:val="21"/>
              </w:rPr>
            </w:pPr>
          </w:p>
        </w:tc>
      </w:tr>
      <w:tr w:rsidR="00694E7E">
        <w:trPr>
          <w:trHeight w:val="20"/>
          <w:jc w:val="center"/>
        </w:trPr>
        <w:tc>
          <w:tcPr>
            <w:tcW w:w="694" w:type="dxa"/>
            <w:vAlign w:val="center"/>
          </w:tcPr>
          <w:p w:rsidR="00694E7E" w:rsidRDefault="00694E7E">
            <w:pPr>
              <w:pStyle w:val="af"/>
              <w:adjustRightInd w:val="0"/>
              <w:spacing w:line="360" w:lineRule="auto"/>
              <w:ind w:firstLineChars="0" w:firstLine="0"/>
              <w:contextualSpacing/>
              <w:rPr>
                <w:rFonts w:hAnsi="宋体"/>
                <w:szCs w:val="21"/>
              </w:rPr>
            </w:pPr>
          </w:p>
        </w:tc>
        <w:tc>
          <w:tcPr>
            <w:tcW w:w="1322" w:type="dxa"/>
            <w:vAlign w:val="center"/>
          </w:tcPr>
          <w:p w:rsidR="00694E7E" w:rsidRDefault="00694E7E">
            <w:pPr>
              <w:pStyle w:val="af"/>
              <w:adjustRightInd w:val="0"/>
              <w:spacing w:line="360" w:lineRule="auto"/>
              <w:ind w:firstLineChars="0" w:firstLine="0"/>
              <w:contextualSpacing/>
              <w:rPr>
                <w:rFonts w:hAnsi="宋体"/>
                <w:szCs w:val="21"/>
              </w:rPr>
            </w:pPr>
          </w:p>
        </w:tc>
        <w:tc>
          <w:tcPr>
            <w:tcW w:w="3501" w:type="dxa"/>
          </w:tcPr>
          <w:p w:rsidR="00694E7E" w:rsidRDefault="00694E7E"/>
        </w:tc>
        <w:tc>
          <w:tcPr>
            <w:tcW w:w="879" w:type="dxa"/>
            <w:vAlign w:val="center"/>
          </w:tcPr>
          <w:p w:rsidR="00694E7E" w:rsidRDefault="00694E7E">
            <w:pPr>
              <w:pStyle w:val="af"/>
              <w:adjustRightInd w:val="0"/>
              <w:spacing w:line="360" w:lineRule="auto"/>
              <w:ind w:firstLineChars="0" w:firstLine="0"/>
              <w:contextualSpacing/>
              <w:rPr>
                <w:rFonts w:hAnsi="宋体"/>
                <w:szCs w:val="21"/>
              </w:rPr>
            </w:pPr>
          </w:p>
        </w:tc>
        <w:tc>
          <w:tcPr>
            <w:tcW w:w="1122" w:type="dxa"/>
            <w:vAlign w:val="center"/>
          </w:tcPr>
          <w:p w:rsidR="00694E7E" w:rsidRDefault="00694E7E">
            <w:pPr>
              <w:pStyle w:val="af"/>
              <w:adjustRightInd w:val="0"/>
              <w:spacing w:line="360" w:lineRule="auto"/>
              <w:ind w:firstLineChars="0" w:firstLine="0"/>
              <w:contextualSpacing/>
              <w:rPr>
                <w:rFonts w:hAnsi="宋体"/>
                <w:szCs w:val="21"/>
              </w:rPr>
            </w:pPr>
          </w:p>
        </w:tc>
        <w:tc>
          <w:tcPr>
            <w:tcW w:w="2052" w:type="dxa"/>
            <w:vAlign w:val="center"/>
          </w:tcPr>
          <w:p w:rsidR="00694E7E" w:rsidRDefault="00694E7E">
            <w:pPr>
              <w:pStyle w:val="af"/>
              <w:adjustRightInd w:val="0"/>
              <w:spacing w:line="360" w:lineRule="auto"/>
              <w:ind w:firstLineChars="0" w:firstLine="0"/>
              <w:contextualSpacing/>
              <w:rPr>
                <w:rFonts w:hAnsi="宋体"/>
                <w:szCs w:val="21"/>
              </w:rPr>
            </w:pPr>
          </w:p>
        </w:tc>
      </w:tr>
      <w:tr w:rsidR="00CF5281">
        <w:trPr>
          <w:trHeight w:val="20"/>
          <w:jc w:val="center"/>
        </w:trPr>
        <w:tc>
          <w:tcPr>
            <w:tcW w:w="694" w:type="dxa"/>
            <w:vAlign w:val="center"/>
          </w:tcPr>
          <w:p w:rsidR="00CF5281" w:rsidRDefault="00CF5281">
            <w:pPr>
              <w:pStyle w:val="af"/>
              <w:adjustRightInd w:val="0"/>
              <w:spacing w:line="360" w:lineRule="auto"/>
              <w:ind w:firstLineChars="0" w:firstLine="0"/>
              <w:contextualSpacing/>
              <w:rPr>
                <w:rFonts w:hAnsi="宋体"/>
                <w:szCs w:val="21"/>
              </w:rPr>
            </w:pPr>
          </w:p>
        </w:tc>
        <w:tc>
          <w:tcPr>
            <w:tcW w:w="1322" w:type="dxa"/>
            <w:vAlign w:val="center"/>
          </w:tcPr>
          <w:p w:rsidR="00CF5281" w:rsidRDefault="00CF5281">
            <w:pPr>
              <w:pStyle w:val="af"/>
              <w:adjustRightInd w:val="0"/>
              <w:spacing w:line="360" w:lineRule="auto"/>
              <w:ind w:firstLineChars="0" w:firstLine="0"/>
              <w:contextualSpacing/>
              <w:rPr>
                <w:rFonts w:hAnsi="宋体"/>
                <w:szCs w:val="21"/>
              </w:rPr>
            </w:pPr>
          </w:p>
        </w:tc>
        <w:tc>
          <w:tcPr>
            <w:tcW w:w="3501" w:type="dxa"/>
          </w:tcPr>
          <w:p w:rsidR="00CF5281" w:rsidRDefault="00CF5281"/>
        </w:tc>
        <w:tc>
          <w:tcPr>
            <w:tcW w:w="879" w:type="dxa"/>
            <w:vAlign w:val="center"/>
          </w:tcPr>
          <w:p w:rsidR="00CF5281" w:rsidRDefault="00CF5281">
            <w:pPr>
              <w:pStyle w:val="af"/>
              <w:adjustRightInd w:val="0"/>
              <w:spacing w:line="360" w:lineRule="auto"/>
              <w:ind w:firstLineChars="0" w:firstLine="0"/>
              <w:contextualSpacing/>
              <w:rPr>
                <w:rFonts w:hAnsi="宋体"/>
                <w:szCs w:val="21"/>
              </w:rPr>
            </w:pPr>
          </w:p>
        </w:tc>
        <w:tc>
          <w:tcPr>
            <w:tcW w:w="1122" w:type="dxa"/>
            <w:vAlign w:val="center"/>
          </w:tcPr>
          <w:p w:rsidR="00CF5281" w:rsidRDefault="00CF5281">
            <w:pPr>
              <w:pStyle w:val="af"/>
              <w:adjustRightInd w:val="0"/>
              <w:spacing w:line="360" w:lineRule="auto"/>
              <w:ind w:firstLineChars="0" w:firstLine="0"/>
              <w:contextualSpacing/>
              <w:rPr>
                <w:rFonts w:hAnsi="宋体"/>
                <w:szCs w:val="21"/>
              </w:rPr>
            </w:pPr>
          </w:p>
        </w:tc>
        <w:tc>
          <w:tcPr>
            <w:tcW w:w="2052" w:type="dxa"/>
            <w:vAlign w:val="center"/>
          </w:tcPr>
          <w:p w:rsidR="00CF5281" w:rsidRDefault="00CF5281">
            <w:pPr>
              <w:pStyle w:val="af"/>
              <w:adjustRightInd w:val="0"/>
              <w:spacing w:line="360" w:lineRule="auto"/>
              <w:ind w:firstLineChars="0" w:firstLine="0"/>
              <w:contextualSpacing/>
              <w:rPr>
                <w:rFonts w:hAnsi="宋体"/>
                <w:szCs w:val="21"/>
              </w:rPr>
            </w:pPr>
          </w:p>
        </w:tc>
      </w:tr>
      <w:tr w:rsidR="00694E7E">
        <w:trPr>
          <w:trHeight w:val="20"/>
          <w:jc w:val="center"/>
        </w:trPr>
        <w:tc>
          <w:tcPr>
            <w:tcW w:w="9570" w:type="dxa"/>
            <w:gridSpan w:val="6"/>
            <w:vAlign w:val="center"/>
          </w:tcPr>
          <w:p w:rsidR="00694E7E" w:rsidRDefault="002A665B">
            <w:pPr>
              <w:pStyle w:val="af"/>
              <w:adjustRightInd w:val="0"/>
              <w:spacing w:line="360" w:lineRule="auto"/>
              <w:ind w:firstLineChars="0" w:firstLine="0"/>
              <w:contextualSpacing/>
              <w:jc w:val="center"/>
              <w:rPr>
                <w:rFonts w:hAnsi="宋体"/>
                <w:szCs w:val="21"/>
              </w:rPr>
            </w:pPr>
            <w:r>
              <w:rPr>
                <w:rFonts w:hAnsi="宋体" w:hint="eastAsia"/>
                <w:szCs w:val="21"/>
              </w:rPr>
              <w:t>编制情况</w:t>
            </w:r>
          </w:p>
        </w:tc>
      </w:tr>
      <w:tr w:rsidR="00694E7E">
        <w:trPr>
          <w:trHeight w:val="20"/>
          <w:jc w:val="center"/>
        </w:trPr>
        <w:tc>
          <w:tcPr>
            <w:tcW w:w="9570" w:type="dxa"/>
            <w:gridSpan w:val="6"/>
            <w:vAlign w:val="center"/>
          </w:tcPr>
          <w:p w:rsidR="00694E7E" w:rsidRDefault="002A665B">
            <w:pPr>
              <w:pStyle w:val="af"/>
              <w:adjustRightInd w:val="0"/>
              <w:spacing w:line="360" w:lineRule="auto"/>
              <w:ind w:firstLineChars="0" w:firstLine="0"/>
              <w:contextualSpacing/>
              <w:rPr>
                <w:rFonts w:hAnsi="宋体"/>
                <w:szCs w:val="21"/>
              </w:rPr>
            </w:pPr>
            <w:r>
              <w:rPr>
                <w:rFonts w:hAnsi="宋体" w:hint="eastAsia"/>
                <w:szCs w:val="21"/>
              </w:rPr>
              <w:t>1、编制过程简介</w:t>
            </w:r>
          </w:p>
        </w:tc>
      </w:tr>
      <w:tr w:rsidR="00694E7E">
        <w:trPr>
          <w:trHeight w:val="20"/>
          <w:jc w:val="center"/>
        </w:trPr>
        <w:tc>
          <w:tcPr>
            <w:tcW w:w="9570" w:type="dxa"/>
            <w:gridSpan w:val="6"/>
            <w:vAlign w:val="center"/>
          </w:tcPr>
          <w:p w:rsidR="00694E7E" w:rsidRDefault="002A665B">
            <w:pPr>
              <w:pStyle w:val="af"/>
              <w:adjustRightInd w:val="0"/>
              <w:spacing w:line="360" w:lineRule="auto"/>
              <w:contextualSpacing/>
              <w:rPr>
                <w:rFonts w:ascii="Arial" w:hAnsi="Arial" w:cs="Arial"/>
                <w:szCs w:val="21"/>
              </w:rPr>
            </w:pPr>
            <w:r>
              <w:rPr>
                <w:rFonts w:hAnsi="宋体" w:hint="eastAsia"/>
                <w:szCs w:val="21"/>
              </w:rPr>
              <w:t>2021年9月3日，收到《关于下达2021年安徽省地方标准制修订计划的通知》后，</w:t>
            </w:r>
            <w:r>
              <w:rPr>
                <w:rFonts w:hAnsi="宋体" w:cs="宋体" w:hint="eastAsia"/>
                <w:szCs w:val="21"/>
              </w:rPr>
              <w:t>安徽省中医药大学第二附属医院为</w:t>
            </w:r>
            <w:r>
              <w:rPr>
                <w:rFonts w:ascii="Arial" w:hAnsi="Arial" w:cs="Arial" w:hint="eastAsia"/>
                <w:szCs w:val="21"/>
              </w:rPr>
              <w:t>保证该标准编制工作的顺利进行，</w:t>
            </w:r>
            <w:r w:rsidRPr="00CB3029">
              <w:rPr>
                <w:rFonts w:ascii="Arial" w:hAnsi="Arial" w:cs="Arial" w:hint="eastAsia"/>
                <w:szCs w:val="21"/>
              </w:rPr>
              <w:t>安徽中医药大学第二附属医院成立了起草小组。</w:t>
            </w:r>
            <w:r>
              <w:rPr>
                <w:rFonts w:ascii="Arial" w:hAnsi="Arial" w:cs="Arial" w:hint="eastAsia"/>
                <w:szCs w:val="21"/>
              </w:rPr>
              <w:t>主要负责起草单位首先在广泛收集整理与本项目有关的国内外标准信息和文献的基础上，立即组织展开具体工作。</w:t>
            </w:r>
          </w:p>
          <w:p w:rsidR="00694E7E" w:rsidRDefault="002A665B">
            <w:pPr>
              <w:pStyle w:val="af"/>
              <w:adjustRightInd w:val="0"/>
              <w:spacing w:line="360" w:lineRule="auto"/>
              <w:ind w:firstLineChars="0" w:firstLine="0"/>
              <w:contextualSpacing/>
              <w:rPr>
                <w:rFonts w:hAnsi="宋体" w:cs="宋体"/>
                <w:szCs w:val="21"/>
              </w:rPr>
            </w:pPr>
            <w:r>
              <w:rPr>
                <w:rFonts w:hAnsi="宋体" w:cs="宋体" w:hint="eastAsia"/>
                <w:szCs w:val="21"/>
              </w:rPr>
              <w:t>1）资料搜集</w:t>
            </w:r>
          </w:p>
          <w:p w:rsidR="00694E7E" w:rsidRDefault="002A665B">
            <w:pPr>
              <w:spacing w:line="360" w:lineRule="auto"/>
              <w:ind w:firstLineChars="200" w:firstLine="420"/>
              <w:rPr>
                <w:rFonts w:ascii="宋体" w:hAnsi="宋体" w:cs="宋体"/>
              </w:rPr>
            </w:pPr>
            <w:r>
              <w:rPr>
                <w:rFonts w:ascii="宋体" w:hAnsi="宋体" w:cs="宋体" w:hint="eastAsia"/>
              </w:rPr>
              <w:t>在广泛征求中国针灸学会治未病学术委员会、安徽省中医药学会治未病分会委员意见的基础上，将治未病</w:t>
            </w:r>
            <w:r>
              <w:rPr>
                <w:rFonts w:hint="eastAsia"/>
              </w:rPr>
              <w:t>设施的分类、</w:t>
            </w:r>
            <w:r>
              <w:rPr>
                <w:rFonts w:ascii="宋体" w:hAnsi="宋体" w:cs="宋体" w:hint="eastAsia"/>
              </w:rPr>
              <w:t>治未病</w:t>
            </w:r>
            <w:r>
              <w:rPr>
                <w:rFonts w:hint="eastAsia"/>
              </w:rPr>
              <w:t>配置的设施</w:t>
            </w:r>
            <w:r>
              <w:rPr>
                <w:rFonts w:ascii="宋体" w:hAnsi="宋体" w:cs="宋体" w:hint="eastAsia"/>
              </w:rPr>
              <w:t>与装备</w:t>
            </w:r>
            <w:r>
              <w:rPr>
                <w:rFonts w:hint="eastAsia"/>
              </w:rPr>
              <w:t>要求</w:t>
            </w:r>
            <w:r>
              <w:rPr>
                <w:rFonts w:ascii="宋体" w:hAnsi="宋体" w:cs="宋体" w:hint="eastAsia"/>
              </w:rPr>
              <w:t>作为本文件参考的主要内容。</w:t>
            </w:r>
          </w:p>
          <w:p w:rsidR="00694E7E" w:rsidRDefault="002A665B">
            <w:pPr>
              <w:spacing w:line="360" w:lineRule="auto"/>
              <w:ind w:firstLineChars="200" w:firstLine="420"/>
            </w:pPr>
            <w:r>
              <w:rPr>
                <w:rFonts w:ascii="宋体" w:hAnsi="宋体" w:cs="宋体" w:hint="eastAsia"/>
              </w:rPr>
              <w:t>另外为更好的完成标准编写工作，起</w:t>
            </w:r>
            <w:r>
              <w:rPr>
                <w:rFonts w:hint="eastAsia"/>
              </w:rPr>
              <w:t>草组收集整理了国家和各省市自治区发布的有关治未病设施要求，学习了中医院治未病医疗设备配备等相关发文、标准和管理办法。</w:t>
            </w:r>
          </w:p>
          <w:p w:rsidR="00694E7E" w:rsidRDefault="002A665B">
            <w:pPr>
              <w:spacing w:line="360" w:lineRule="auto"/>
              <w:ind w:firstLineChars="200" w:firstLine="420"/>
            </w:pPr>
            <w:r>
              <w:rPr>
                <w:rFonts w:hint="eastAsia"/>
              </w:rPr>
              <w:t>通过问卷调查了解各级中医医院和其他医疗机构开设的治未病门诊装备设施配备的现状，以及治未病从业人员对装备设施配置的意见和建议。</w:t>
            </w:r>
          </w:p>
          <w:p w:rsidR="00694E7E" w:rsidRDefault="002A665B">
            <w:pPr>
              <w:spacing w:line="360" w:lineRule="auto"/>
              <w:rPr>
                <w:rFonts w:ascii="宋体" w:hAnsi="宋体" w:cs="宋体"/>
              </w:rPr>
            </w:pPr>
            <w:r>
              <w:rPr>
                <w:rFonts w:ascii="宋体" w:hAnsi="宋体" w:cs="宋体" w:hint="eastAsia"/>
              </w:rPr>
              <w:lastRenderedPageBreak/>
              <w:t>2）标准初稿形成</w:t>
            </w:r>
          </w:p>
          <w:p w:rsidR="00694E7E" w:rsidRDefault="002A665B">
            <w:pPr>
              <w:spacing w:line="360" w:lineRule="auto"/>
              <w:ind w:firstLineChars="200" w:firstLine="420"/>
              <w:jc w:val="left"/>
              <w:rPr>
                <w:rFonts w:ascii="宋体" w:hAnsi="宋体" w:cs="宋体"/>
              </w:rPr>
            </w:pPr>
            <w:r>
              <w:rPr>
                <w:rFonts w:ascii="宋体" w:hAnsi="宋体" w:cs="宋体" w:hint="eastAsia"/>
              </w:rPr>
              <w:t>由项目起草组人员在搜集上述资料的基础上，从治未病</w:t>
            </w:r>
            <w:r>
              <w:rPr>
                <w:rFonts w:hint="eastAsia"/>
              </w:rPr>
              <w:t>设施的分类、</w:t>
            </w:r>
            <w:r>
              <w:rPr>
                <w:rFonts w:ascii="宋体" w:hAnsi="宋体" w:cs="宋体" w:hint="eastAsia"/>
              </w:rPr>
              <w:t>治未病</w:t>
            </w:r>
            <w:r>
              <w:rPr>
                <w:rFonts w:hint="eastAsia"/>
              </w:rPr>
              <w:t>配置的设施</w:t>
            </w:r>
            <w:r>
              <w:rPr>
                <w:rFonts w:ascii="宋体" w:hAnsi="宋体" w:cs="宋体" w:hint="eastAsia"/>
              </w:rPr>
              <w:t>与装备</w:t>
            </w:r>
            <w:r>
              <w:rPr>
                <w:rFonts w:hint="eastAsia"/>
              </w:rPr>
              <w:t>要求</w:t>
            </w:r>
            <w:r>
              <w:rPr>
                <w:rFonts w:ascii="宋体" w:hAnsi="宋体" w:cs="宋体" w:hint="eastAsia"/>
              </w:rPr>
              <w:t>等方面规定了治未病装备设施的相关内容，形成了标准初稿。</w:t>
            </w:r>
          </w:p>
          <w:p w:rsidR="00694E7E" w:rsidRDefault="002A665B">
            <w:pPr>
              <w:spacing w:line="360" w:lineRule="auto"/>
              <w:jc w:val="left"/>
              <w:rPr>
                <w:rFonts w:ascii="宋体" w:hAnsi="宋体" w:cs="宋体"/>
              </w:rPr>
            </w:pPr>
            <w:r>
              <w:rPr>
                <w:rFonts w:ascii="宋体" w:hAnsi="宋体" w:cs="宋体"/>
              </w:rPr>
              <w:t>3</w:t>
            </w:r>
            <w:r>
              <w:rPr>
                <w:rFonts w:ascii="宋体" w:hAnsi="宋体" w:cs="宋体" w:hint="eastAsia"/>
              </w:rPr>
              <w:t>）征求意见稿</w:t>
            </w:r>
          </w:p>
          <w:p w:rsidR="00694E7E" w:rsidRDefault="002A665B">
            <w:pPr>
              <w:pStyle w:val="af"/>
              <w:adjustRightInd w:val="0"/>
              <w:spacing w:line="360" w:lineRule="auto"/>
              <w:contextualSpacing/>
              <w:rPr>
                <w:rFonts w:hAnsi="宋体"/>
                <w:szCs w:val="21"/>
              </w:rPr>
            </w:pPr>
            <w:r>
              <w:rPr>
                <w:rFonts w:hAnsi="宋体" w:cs="宋体" w:hint="eastAsia"/>
                <w:szCs w:val="21"/>
              </w:rPr>
              <w:t xml:space="preserve"> 标准初稿形成后，为进一步完善标准内容，使标准更具有可操作性，我们于2021年</w:t>
            </w:r>
            <w:r>
              <w:rPr>
                <w:rFonts w:hAnsi="宋体" w:cs="宋体"/>
                <w:szCs w:val="21"/>
              </w:rPr>
              <w:t>12</w:t>
            </w:r>
            <w:r>
              <w:rPr>
                <w:rFonts w:hAnsi="宋体" w:cs="宋体" w:hint="eastAsia"/>
                <w:szCs w:val="21"/>
              </w:rPr>
              <w:t>月组织了12单位12位专家的内部评审会对该文件的具体内容进行深入讨论，并根据专家意见进一步修改完善，形成了《</w:t>
            </w:r>
            <w:r>
              <w:rPr>
                <w:rFonts w:hint="eastAsia"/>
                <w:spacing w:val="-1"/>
              </w:rPr>
              <w:t>中医治未病科</w:t>
            </w:r>
            <w:r>
              <w:rPr>
                <w:spacing w:val="-1"/>
              </w:rPr>
              <w:t>设施配置</w:t>
            </w:r>
            <w:r>
              <w:rPr>
                <w:rFonts w:hint="eastAsia"/>
                <w:spacing w:val="-1"/>
              </w:rPr>
              <w:t>指南</w:t>
            </w:r>
            <w:r>
              <w:rPr>
                <w:rFonts w:hAnsi="宋体" w:cs="宋体" w:hint="eastAsia"/>
                <w:szCs w:val="21"/>
              </w:rPr>
              <w:t>》的征求意见稿。</w:t>
            </w:r>
          </w:p>
        </w:tc>
      </w:tr>
      <w:tr w:rsidR="00694E7E">
        <w:trPr>
          <w:trHeight w:val="20"/>
          <w:jc w:val="center"/>
        </w:trPr>
        <w:tc>
          <w:tcPr>
            <w:tcW w:w="9570" w:type="dxa"/>
            <w:gridSpan w:val="6"/>
            <w:vAlign w:val="center"/>
          </w:tcPr>
          <w:p w:rsidR="00694E7E" w:rsidRDefault="002A665B">
            <w:pPr>
              <w:pStyle w:val="af"/>
              <w:adjustRightInd w:val="0"/>
              <w:spacing w:line="360" w:lineRule="auto"/>
              <w:ind w:firstLineChars="0" w:firstLine="0"/>
              <w:contextualSpacing/>
              <w:rPr>
                <w:rFonts w:hAnsi="宋体"/>
                <w:szCs w:val="21"/>
              </w:rPr>
            </w:pPr>
            <w:r>
              <w:rPr>
                <w:rFonts w:hAnsi="宋体" w:hint="eastAsia"/>
                <w:szCs w:val="21"/>
              </w:rPr>
              <w:lastRenderedPageBreak/>
              <w:t>2、制定标准的必要性和意义</w:t>
            </w:r>
          </w:p>
        </w:tc>
      </w:tr>
      <w:tr w:rsidR="00694E7E">
        <w:trPr>
          <w:trHeight w:val="20"/>
          <w:jc w:val="center"/>
        </w:trPr>
        <w:tc>
          <w:tcPr>
            <w:tcW w:w="9570" w:type="dxa"/>
            <w:gridSpan w:val="6"/>
            <w:vAlign w:val="center"/>
          </w:tcPr>
          <w:p w:rsidR="00694E7E" w:rsidRDefault="002A665B">
            <w:pPr>
              <w:pStyle w:val="af"/>
              <w:adjustRightInd w:val="0"/>
              <w:spacing w:line="360" w:lineRule="auto"/>
              <w:ind w:firstLineChars="0" w:firstLine="0"/>
              <w:contextualSpacing/>
              <w:rPr>
                <w:rFonts w:hAnsi="宋体"/>
                <w:b/>
                <w:szCs w:val="21"/>
              </w:rPr>
            </w:pPr>
            <w:r>
              <w:rPr>
                <w:rFonts w:hAnsi="宋体" w:hint="eastAsia"/>
                <w:b/>
                <w:szCs w:val="21"/>
              </w:rPr>
              <w:t>必要性</w:t>
            </w:r>
          </w:p>
          <w:p w:rsidR="00694E7E" w:rsidRDefault="002A665B">
            <w:pPr>
              <w:pStyle w:val="af"/>
              <w:adjustRightInd w:val="0"/>
              <w:spacing w:line="360" w:lineRule="auto"/>
              <w:contextualSpacing/>
              <w:rPr>
                <w:rFonts w:hAnsi="宋体"/>
                <w:szCs w:val="21"/>
              </w:rPr>
            </w:pPr>
            <w:r>
              <w:rPr>
                <w:rFonts w:asciiTheme="minorEastAsia" w:eastAsiaTheme="minorEastAsia" w:hAnsiTheme="minorEastAsia" w:cstheme="minorEastAsia" w:hint="eastAsia"/>
                <w:szCs w:val="21"/>
              </w:rPr>
              <w:t>治未病科室作为中医医院一个新兴科室，古往今来并没有成功的模式或经验供借鉴，目前发展尚处于起步阶段，多数医疗机构均在摸索中前进，希望找到一条适合医院自身发展的治未病模式。纵观我省治未病科的服务现状与发展瓶颈主要表现为：治未病设备配置明显不足，治未病设备多数医院还是停留在体质辨识仪、中医四</w:t>
            </w:r>
            <w:proofErr w:type="gramStart"/>
            <w:r>
              <w:rPr>
                <w:rFonts w:asciiTheme="minorEastAsia" w:eastAsiaTheme="minorEastAsia" w:hAnsiTheme="minorEastAsia" w:cstheme="minorEastAsia" w:hint="eastAsia"/>
                <w:szCs w:val="21"/>
              </w:rPr>
              <w:t>诊设备</w:t>
            </w:r>
            <w:proofErr w:type="gramEnd"/>
            <w:r>
              <w:rPr>
                <w:rFonts w:asciiTheme="minorEastAsia" w:eastAsiaTheme="minorEastAsia" w:hAnsiTheme="minorEastAsia" w:cstheme="minorEastAsia" w:hint="eastAsia"/>
                <w:szCs w:val="21"/>
              </w:rPr>
              <w:t>与健康状态辨识等系统的，设备缺少吸引力，缺少相关数据平台专业支撑，导致服务项目减少，与同类医疗科室差距加大，工作效率低下。在一定程度上制约了治未病学科和相关产业的发展。因此如何规范治未病</w:t>
            </w:r>
            <w:proofErr w:type="gramStart"/>
            <w:r>
              <w:rPr>
                <w:rFonts w:asciiTheme="minorEastAsia" w:eastAsiaTheme="minorEastAsia" w:hAnsiTheme="minorEastAsia" w:cstheme="minorEastAsia" w:hint="eastAsia"/>
                <w:szCs w:val="21"/>
              </w:rPr>
              <w:t>科设施</w:t>
            </w:r>
            <w:proofErr w:type="gramEnd"/>
            <w:r>
              <w:rPr>
                <w:rFonts w:asciiTheme="minorEastAsia" w:eastAsiaTheme="minorEastAsia" w:hAnsiTheme="minorEastAsia" w:cstheme="minorEastAsia" w:hint="eastAsia"/>
                <w:szCs w:val="21"/>
              </w:rPr>
              <w:t>配置，优化治未病科诊疗环境，改善治未病</w:t>
            </w:r>
            <w:proofErr w:type="gramStart"/>
            <w:r>
              <w:rPr>
                <w:rFonts w:asciiTheme="minorEastAsia" w:eastAsiaTheme="minorEastAsia" w:hAnsiTheme="minorEastAsia" w:cstheme="minorEastAsia" w:hint="eastAsia"/>
                <w:szCs w:val="21"/>
              </w:rPr>
              <w:t>科患者</w:t>
            </w:r>
            <w:proofErr w:type="gramEnd"/>
            <w:r>
              <w:rPr>
                <w:rFonts w:asciiTheme="minorEastAsia" w:eastAsiaTheme="minorEastAsia" w:hAnsiTheme="minorEastAsia" w:cstheme="minorEastAsia" w:hint="eastAsia"/>
                <w:szCs w:val="21"/>
              </w:rPr>
              <w:t>就医体验</w:t>
            </w:r>
            <w:r>
              <w:rPr>
                <w:rFonts w:hAnsi="宋体" w:hint="eastAsia"/>
                <w:szCs w:val="21"/>
              </w:rPr>
              <w:t>尤为必要。</w:t>
            </w:r>
          </w:p>
          <w:p w:rsidR="00694E7E" w:rsidRDefault="002A665B">
            <w:pPr>
              <w:spacing w:line="360" w:lineRule="auto"/>
              <w:ind w:firstLineChars="200" w:firstLine="42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通过对治未病</w:t>
            </w:r>
            <w:proofErr w:type="gramStart"/>
            <w:r>
              <w:rPr>
                <w:rFonts w:asciiTheme="minorEastAsia" w:eastAsiaTheme="minorEastAsia" w:hAnsiTheme="minorEastAsia" w:cstheme="minorEastAsia" w:hint="eastAsia"/>
                <w:kern w:val="0"/>
              </w:rPr>
              <w:t>科设施</w:t>
            </w:r>
            <w:proofErr w:type="gramEnd"/>
            <w:r>
              <w:rPr>
                <w:rFonts w:asciiTheme="minorEastAsia" w:eastAsiaTheme="minorEastAsia" w:hAnsiTheme="minorEastAsia" w:cstheme="minorEastAsia" w:hint="eastAsia"/>
                <w:kern w:val="0"/>
              </w:rPr>
              <w:t>现状的调研，了解到我国治未病</w:t>
            </w:r>
            <w:proofErr w:type="gramStart"/>
            <w:r>
              <w:rPr>
                <w:rFonts w:asciiTheme="minorEastAsia" w:eastAsiaTheme="minorEastAsia" w:hAnsiTheme="minorEastAsia" w:cstheme="minorEastAsia" w:hint="eastAsia"/>
                <w:kern w:val="0"/>
              </w:rPr>
              <w:t>科设施</w:t>
            </w:r>
            <w:proofErr w:type="gramEnd"/>
            <w:r>
              <w:rPr>
                <w:rFonts w:asciiTheme="minorEastAsia" w:eastAsiaTheme="minorEastAsia" w:hAnsiTheme="minorEastAsia" w:cstheme="minorEastAsia" w:hint="eastAsia"/>
                <w:kern w:val="0"/>
              </w:rPr>
              <w:t>配置基础薄弱，相关产品设备及其配备服务标准缺乏，行业内尚未形成统一、规范的治未病</w:t>
            </w:r>
            <w:proofErr w:type="gramStart"/>
            <w:r>
              <w:rPr>
                <w:rFonts w:asciiTheme="minorEastAsia" w:eastAsiaTheme="minorEastAsia" w:hAnsiTheme="minorEastAsia" w:cstheme="minorEastAsia" w:hint="eastAsia"/>
                <w:kern w:val="0"/>
              </w:rPr>
              <w:t>科设施</w:t>
            </w:r>
            <w:proofErr w:type="gramEnd"/>
            <w:r>
              <w:rPr>
                <w:rFonts w:asciiTheme="minorEastAsia" w:eastAsiaTheme="minorEastAsia" w:hAnsiTheme="minorEastAsia" w:cstheme="minorEastAsia" w:hint="eastAsia"/>
                <w:kern w:val="0"/>
              </w:rPr>
              <w:t>配置标准，亟需完备升级提档，规范治未病</w:t>
            </w:r>
            <w:proofErr w:type="gramStart"/>
            <w:r>
              <w:rPr>
                <w:rFonts w:asciiTheme="minorEastAsia" w:eastAsiaTheme="minorEastAsia" w:hAnsiTheme="minorEastAsia" w:cstheme="minorEastAsia" w:hint="eastAsia"/>
                <w:kern w:val="0"/>
              </w:rPr>
              <w:t>科设施</w:t>
            </w:r>
            <w:proofErr w:type="gramEnd"/>
            <w:r>
              <w:rPr>
                <w:rFonts w:asciiTheme="minorEastAsia" w:eastAsiaTheme="minorEastAsia" w:hAnsiTheme="minorEastAsia" w:cstheme="minorEastAsia" w:hint="eastAsia"/>
                <w:kern w:val="0"/>
              </w:rPr>
              <w:t>配置，改善治未病</w:t>
            </w:r>
            <w:proofErr w:type="gramStart"/>
            <w:r>
              <w:rPr>
                <w:rFonts w:asciiTheme="minorEastAsia" w:eastAsiaTheme="minorEastAsia" w:hAnsiTheme="minorEastAsia" w:cstheme="minorEastAsia" w:hint="eastAsia"/>
                <w:kern w:val="0"/>
              </w:rPr>
              <w:t>科患者</w:t>
            </w:r>
            <w:proofErr w:type="gramEnd"/>
            <w:r>
              <w:rPr>
                <w:rFonts w:asciiTheme="minorEastAsia" w:eastAsiaTheme="minorEastAsia" w:hAnsiTheme="minorEastAsia" w:cstheme="minorEastAsia" w:hint="eastAsia"/>
                <w:kern w:val="0"/>
              </w:rPr>
              <w:t>就医体验。</w:t>
            </w:r>
          </w:p>
          <w:p w:rsidR="00694E7E" w:rsidRDefault="002A665B">
            <w:pPr>
              <w:pStyle w:val="af"/>
              <w:adjustRightInd w:val="0"/>
              <w:spacing w:line="360" w:lineRule="auto"/>
              <w:ind w:firstLineChars="0" w:firstLine="0"/>
              <w:contextualSpacing/>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意义：</w:t>
            </w:r>
          </w:p>
          <w:p w:rsidR="00694E7E" w:rsidRDefault="002A665B">
            <w:pPr>
              <w:pStyle w:val="af"/>
              <w:adjustRightInd w:val="0"/>
              <w:spacing w:line="360" w:lineRule="auto"/>
              <w:contextualSpacing/>
              <w:rPr>
                <w:rFonts w:ascii="Arial" w:hAnsi="Arial" w:cs="Arial"/>
                <w:szCs w:val="21"/>
              </w:rPr>
            </w:pPr>
            <w:r>
              <w:rPr>
                <w:rFonts w:asciiTheme="minorEastAsia" w:eastAsiaTheme="minorEastAsia" w:hAnsiTheme="minorEastAsia" w:cstheme="minorEastAsia"/>
                <w:szCs w:val="21"/>
              </w:rPr>
              <w:t>在治未病医疗健康产业持续发展的形势下，</w:t>
            </w:r>
            <w:r>
              <w:rPr>
                <w:rFonts w:asciiTheme="minorEastAsia" w:eastAsiaTheme="minorEastAsia" w:hAnsiTheme="minorEastAsia" w:cstheme="minorEastAsia" w:hint="eastAsia"/>
                <w:szCs w:val="21"/>
              </w:rPr>
              <w:t>治未病</w:t>
            </w:r>
            <w:r>
              <w:rPr>
                <w:rFonts w:asciiTheme="minorEastAsia" w:eastAsiaTheme="minorEastAsia" w:hAnsiTheme="minorEastAsia" w:cstheme="minorEastAsia"/>
                <w:szCs w:val="21"/>
              </w:rPr>
              <w:t>科的建设日益</w:t>
            </w:r>
            <w:r>
              <w:rPr>
                <w:rFonts w:asciiTheme="minorEastAsia" w:eastAsiaTheme="minorEastAsia" w:hAnsiTheme="minorEastAsia" w:cstheme="minorEastAsia" w:hint="eastAsia"/>
                <w:szCs w:val="21"/>
              </w:rPr>
              <w:t>受到</w:t>
            </w:r>
            <w:r>
              <w:rPr>
                <w:rFonts w:asciiTheme="minorEastAsia" w:eastAsiaTheme="minorEastAsia" w:hAnsiTheme="minorEastAsia" w:cstheme="minorEastAsia"/>
                <w:szCs w:val="21"/>
              </w:rPr>
              <w:t>各级中医医院的高度重视，但</w:t>
            </w:r>
            <w:r>
              <w:rPr>
                <w:rFonts w:asciiTheme="minorEastAsia" w:eastAsiaTheme="minorEastAsia" w:hAnsiTheme="minorEastAsia" w:cstheme="minorEastAsia" w:hint="eastAsia"/>
                <w:szCs w:val="21"/>
              </w:rPr>
              <w:t>治未病</w:t>
            </w:r>
            <w:r>
              <w:rPr>
                <w:rFonts w:asciiTheme="minorEastAsia" w:eastAsiaTheme="minorEastAsia" w:hAnsiTheme="minorEastAsia" w:cstheme="minorEastAsia"/>
                <w:szCs w:val="21"/>
              </w:rPr>
              <w:t>科装备设施水平仍较为落后，在一定程度上影响学科发展。为此，</w:t>
            </w:r>
            <w:r>
              <w:rPr>
                <w:rFonts w:asciiTheme="minorEastAsia" w:eastAsiaTheme="minorEastAsia" w:hAnsiTheme="minorEastAsia" w:cstheme="minorEastAsia" w:hint="eastAsia"/>
                <w:szCs w:val="21"/>
              </w:rPr>
              <w:t>安徽中医药大学</w:t>
            </w:r>
            <w:r>
              <w:rPr>
                <w:rFonts w:asciiTheme="minorEastAsia" w:eastAsiaTheme="minorEastAsia" w:hAnsiTheme="minorEastAsia" w:cstheme="minorEastAsia"/>
                <w:szCs w:val="21"/>
              </w:rPr>
              <w:t>第二附属医院作为国家</w:t>
            </w:r>
            <w:r>
              <w:rPr>
                <w:rFonts w:asciiTheme="minorEastAsia" w:eastAsiaTheme="minorEastAsia" w:hAnsiTheme="minorEastAsia" w:cstheme="minorEastAsia" w:hint="eastAsia"/>
                <w:szCs w:val="21"/>
              </w:rPr>
              <w:t>、</w:t>
            </w:r>
            <w:r>
              <w:rPr>
                <w:rFonts w:asciiTheme="minorEastAsia" w:eastAsiaTheme="minorEastAsia" w:hAnsiTheme="minorEastAsia" w:cstheme="minorEastAsia"/>
                <w:szCs w:val="21"/>
              </w:rPr>
              <w:t>安徽省中医药</w:t>
            </w:r>
            <w:proofErr w:type="gramStart"/>
            <w:r>
              <w:rPr>
                <w:rFonts w:asciiTheme="minorEastAsia" w:eastAsiaTheme="minorEastAsia" w:hAnsiTheme="minorEastAsia" w:cstheme="minorEastAsia"/>
                <w:szCs w:val="21"/>
              </w:rPr>
              <w:t>管理局治未病</w:t>
            </w:r>
            <w:r>
              <w:rPr>
                <w:rFonts w:asciiTheme="minorEastAsia" w:eastAsiaTheme="minorEastAsia" w:hAnsiTheme="minorEastAsia" w:cstheme="minorEastAsia" w:hint="eastAsia"/>
                <w:szCs w:val="21"/>
              </w:rPr>
              <w:t>重</w:t>
            </w:r>
            <w:proofErr w:type="gramEnd"/>
            <w:r>
              <w:rPr>
                <w:rFonts w:asciiTheme="minorEastAsia" w:eastAsiaTheme="minorEastAsia" w:hAnsiTheme="minorEastAsia" w:cstheme="minorEastAsia" w:hint="eastAsia"/>
                <w:szCs w:val="21"/>
              </w:rPr>
              <w:t>点</w:t>
            </w:r>
            <w:r>
              <w:rPr>
                <w:rFonts w:asciiTheme="minorEastAsia" w:eastAsiaTheme="minorEastAsia" w:hAnsiTheme="minorEastAsia" w:cstheme="minorEastAsia"/>
                <w:szCs w:val="21"/>
              </w:rPr>
              <w:t>学科建设单位</w:t>
            </w:r>
            <w:r>
              <w:rPr>
                <w:rFonts w:asciiTheme="minorEastAsia" w:eastAsiaTheme="minorEastAsia" w:hAnsiTheme="minorEastAsia" w:cstheme="minorEastAsia" w:hint="eastAsia"/>
                <w:szCs w:val="21"/>
              </w:rPr>
              <w:t>，联合多家医疗权威机构联合制定《安徽省治未病科装备设施配置规范》标准，本标准的制定有利于规范治未病</w:t>
            </w:r>
            <w:proofErr w:type="gramStart"/>
            <w:r>
              <w:rPr>
                <w:rFonts w:asciiTheme="minorEastAsia" w:eastAsiaTheme="minorEastAsia" w:hAnsiTheme="minorEastAsia" w:cstheme="minorEastAsia" w:hint="eastAsia"/>
                <w:szCs w:val="21"/>
              </w:rPr>
              <w:t>科设施</w:t>
            </w:r>
            <w:proofErr w:type="gramEnd"/>
            <w:r>
              <w:rPr>
                <w:rFonts w:asciiTheme="minorEastAsia" w:eastAsiaTheme="minorEastAsia" w:hAnsiTheme="minorEastAsia" w:cstheme="minorEastAsia" w:hint="eastAsia"/>
                <w:szCs w:val="21"/>
              </w:rPr>
              <w:t>配置，改善治未病</w:t>
            </w:r>
            <w:proofErr w:type="gramStart"/>
            <w:r>
              <w:rPr>
                <w:rFonts w:asciiTheme="minorEastAsia" w:eastAsiaTheme="minorEastAsia" w:hAnsiTheme="minorEastAsia" w:cstheme="minorEastAsia" w:hint="eastAsia"/>
                <w:szCs w:val="21"/>
              </w:rPr>
              <w:t>科患者</w:t>
            </w:r>
            <w:proofErr w:type="gramEnd"/>
            <w:r>
              <w:rPr>
                <w:rFonts w:asciiTheme="minorEastAsia" w:eastAsiaTheme="minorEastAsia" w:hAnsiTheme="minorEastAsia" w:cstheme="minorEastAsia" w:hint="eastAsia"/>
                <w:szCs w:val="21"/>
              </w:rPr>
              <w:t>就医体验；有利于使治未病</w:t>
            </w:r>
            <w:proofErr w:type="gramStart"/>
            <w:r>
              <w:rPr>
                <w:rFonts w:asciiTheme="minorEastAsia" w:eastAsiaTheme="minorEastAsia" w:hAnsiTheme="minorEastAsia" w:cstheme="minorEastAsia" w:hint="eastAsia"/>
                <w:szCs w:val="21"/>
              </w:rPr>
              <w:t>科设施</w:t>
            </w:r>
            <w:proofErr w:type="gramEnd"/>
            <w:r>
              <w:rPr>
                <w:rFonts w:asciiTheme="minorEastAsia" w:eastAsiaTheme="minorEastAsia" w:hAnsiTheme="minorEastAsia" w:cstheme="minorEastAsia" w:hint="eastAsia"/>
                <w:szCs w:val="21"/>
              </w:rPr>
              <w:t>符合医院发展要求；有利于加强对治未病科的规范化建设和管理，严格执行各项规章制度、诊疗规范、技术操作规程等突发事件应急预案，保证中医药特色优势的发挥，保障医疗质量与医疗安全。这对我国治未病科诊疗事业和治未病科学科的发展与进步有着积极的意义。</w:t>
            </w:r>
          </w:p>
        </w:tc>
      </w:tr>
      <w:tr w:rsidR="00694E7E">
        <w:trPr>
          <w:trHeight w:val="20"/>
          <w:jc w:val="center"/>
        </w:trPr>
        <w:tc>
          <w:tcPr>
            <w:tcW w:w="9570" w:type="dxa"/>
            <w:gridSpan w:val="6"/>
            <w:vAlign w:val="center"/>
          </w:tcPr>
          <w:p w:rsidR="00694E7E" w:rsidRDefault="002A665B">
            <w:pPr>
              <w:pStyle w:val="af"/>
              <w:adjustRightInd w:val="0"/>
              <w:spacing w:line="360" w:lineRule="auto"/>
              <w:ind w:firstLineChars="0" w:firstLine="0"/>
              <w:contextualSpacing/>
              <w:rPr>
                <w:rFonts w:hAnsi="宋体"/>
                <w:szCs w:val="21"/>
              </w:rPr>
            </w:pPr>
            <w:r>
              <w:rPr>
                <w:rFonts w:hAnsi="宋体" w:hint="eastAsia"/>
                <w:szCs w:val="21"/>
              </w:rPr>
              <w:t>3、制定标准的原则和依据，与现行法律法规、标准的关系</w:t>
            </w:r>
          </w:p>
        </w:tc>
      </w:tr>
      <w:tr w:rsidR="00694E7E">
        <w:trPr>
          <w:trHeight w:val="20"/>
          <w:jc w:val="center"/>
        </w:trPr>
        <w:tc>
          <w:tcPr>
            <w:tcW w:w="9570" w:type="dxa"/>
            <w:gridSpan w:val="6"/>
            <w:vAlign w:val="center"/>
          </w:tcPr>
          <w:p w:rsidR="00694E7E" w:rsidRDefault="002A665B">
            <w:pPr>
              <w:pStyle w:val="af"/>
              <w:adjustRightInd w:val="0"/>
              <w:spacing w:line="360" w:lineRule="auto"/>
              <w:rPr>
                <w:rFonts w:hAnsi="宋体" w:cs="仿宋"/>
                <w:szCs w:val="21"/>
              </w:rPr>
            </w:pPr>
            <w:r>
              <w:rPr>
                <w:rFonts w:hAnsi="宋体" w:cs="仿宋" w:hint="eastAsia"/>
                <w:szCs w:val="21"/>
              </w:rPr>
              <w:t>（一）标准编制原则</w:t>
            </w:r>
          </w:p>
          <w:p w:rsidR="00694E7E" w:rsidRDefault="002A665B">
            <w:pPr>
              <w:pStyle w:val="af"/>
              <w:adjustRightInd w:val="0"/>
              <w:spacing w:line="360" w:lineRule="auto"/>
              <w:rPr>
                <w:rFonts w:hAnsi="宋体" w:cs="仿宋"/>
                <w:szCs w:val="21"/>
              </w:rPr>
            </w:pPr>
            <w:r>
              <w:rPr>
                <w:rFonts w:hAnsi="宋体" w:cs="仿宋" w:hint="eastAsia"/>
                <w:szCs w:val="21"/>
              </w:rPr>
              <w:lastRenderedPageBreak/>
              <w:t>本标准在制定时主要遵循以下原则：</w:t>
            </w:r>
          </w:p>
          <w:p w:rsidR="00694E7E" w:rsidRDefault="002A665B">
            <w:pPr>
              <w:pStyle w:val="af"/>
              <w:adjustRightInd w:val="0"/>
              <w:spacing w:line="360" w:lineRule="auto"/>
              <w:rPr>
                <w:rFonts w:hAnsi="宋体" w:cs="仿宋"/>
                <w:szCs w:val="21"/>
              </w:rPr>
            </w:pPr>
            <w:r>
              <w:rPr>
                <w:rFonts w:hAnsi="宋体" w:cs="仿宋" w:hint="eastAsia"/>
                <w:szCs w:val="21"/>
              </w:rPr>
              <w:t>（1）符合国家的政策，贯彻国家的法律法规；</w:t>
            </w:r>
          </w:p>
          <w:p w:rsidR="00694E7E" w:rsidRDefault="002A665B">
            <w:pPr>
              <w:pStyle w:val="af"/>
              <w:adjustRightInd w:val="0"/>
              <w:spacing w:line="360" w:lineRule="auto"/>
              <w:rPr>
                <w:rFonts w:hAnsi="宋体" w:cs="仿宋"/>
                <w:szCs w:val="21"/>
              </w:rPr>
            </w:pPr>
            <w:r>
              <w:rPr>
                <w:rFonts w:hAnsi="宋体" w:cs="仿宋" w:hint="eastAsia"/>
                <w:szCs w:val="21"/>
              </w:rPr>
              <w:t>（2）具有科学性；</w:t>
            </w:r>
          </w:p>
          <w:p w:rsidR="00694E7E" w:rsidRDefault="002A665B">
            <w:pPr>
              <w:pStyle w:val="af"/>
              <w:adjustRightInd w:val="0"/>
              <w:spacing w:line="360" w:lineRule="auto"/>
              <w:rPr>
                <w:rFonts w:hAnsi="宋体" w:cs="仿宋"/>
                <w:szCs w:val="21"/>
              </w:rPr>
            </w:pPr>
            <w:r>
              <w:rPr>
                <w:rFonts w:hAnsi="宋体" w:cs="仿宋" w:hint="eastAsia"/>
                <w:szCs w:val="21"/>
              </w:rPr>
              <w:t>（3）具有适用性；</w:t>
            </w:r>
          </w:p>
          <w:p w:rsidR="00694E7E" w:rsidRDefault="002A665B">
            <w:pPr>
              <w:pStyle w:val="af"/>
              <w:adjustRightInd w:val="0"/>
              <w:spacing w:line="360" w:lineRule="auto"/>
              <w:rPr>
                <w:rFonts w:hAnsi="宋体" w:cs="仿宋"/>
                <w:szCs w:val="21"/>
              </w:rPr>
            </w:pPr>
            <w:r>
              <w:rPr>
                <w:rFonts w:hAnsi="宋体" w:cs="仿宋" w:hint="eastAsia"/>
                <w:szCs w:val="21"/>
              </w:rPr>
              <w:t>（4）具有适度性；</w:t>
            </w:r>
          </w:p>
          <w:p w:rsidR="00694E7E" w:rsidRDefault="002A665B">
            <w:pPr>
              <w:pStyle w:val="af"/>
              <w:adjustRightInd w:val="0"/>
              <w:spacing w:line="360" w:lineRule="auto"/>
              <w:rPr>
                <w:rFonts w:hAnsi="宋体" w:cs="仿宋"/>
                <w:szCs w:val="21"/>
              </w:rPr>
            </w:pPr>
            <w:r>
              <w:rPr>
                <w:rFonts w:hAnsi="宋体" w:cs="仿宋" w:hint="eastAsia"/>
                <w:szCs w:val="21"/>
              </w:rPr>
              <w:t>（5）广泛调动各方面的积极性；</w:t>
            </w:r>
          </w:p>
          <w:p w:rsidR="00694E7E" w:rsidRDefault="002A665B">
            <w:pPr>
              <w:pStyle w:val="af"/>
              <w:adjustRightInd w:val="0"/>
              <w:spacing w:line="360" w:lineRule="auto"/>
              <w:rPr>
                <w:rFonts w:hAnsi="宋体" w:cs="仿宋"/>
                <w:szCs w:val="21"/>
              </w:rPr>
            </w:pPr>
            <w:r>
              <w:rPr>
                <w:rFonts w:hAnsi="宋体" w:cs="仿宋" w:hint="eastAsia"/>
                <w:szCs w:val="21"/>
              </w:rPr>
              <w:t>（6）适时制定，适时复审。</w:t>
            </w:r>
          </w:p>
          <w:p w:rsidR="00694E7E" w:rsidRDefault="002A665B">
            <w:pPr>
              <w:pStyle w:val="af"/>
              <w:adjustRightInd w:val="0"/>
              <w:spacing w:line="360" w:lineRule="auto"/>
              <w:rPr>
                <w:rFonts w:hAnsi="宋体" w:cs="仿宋"/>
                <w:szCs w:val="21"/>
              </w:rPr>
            </w:pPr>
            <w:r>
              <w:rPr>
                <w:rFonts w:hAnsi="宋体" w:cs="仿宋" w:hint="eastAsia"/>
                <w:szCs w:val="21"/>
              </w:rPr>
              <w:t>（二）</w:t>
            </w:r>
            <w:r>
              <w:rPr>
                <w:rFonts w:hAnsi="宋体" w:cs="仿宋"/>
                <w:szCs w:val="21"/>
              </w:rPr>
              <w:t>标准主要内容的依据</w:t>
            </w:r>
          </w:p>
          <w:p w:rsidR="00694E7E" w:rsidRDefault="002A665B">
            <w:pPr>
              <w:pStyle w:val="af"/>
              <w:adjustRightInd w:val="0"/>
              <w:spacing w:line="360" w:lineRule="auto"/>
              <w:rPr>
                <w:rFonts w:hAnsi="宋体" w:cs="仿宋"/>
                <w:szCs w:val="21"/>
              </w:rPr>
            </w:pPr>
            <w:r>
              <w:rPr>
                <w:rFonts w:hAnsi="宋体" w:cs="仿宋" w:hint="eastAsia"/>
                <w:szCs w:val="21"/>
              </w:rPr>
              <w:t>（1）</w:t>
            </w:r>
            <w:r>
              <w:rPr>
                <w:rFonts w:hAnsi="宋体" w:cs="仿宋"/>
                <w:szCs w:val="21"/>
              </w:rPr>
              <w:t>本标准</w:t>
            </w:r>
            <w:r>
              <w:rPr>
                <w:rFonts w:hAnsi="宋体" w:cs="仿宋" w:hint="eastAsia"/>
                <w:szCs w:val="21"/>
              </w:rPr>
              <w:t>中服务管理要素的确定与标准内容的编制，结合了服务的现状和发展需求。</w:t>
            </w:r>
          </w:p>
          <w:p w:rsidR="00694E7E" w:rsidRDefault="002A665B">
            <w:pPr>
              <w:pStyle w:val="af"/>
              <w:adjustRightInd w:val="0"/>
              <w:spacing w:line="360" w:lineRule="auto"/>
              <w:rPr>
                <w:rFonts w:hAnsi="宋体" w:cs="仿宋"/>
                <w:szCs w:val="21"/>
              </w:rPr>
            </w:pPr>
            <w:r>
              <w:rPr>
                <w:rFonts w:hAnsi="宋体" w:cs="仿宋" w:hint="eastAsia"/>
                <w:szCs w:val="21"/>
              </w:rPr>
              <w:t>（2）</w:t>
            </w:r>
            <w:r>
              <w:rPr>
                <w:rFonts w:hAnsi="宋体" w:cs="仿宋"/>
                <w:szCs w:val="21"/>
              </w:rPr>
              <w:t>本标准根据</w:t>
            </w:r>
            <w:r>
              <w:rPr>
                <w:rFonts w:hAnsi="宋体" w:cs="仿宋" w:hint="eastAsia"/>
                <w:szCs w:val="21"/>
              </w:rPr>
              <w:t>GB/T 1.1-2020</w:t>
            </w:r>
            <w:r>
              <w:rPr>
                <w:rFonts w:hAnsi="宋体" w:cs="仿宋"/>
                <w:szCs w:val="21"/>
              </w:rPr>
              <w:t>《</w:t>
            </w:r>
            <w:r>
              <w:rPr>
                <w:rFonts w:hAnsi="宋体" w:cs="仿宋" w:hint="eastAsia"/>
                <w:szCs w:val="21"/>
              </w:rPr>
              <w:t>标准化工作导则 第1部分：标准化文件的结构和起草规则》的规定起草</w:t>
            </w:r>
            <w:r>
              <w:rPr>
                <w:rFonts w:hAnsi="宋体" w:cs="仿宋"/>
                <w:szCs w:val="21"/>
              </w:rPr>
              <w:t>。</w:t>
            </w:r>
          </w:p>
          <w:p w:rsidR="00694E7E" w:rsidRDefault="002A665B">
            <w:pPr>
              <w:pStyle w:val="af"/>
              <w:adjustRightInd w:val="0"/>
              <w:spacing w:line="360" w:lineRule="auto"/>
              <w:rPr>
                <w:rFonts w:hAnsi="宋体" w:cs="仿宋"/>
                <w:szCs w:val="21"/>
              </w:rPr>
            </w:pPr>
            <w:r>
              <w:rPr>
                <w:rFonts w:hAnsi="宋体" w:cs="仿宋" w:hint="eastAsia"/>
                <w:szCs w:val="21"/>
              </w:rPr>
              <w:t>（三）与现有法律法规、相关标准的关系</w:t>
            </w:r>
          </w:p>
          <w:p w:rsidR="00694E7E" w:rsidRDefault="002A665B">
            <w:pPr>
              <w:pStyle w:val="af"/>
              <w:adjustRightInd w:val="0"/>
              <w:spacing w:line="360" w:lineRule="auto"/>
              <w:rPr>
                <w:rFonts w:asciiTheme="minorEastAsia" w:eastAsiaTheme="minorEastAsia" w:hAnsiTheme="minorEastAsia" w:cstheme="minorEastAsia"/>
                <w:kern w:val="2"/>
                <w:szCs w:val="21"/>
              </w:rPr>
            </w:pPr>
            <w:r>
              <w:rPr>
                <w:rFonts w:hAnsi="宋体" w:cs="仿宋" w:hint="eastAsia"/>
                <w:szCs w:val="21"/>
              </w:rPr>
              <w:t>本标准符合现行法律、法规要求，与国家、行业、地方标准协调一致、无冲突和矛盾。</w:t>
            </w:r>
          </w:p>
        </w:tc>
      </w:tr>
      <w:tr w:rsidR="00694E7E">
        <w:trPr>
          <w:trHeight w:val="20"/>
          <w:jc w:val="center"/>
        </w:trPr>
        <w:tc>
          <w:tcPr>
            <w:tcW w:w="9570" w:type="dxa"/>
            <w:gridSpan w:val="6"/>
            <w:vAlign w:val="center"/>
          </w:tcPr>
          <w:p w:rsidR="00694E7E" w:rsidRDefault="002A665B">
            <w:pPr>
              <w:pStyle w:val="af"/>
              <w:adjustRightInd w:val="0"/>
              <w:spacing w:line="360" w:lineRule="auto"/>
              <w:ind w:firstLineChars="0" w:firstLine="0"/>
              <w:contextualSpacing/>
              <w:rPr>
                <w:rFonts w:hAnsi="宋体"/>
                <w:szCs w:val="21"/>
              </w:rPr>
            </w:pPr>
            <w:r>
              <w:rPr>
                <w:rFonts w:hAnsi="宋体" w:hint="eastAsia"/>
                <w:szCs w:val="21"/>
              </w:rPr>
              <w:lastRenderedPageBreak/>
              <w:t>4、主要条款的说明，主要技术指标、参数、试验验证的论述（</w:t>
            </w:r>
            <w:r>
              <w:rPr>
                <w:rFonts w:hAnsi="宋体" w:hint="eastAsia"/>
                <w:b/>
                <w:szCs w:val="21"/>
              </w:rPr>
              <w:t>详细说明</w:t>
            </w:r>
            <w:r>
              <w:rPr>
                <w:rFonts w:hAnsi="宋体" w:hint="eastAsia"/>
                <w:szCs w:val="21"/>
              </w:rPr>
              <w:t>）</w:t>
            </w:r>
          </w:p>
        </w:tc>
      </w:tr>
      <w:tr w:rsidR="00694E7E">
        <w:trPr>
          <w:trHeight w:val="20"/>
          <w:jc w:val="center"/>
        </w:trPr>
        <w:tc>
          <w:tcPr>
            <w:tcW w:w="9570" w:type="dxa"/>
            <w:gridSpan w:val="6"/>
            <w:vAlign w:val="center"/>
          </w:tcPr>
          <w:p w:rsidR="00694E7E" w:rsidRDefault="002A665B">
            <w:pPr>
              <w:pStyle w:val="af"/>
              <w:adjustRightInd w:val="0"/>
              <w:spacing w:line="400" w:lineRule="atLeast"/>
              <w:ind w:firstLineChars="0" w:firstLine="0"/>
              <w:contextualSpacing/>
              <w:rPr>
                <w:rFonts w:hAnsi="宋体"/>
                <w:b/>
                <w:szCs w:val="21"/>
              </w:rPr>
            </w:pPr>
            <w:r>
              <w:rPr>
                <w:rFonts w:hAnsi="宋体" w:hint="eastAsia"/>
                <w:b/>
                <w:szCs w:val="21"/>
              </w:rPr>
              <w:t>主要条款：</w:t>
            </w:r>
          </w:p>
          <w:p w:rsidR="00694E7E" w:rsidRDefault="002A665B">
            <w:pPr>
              <w:pStyle w:val="af"/>
              <w:adjustRightInd w:val="0"/>
              <w:spacing w:line="360" w:lineRule="auto"/>
              <w:contextualSpacing/>
              <w:rPr>
                <w:rFonts w:hAnsi="宋体" w:cs="宋体"/>
                <w:szCs w:val="21"/>
              </w:rPr>
            </w:pPr>
            <w:r>
              <w:rPr>
                <w:rFonts w:hAnsi="宋体" w:cs="宋体" w:hint="eastAsia"/>
                <w:szCs w:val="21"/>
              </w:rPr>
              <w:t xml:space="preserve"> “设施分类”和“设施配置要求”是本标准的主要技术内容。</w:t>
            </w:r>
          </w:p>
          <w:p w:rsidR="00694E7E" w:rsidRDefault="002A665B">
            <w:pPr>
              <w:pStyle w:val="af"/>
              <w:spacing w:line="360" w:lineRule="auto"/>
              <w:rPr>
                <w:rFonts w:hAnsi="宋体" w:cs="宋体"/>
                <w:szCs w:val="21"/>
              </w:rPr>
            </w:pPr>
            <w:r>
              <w:rPr>
                <w:rFonts w:hAnsi="宋体" w:cs="宋体" w:hint="eastAsia"/>
                <w:szCs w:val="21"/>
              </w:rPr>
              <w:t>本标准确立了治未病</w:t>
            </w:r>
            <w:proofErr w:type="gramStart"/>
            <w:r>
              <w:rPr>
                <w:rFonts w:hAnsi="宋体" w:cs="宋体" w:hint="eastAsia"/>
                <w:szCs w:val="21"/>
              </w:rPr>
              <w:t>科设施</w:t>
            </w:r>
            <w:proofErr w:type="gramEnd"/>
            <w:r>
              <w:rPr>
                <w:rFonts w:hAnsi="宋体" w:cs="宋体" w:hint="eastAsia"/>
                <w:szCs w:val="21"/>
              </w:rPr>
              <w:t>分类的要求，并规定了设施配置要求等内容。</w:t>
            </w:r>
          </w:p>
          <w:p w:rsidR="00694E7E" w:rsidRDefault="002A665B">
            <w:pPr>
              <w:pStyle w:val="af"/>
              <w:spacing w:line="360" w:lineRule="auto"/>
              <w:rPr>
                <w:rFonts w:hAnsi="宋体" w:cs="宋体"/>
                <w:szCs w:val="21"/>
              </w:rPr>
            </w:pPr>
            <w:r>
              <w:rPr>
                <w:rFonts w:hAnsi="宋体" w:cs="宋体" w:hint="eastAsia"/>
                <w:szCs w:val="21"/>
              </w:rPr>
              <w:t>本标准适用于医院治未病</w:t>
            </w:r>
            <w:proofErr w:type="gramStart"/>
            <w:r>
              <w:rPr>
                <w:rFonts w:hAnsi="宋体" w:cs="宋体" w:hint="eastAsia"/>
                <w:szCs w:val="21"/>
              </w:rPr>
              <w:t>科设施</w:t>
            </w:r>
            <w:proofErr w:type="gramEnd"/>
            <w:r>
              <w:rPr>
                <w:rFonts w:hAnsi="宋体" w:cs="宋体" w:hint="eastAsia"/>
                <w:szCs w:val="21"/>
              </w:rPr>
              <w:t>配置工作。</w:t>
            </w:r>
          </w:p>
          <w:p w:rsidR="00694E7E" w:rsidRDefault="002A665B">
            <w:pPr>
              <w:pStyle w:val="af"/>
              <w:adjustRightInd w:val="0"/>
              <w:spacing w:line="400" w:lineRule="atLeast"/>
              <w:ind w:firstLineChars="0" w:firstLine="0"/>
              <w:contextualSpacing/>
              <w:rPr>
                <w:rFonts w:hAnsi="宋体" w:cs="宋体"/>
                <w:b/>
                <w:szCs w:val="21"/>
              </w:rPr>
            </w:pPr>
            <w:r>
              <w:rPr>
                <w:rFonts w:hAnsi="宋体" w:cs="宋体" w:hint="eastAsia"/>
                <w:b/>
                <w:szCs w:val="21"/>
              </w:rPr>
              <w:t>主要技术指标、参数：</w:t>
            </w:r>
          </w:p>
          <w:p w:rsidR="00694E7E" w:rsidRDefault="002A665B">
            <w:pPr>
              <w:spacing w:line="360" w:lineRule="auto"/>
              <w:ind w:firstLineChars="200" w:firstLine="420"/>
              <w:rPr>
                <w:rFonts w:ascii="宋体" w:hAnsi="宋体" w:cs="宋体"/>
              </w:rPr>
            </w:pPr>
            <w:r>
              <w:rPr>
                <w:rFonts w:ascii="宋体" w:hAnsi="宋体" w:cs="宋体" w:hint="eastAsia"/>
              </w:rPr>
              <w:t>本标准的主要技术内容是设施分类和设施配置要求。</w:t>
            </w:r>
          </w:p>
          <w:p w:rsidR="00694E7E" w:rsidRDefault="002A665B">
            <w:pPr>
              <w:widowControl/>
              <w:tabs>
                <w:tab w:val="center" w:pos="4201"/>
                <w:tab w:val="right" w:leader="dot" w:pos="9298"/>
              </w:tabs>
              <w:spacing w:line="360"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本标准规定，1.依法设立的各级医疗机构可设置独立的治未病科。治未病科外部环境应体现中医文化特点，内部环境应该应符合T/CAAM0020-2019的规定。2.治未病科诊疗区域划分为：</w:t>
            </w:r>
            <w:r w:rsidR="00AA5E74">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1 \* GB3 </w:instrText>
            </w:r>
            <w:r w:rsidR="00AA5E74">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①</w:t>
            </w:r>
            <w:r w:rsidR="00AA5E74">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常规区域划分治未病内部宜分成候诊区、接诊区、物品准备区、治疗操作区、污物放置区。</w:t>
            </w:r>
            <w:r w:rsidR="00AA5E74">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2 \* GB3 </w:instrText>
            </w:r>
            <w:r w:rsidR="00AA5E74">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②</w:t>
            </w:r>
            <w:r w:rsidR="00AA5E74">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特殊区域划分二级以上中医医院应设置专用体质辨识室、经络评估室、四诊诊察室，如开展针灸治疗等技术操作，应设置专门的治疗操作区。③二甲及以上中医院需要开设专科病房。其他医疗机构也可根据需要设置。各区域布局合理，就诊流程便捷，治疗区域应有保护患者隐私的设置，建设格局和设施应当符合医院感染管理规范要求。3.通过建立省级治未病诊疗系统平台，整体解决慢病人群、老年人、亚健康人群预防慢病、老年病的需求。利用该平台，可以覆盖医院、社区直至家庭的健康网络。</w:t>
            </w:r>
          </w:p>
          <w:p w:rsidR="00694E7E" w:rsidRDefault="002A665B">
            <w:pPr>
              <w:widowControl/>
              <w:tabs>
                <w:tab w:val="center" w:pos="4201"/>
                <w:tab w:val="right" w:leader="dot" w:pos="9298"/>
              </w:tabs>
              <w:spacing w:line="360" w:lineRule="auto"/>
              <w:ind w:firstLineChars="200" w:firstLine="420"/>
              <w:rPr>
                <w:rFonts w:hAnsi="宋体"/>
              </w:rPr>
            </w:pPr>
            <w:r>
              <w:rPr>
                <w:rFonts w:asciiTheme="minorEastAsia" w:eastAsiaTheme="minorEastAsia" w:hAnsiTheme="minorEastAsia" w:cstheme="minorEastAsia" w:hint="eastAsia"/>
              </w:rPr>
              <w:t xml:space="preserve">常用治未病科仪器装备类别包括：必要装备：（1） 中医综合诊断系统检测类；（2） 体质辨识系统检测类；（3） 经络诊断系统检测类；（4） </w:t>
            </w:r>
            <w:proofErr w:type="gramStart"/>
            <w:r>
              <w:rPr>
                <w:rFonts w:asciiTheme="minorEastAsia" w:eastAsiaTheme="minorEastAsia" w:hAnsiTheme="minorEastAsia" w:cstheme="minorEastAsia" w:hint="eastAsia"/>
              </w:rPr>
              <w:t>五脏相音诊断</w:t>
            </w:r>
            <w:proofErr w:type="gramEnd"/>
            <w:r>
              <w:rPr>
                <w:rFonts w:asciiTheme="minorEastAsia" w:eastAsiaTheme="minorEastAsia" w:hAnsiTheme="minorEastAsia" w:cstheme="minorEastAsia" w:hint="eastAsia"/>
              </w:rPr>
              <w:t>系统检测类；（5） 医用远红外成像检测</w:t>
            </w:r>
            <w:r>
              <w:rPr>
                <w:rFonts w:asciiTheme="minorEastAsia" w:eastAsiaTheme="minorEastAsia" w:hAnsiTheme="minorEastAsia" w:cstheme="minorEastAsia" w:hint="eastAsia"/>
              </w:rPr>
              <w:lastRenderedPageBreak/>
              <w:t>技术类；（6） 舌诊仪、面诊仪、 脉诊检测类；（7） 甲诊检测类；（8） 超</w:t>
            </w:r>
            <w:proofErr w:type="gramStart"/>
            <w:r>
              <w:rPr>
                <w:rFonts w:asciiTheme="minorEastAsia" w:eastAsiaTheme="minorEastAsia" w:hAnsiTheme="minorEastAsia" w:cstheme="minorEastAsia" w:hint="eastAsia"/>
              </w:rPr>
              <w:t>倍</w:t>
            </w:r>
            <w:proofErr w:type="gramEnd"/>
            <w:r>
              <w:rPr>
                <w:rFonts w:asciiTheme="minorEastAsia" w:eastAsiaTheme="minorEastAsia" w:hAnsiTheme="minorEastAsia" w:cstheme="minorEastAsia" w:hint="eastAsia"/>
              </w:rPr>
              <w:t>生物显微镜系统检测类；（9） 生物信息能量检测类；（10） 量子检测类；需要装备：（11） 呼吸睡眠检测类；（12） 血液微循环检测类；（13） 人体成分检测类。建立健全并严格执行各项规章制度、诊疗规范与技术操作规程及规范化建设和管理，保证中医药特色优势的发挥，保障医疗质量与医疗安全。</w:t>
            </w:r>
          </w:p>
        </w:tc>
      </w:tr>
      <w:tr w:rsidR="00694E7E">
        <w:trPr>
          <w:trHeight w:val="20"/>
          <w:jc w:val="center"/>
        </w:trPr>
        <w:tc>
          <w:tcPr>
            <w:tcW w:w="9570" w:type="dxa"/>
            <w:gridSpan w:val="6"/>
            <w:vAlign w:val="center"/>
          </w:tcPr>
          <w:p w:rsidR="00694E7E" w:rsidRDefault="002A665B">
            <w:pPr>
              <w:pStyle w:val="af"/>
              <w:adjustRightInd w:val="0"/>
              <w:spacing w:line="360" w:lineRule="auto"/>
              <w:ind w:firstLineChars="0" w:firstLine="0"/>
              <w:contextualSpacing/>
              <w:rPr>
                <w:rFonts w:hAnsi="宋体"/>
                <w:szCs w:val="21"/>
              </w:rPr>
            </w:pPr>
            <w:bookmarkStart w:id="0" w:name="_Toc464905557"/>
            <w:bookmarkStart w:id="1" w:name="_Toc464905613"/>
            <w:bookmarkStart w:id="2" w:name="_Toc464905809"/>
            <w:bookmarkStart w:id="3" w:name="_Toc464902852"/>
            <w:bookmarkStart w:id="4" w:name="_Toc465074266"/>
            <w:r>
              <w:rPr>
                <w:rFonts w:hAnsi="宋体" w:hint="eastAsia"/>
                <w:szCs w:val="21"/>
              </w:rPr>
              <w:lastRenderedPageBreak/>
              <w:t>5、标准中如果涉及专利，应有明确的知识产权说明</w:t>
            </w:r>
            <w:bookmarkEnd w:id="0"/>
            <w:bookmarkEnd w:id="1"/>
            <w:bookmarkEnd w:id="2"/>
            <w:bookmarkEnd w:id="3"/>
            <w:bookmarkEnd w:id="4"/>
          </w:p>
        </w:tc>
      </w:tr>
      <w:tr w:rsidR="00694E7E">
        <w:trPr>
          <w:trHeight w:val="20"/>
          <w:jc w:val="center"/>
        </w:trPr>
        <w:tc>
          <w:tcPr>
            <w:tcW w:w="9570" w:type="dxa"/>
            <w:gridSpan w:val="6"/>
            <w:vAlign w:val="center"/>
          </w:tcPr>
          <w:p w:rsidR="00694E7E" w:rsidRDefault="002A665B">
            <w:pPr>
              <w:pStyle w:val="af"/>
              <w:adjustRightInd w:val="0"/>
              <w:spacing w:line="360" w:lineRule="auto"/>
              <w:ind w:firstLineChars="0" w:firstLine="0"/>
              <w:contextualSpacing/>
              <w:rPr>
                <w:rFonts w:hAnsi="宋体"/>
                <w:szCs w:val="21"/>
              </w:rPr>
            </w:pPr>
            <w:r>
              <w:rPr>
                <w:rFonts w:hAnsi="宋体"/>
                <w:szCs w:val="21"/>
              </w:rPr>
              <w:t>无</w:t>
            </w:r>
          </w:p>
        </w:tc>
      </w:tr>
      <w:tr w:rsidR="00694E7E">
        <w:trPr>
          <w:trHeight w:val="20"/>
          <w:jc w:val="center"/>
        </w:trPr>
        <w:tc>
          <w:tcPr>
            <w:tcW w:w="9570" w:type="dxa"/>
            <w:gridSpan w:val="6"/>
            <w:vAlign w:val="center"/>
          </w:tcPr>
          <w:p w:rsidR="00694E7E" w:rsidRDefault="002A665B">
            <w:pPr>
              <w:pStyle w:val="af"/>
              <w:adjustRightInd w:val="0"/>
              <w:spacing w:line="360" w:lineRule="auto"/>
              <w:ind w:firstLineChars="0" w:firstLine="0"/>
              <w:contextualSpacing/>
              <w:rPr>
                <w:rFonts w:hAnsi="宋体"/>
                <w:szCs w:val="21"/>
              </w:rPr>
            </w:pPr>
            <w:bookmarkStart w:id="5" w:name="_Toc464905810"/>
            <w:bookmarkStart w:id="6" w:name="_Toc464902853"/>
            <w:bookmarkStart w:id="7" w:name="_Toc464905558"/>
            <w:bookmarkStart w:id="8" w:name="_Toc465074267"/>
            <w:bookmarkStart w:id="9" w:name="_Toc464905614"/>
            <w:r>
              <w:rPr>
                <w:rFonts w:hAnsi="宋体" w:hint="eastAsia"/>
                <w:szCs w:val="21"/>
              </w:rPr>
              <w:t>6、采用国际标准或国外先进标准的，说明采标程度，以及国内外同类标准水平的对比情况</w:t>
            </w:r>
            <w:bookmarkEnd w:id="5"/>
            <w:bookmarkEnd w:id="6"/>
            <w:bookmarkEnd w:id="7"/>
            <w:bookmarkEnd w:id="8"/>
            <w:bookmarkEnd w:id="9"/>
          </w:p>
        </w:tc>
      </w:tr>
      <w:tr w:rsidR="00694E7E">
        <w:trPr>
          <w:trHeight w:val="20"/>
          <w:jc w:val="center"/>
        </w:trPr>
        <w:tc>
          <w:tcPr>
            <w:tcW w:w="9570" w:type="dxa"/>
            <w:gridSpan w:val="6"/>
            <w:vAlign w:val="center"/>
          </w:tcPr>
          <w:p w:rsidR="00694E7E" w:rsidRDefault="002A665B">
            <w:pPr>
              <w:pStyle w:val="af"/>
              <w:adjustRightInd w:val="0"/>
              <w:spacing w:line="360" w:lineRule="auto"/>
              <w:ind w:firstLineChars="0" w:firstLine="0"/>
              <w:contextualSpacing/>
              <w:rPr>
                <w:rFonts w:hAnsi="宋体"/>
                <w:szCs w:val="21"/>
              </w:rPr>
            </w:pPr>
            <w:r>
              <w:rPr>
                <w:rFonts w:hAnsi="宋体" w:hint="eastAsia"/>
                <w:szCs w:val="21"/>
              </w:rPr>
              <w:t>无</w:t>
            </w:r>
          </w:p>
        </w:tc>
      </w:tr>
      <w:tr w:rsidR="00694E7E">
        <w:trPr>
          <w:trHeight w:val="20"/>
          <w:jc w:val="center"/>
        </w:trPr>
        <w:tc>
          <w:tcPr>
            <w:tcW w:w="9570" w:type="dxa"/>
            <w:gridSpan w:val="6"/>
            <w:vAlign w:val="center"/>
          </w:tcPr>
          <w:p w:rsidR="00694E7E" w:rsidRDefault="002A665B">
            <w:pPr>
              <w:pStyle w:val="af"/>
              <w:adjustRightInd w:val="0"/>
              <w:spacing w:line="360" w:lineRule="auto"/>
              <w:ind w:firstLineChars="0" w:firstLine="0"/>
              <w:contextualSpacing/>
              <w:rPr>
                <w:rFonts w:hAnsi="宋体"/>
                <w:szCs w:val="21"/>
              </w:rPr>
            </w:pPr>
            <w:bookmarkStart w:id="10" w:name="_Toc464905615"/>
            <w:bookmarkStart w:id="11" w:name="_Toc464902854"/>
            <w:bookmarkStart w:id="12" w:name="_Toc464905559"/>
            <w:bookmarkStart w:id="13" w:name="_Toc465074268"/>
            <w:bookmarkStart w:id="14" w:name="_Toc464905811"/>
            <w:r>
              <w:rPr>
                <w:rFonts w:hAnsi="宋体" w:hint="eastAsia"/>
                <w:szCs w:val="21"/>
              </w:rPr>
              <w:t>7、重大分歧意见的处理经过和依据</w:t>
            </w:r>
            <w:bookmarkEnd w:id="10"/>
            <w:bookmarkEnd w:id="11"/>
            <w:bookmarkEnd w:id="12"/>
            <w:bookmarkEnd w:id="13"/>
            <w:bookmarkEnd w:id="14"/>
          </w:p>
        </w:tc>
      </w:tr>
      <w:tr w:rsidR="00694E7E">
        <w:trPr>
          <w:trHeight w:val="20"/>
          <w:jc w:val="center"/>
        </w:trPr>
        <w:tc>
          <w:tcPr>
            <w:tcW w:w="9570" w:type="dxa"/>
            <w:gridSpan w:val="6"/>
            <w:vAlign w:val="center"/>
          </w:tcPr>
          <w:p w:rsidR="00694E7E" w:rsidRDefault="002A665B">
            <w:pPr>
              <w:pStyle w:val="af"/>
              <w:adjustRightInd w:val="0"/>
              <w:spacing w:line="360" w:lineRule="auto"/>
              <w:ind w:firstLineChars="0" w:firstLine="0"/>
              <w:contextualSpacing/>
              <w:rPr>
                <w:rFonts w:hAnsi="宋体"/>
                <w:szCs w:val="21"/>
              </w:rPr>
            </w:pPr>
            <w:r>
              <w:rPr>
                <w:rFonts w:hAnsi="宋体"/>
                <w:szCs w:val="21"/>
              </w:rPr>
              <w:t>无</w:t>
            </w:r>
          </w:p>
        </w:tc>
      </w:tr>
      <w:tr w:rsidR="00694E7E">
        <w:trPr>
          <w:trHeight w:val="20"/>
          <w:jc w:val="center"/>
        </w:trPr>
        <w:tc>
          <w:tcPr>
            <w:tcW w:w="9570" w:type="dxa"/>
            <w:gridSpan w:val="6"/>
            <w:vAlign w:val="center"/>
          </w:tcPr>
          <w:p w:rsidR="00694E7E" w:rsidRDefault="002A665B">
            <w:pPr>
              <w:pStyle w:val="af"/>
              <w:adjustRightInd w:val="0"/>
              <w:spacing w:line="360" w:lineRule="auto"/>
              <w:ind w:firstLineChars="0" w:firstLine="0"/>
              <w:contextualSpacing/>
              <w:rPr>
                <w:rFonts w:hAnsi="宋体"/>
                <w:szCs w:val="21"/>
              </w:rPr>
            </w:pPr>
            <w:bookmarkStart w:id="15" w:name="_Toc464905560"/>
            <w:bookmarkStart w:id="16" w:name="_Toc464902855"/>
            <w:bookmarkStart w:id="17" w:name="_Toc464905616"/>
            <w:bookmarkStart w:id="18" w:name="_Toc464905812"/>
            <w:bookmarkStart w:id="19" w:name="_Toc465074269"/>
            <w:r>
              <w:rPr>
                <w:rFonts w:hAnsi="宋体" w:hint="eastAsia"/>
                <w:szCs w:val="21"/>
              </w:rPr>
              <w:t>8、贯彻标准的要求和措施建议（包括组织措施、技术措施、过渡办法、实施日期等）</w:t>
            </w:r>
            <w:bookmarkEnd w:id="15"/>
            <w:bookmarkEnd w:id="16"/>
            <w:bookmarkEnd w:id="17"/>
            <w:bookmarkEnd w:id="18"/>
            <w:bookmarkEnd w:id="19"/>
          </w:p>
        </w:tc>
      </w:tr>
      <w:tr w:rsidR="00694E7E">
        <w:trPr>
          <w:trHeight w:val="20"/>
          <w:jc w:val="center"/>
        </w:trPr>
        <w:tc>
          <w:tcPr>
            <w:tcW w:w="9570" w:type="dxa"/>
            <w:gridSpan w:val="6"/>
            <w:vAlign w:val="center"/>
          </w:tcPr>
          <w:p w:rsidR="00694E7E" w:rsidRDefault="002A665B">
            <w:pPr>
              <w:spacing w:line="360" w:lineRule="auto"/>
              <w:ind w:firstLineChars="200" w:firstLine="422"/>
              <w:rPr>
                <w:rFonts w:asciiTheme="minorEastAsia" w:eastAsiaTheme="minorEastAsia" w:hAnsiTheme="minorEastAsia" w:cstheme="minorEastAsia"/>
                <w:b/>
              </w:rPr>
            </w:pPr>
            <w:r>
              <w:rPr>
                <w:rFonts w:asciiTheme="minorEastAsia" w:eastAsiaTheme="minorEastAsia" w:hAnsiTheme="minorEastAsia" w:cstheme="minorEastAsia" w:hint="eastAsia"/>
                <w:b/>
              </w:rPr>
              <w:t>组织措施：</w:t>
            </w:r>
          </w:p>
          <w:p w:rsidR="00694E7E" w:rsidRDefault="002A665B">
            <w:pPr>
              <w:spacing w:line="360"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本标准一经发布，标准起草单位将在安徽省卫生健康委员会、安徽省市场监督管理局的协调推进下，配合开展《中医治未病科</w:t>
            </w:r>
            <w:r>
              <w:rPr>
                <w:rFonts w:asciiTheme="minorEastAsia" w:eastAsiaTheme="minorEastAsia" w:hAnsiTheme="minorEastAsia" w:cstheme="minorEastAsia"/>
              </w:rPr>
              <w:t>设施配置</w:t>
            </w:r>
            <w:r>
              <w:rPr>
                <w:rFonts w:asciiTheme="minorEastAsia" w:eastAsiaTheme="minorEastAsia" w:hAnsiTheme="minorEastAsia" w:cstheme="minorEastAsia" w:hint="eastAsia"/>
              </w:rPr>
              <w:t>指南》的宣贯和培训工作，增强实施标准的自觉性。</w:t>
            </w:r>
          </w:p>
          <w:p w:rsidR="00694E7E" w:rsidRDefault="002A665B">
            <w:pPr>
              <w:spacing w:line="360" w:lineRule="auto"/>
              <w:ind w:firstLineChars="200" w:firstLine="422"/>
              <w:rPr>
                <w:rFonts w:asciiTheme="minorEastAsia" w:eastAsiaTheme="minorEastAsia" w:hAnsiTheme="minorEastAsia" w:cstheme="minorEastAsia"/>
                <w:b/>
              </w:rPr>
            </w:pPr>
            <w:r>
              <w:rPr>
                <w:rFonts w:asciiTheme="minorEastAsia" w:eastAsiaTheme="minorEastAsia" w:hAnsiTheme="minorEastAsia" w:cstheme="minorEastAsia" w:hint="eastAsia"/>
                <w:b/>
              </w:rPr>
              <w:t>技术措施：</w:t>
            </w:r>
            <w:bookmarkStart w:id="20" w:name="_GoBack"/>
            <w:bookmarkEnd w:id="20"/>
          </w:p>
          <w:p w:rsidR="00694E7E" w:rsidRDefault="002A665B">
            <w:pPr>
              <w:spacing w:line="360"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通过标准的实施、监督、评价和改进活动，使标准得到有效运用。</w:t>
            </w:r>
          </w:p>
          <w:p w:rsidR="00694E7E" w:rsidRDefault="002A665B">
            <w:pPr>
              <w:spacing w:line="360" w:lineRule="auto"/>
              <w:ind w:firstLineChars="200" w:firstLine="422"/>
              <w:rPr>
                <w:rFonts w:asciiTheme="minorEastAsia" w:eastAsiaTheme="minorEastAsia" w:hAnsiTheme="minorEastAsia" w:cstheme="minorEastAsia"/>
                <w:b/>
              </w:rPr>
            </w:pPr>
            <w:r>
              <w:rPr>
                <w:rFonts w:asciiTheme="minorEastAsia" w:eastAsiaTheme="minorEastAsia" w:hAnsiTheme="minorEastAsia" w:cstheme="minorEastAsia" w:hint="eastAsia"/>
                <w:b/>
              </w:rPr>
              <w:t>过渡办法：</w:t>
            </w:r>
          </w:p>
          <w:p w:rsidR="00694E7E" w:rsidRDefault="002A665B">
            <w:pPr>
              <w:spacing w:line="360" w:lineRule="auto"/>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由相关领导部门联合组织各级相关部门及全范围内开展宣贯活动，并给予不少于1个月的过渡期。</w:t>
            </w:r>
          </w:p>
          <w:p w:rsidR="00694E7E" w:rsidRDefault="002A665B">
            <w:pPr>
              <w:spacing w:line="360" w:lineRule="auto"/>
              <w:ind w:firstLineChars="200" w:firstLine="422"/>
              <w:rPr>
                <w:rFonts w:asciiTheme="minorEastAsia" w:eastAsiaTheme="minorEastAsia" w:hAnsiTheme="minorEastAsia" w:cstheme="minorEastAsia"/>
                <w:b/>
              </w:rPr>
            </w:pPr>
            <w:r>
              <w:rPr>
                <w:rFonts w:asciiTheme="minorEastAsia" w:eastAsiaTheme="minorEastAsia" w:hAnsiTheme="minorEastAsia" w:cstheme="minorEastAsia" w:hint="eastAsia"/>
                <w:b/>
              </w:rPr>
              <w:t>实施日期：</w:t>
            </w:r>
          </w:p>
          <w:p w:rsidR="00694E7E" w:rsidRDefault="002A665B">
            <w:pPr>
              <w:spacing w:line="360" w:lineRule="auto"/>
              <w:ind w:firstLineChars="200" w:firstLine="420"/>
              <w:rPr>
                <w:rFonts w:hAnsi="宋体"/>
              </w:rPr>
            </w:pPr>
            <w:r>
              <w:rPr>
                <w:rFonts w:asciiTheme="minorEastAsia" w:eastAsiaTheme="minorEastAsia" w:hAnsiTheme="minorEastAsia" w:cstheme="minorEastAsia" w:hint="eastAsia"/>
              </w:rPr>
              <w:t>建议标准尽快发布实施，由相关管理部门联合起草单位在全省范围内开展宣贯活动，积极推动标准实施和应用。</w:t>
            </w:r>
          </w:p>
        </w:tc>
      </w:tr>
      <w:tr w:rsidR="00694E7E">
        <w:trPr>
          <w:trHeight w:val="20"/>
          <w:jc w:val="center"/>
        </w:trPr>
        <w:tc>
          <w:tcPr>
            <w:tcW w:w="9570" w:type="dxa"/>
            <w:gridSpan w:val="6"/>
            <w:vAlign w:val="center"/>
          </w:tcPr>
          <w:p w:rsidR="00694E7E" w:rsidRDefault="002A665B">
            <w:pPr>
              <w:pStyle w:val="af"/>
              <w:adjustRightInd w:val="0"/>
              <w:spacing w:line="360" w:lineRule="auto"/>
              <w:ind w:firstLineChars="0" w:firstLine="0"/>
              <w:contextualSpacing/>
              <w:rPr>
                <w:rFonts w:hAnsi="宋体"/>
                <w:szCs w:val="21"/>
              </w:rPr>
            </w:pPr>
            <w:bookmarkStart w:id="21" w:name="_Toc465074270"/>
            <w:bookmarkStart w:id="22" w:name="_Toc464905617"/>
            <w:bookmarkStart w:id="23" w:name="_Toc464902856"/>
            <w:bookmarkStart w:id="24" w:name="_Toc464905561"/>
            <w:bookmarkStart w:id="25" w:name="_Toc464905813"/>
            <w:r>
              <w:rPr>
                <w:rFonts w:hAnsi="宋体" w:hint="eastAsia"/>
                <w:szCs w:val="21"/>
              </w:rPr>
              <w:t>9、废止现行相关标准的建议</w:t>
            </w:r>
            <w:bookmarkEnd w:id="21"/>
            <w:bookmarkEnd w:id="22"/>
            <w:bookmarkEnd w:id="23"/>
            <w:bookmarkEnd w:id="24"/>
            <w:bookmarkEnd w:id="25"/>
          </w:p>
        </w:tc>
      </w:tr>
      <w:tr w:rsidR="00694E7E">
        <w:trPr>
          <w:trHeight w:val="20"/>
          <w:jc w:val="center"/>
        </w:trPr>
        <w:tc>
          <w:tcPr>
            <w:tcW w:w="9570" w:type="dxa"/>
            <w:gridSpan w:val="6"/>
            <w:vAlign w:val="center"/>
          </w:tcPr>
          <w:p w:rsidR="00694E7E" w:rsidRDefault="002A665B">
            <w:pPr>
              <w:pStyle w:val="af"/>
              <w:adjustRightInd w:val="0"/>
              <w:spacing w:line="360" w:lineRule="auto"/>
              <w:ind w:firstLineChars="0" w:firstLine="0"/>
              <w:contextualSpacing/>
              <w:rPr>
                <w:rFonts w:hAnsi="宋体"/>
                <w:szCs w:val="21"/>
              </w:rPr>
            </w:pPr>
            <w:r>
              <w:rPr>
                <w:rFonts w:hAnsi="宋体"/>
                <w:szCs w:val="21"/>
              </w:rPr>
              <w:t>无</w:t>
            </w:r>
          </w:p>
        </w:tc>
      </w:tr>
      <w:tr w:rsidR="00694E7E">
        <w:trPr>
          <w:trHeight w:val="20"/>
          <w:jc w:val="center"/>
        </w:trPr>
        <w:tc>
          <w:tcPr>
            <w:tcW w:w="9570" w:type="dxa"/>
            <w:gridSpan w:val="6"/>
            <w:vAlign w:val="center"/>
          </w:tcPr>
          <w:p w:rsidR="00694E7E" w:rsidRDefault="002A665B">
            <w:pPr>
              <w:pStyle w:val="af"/>
              <w:adjustRightInd w:val="0"/>
              <w:spacing w:line="360" w:lineRule="auto"/>
              <w:ind w:firstLineChars="0" w:firstLine="0"/>
              <w:contextualSpacing/>
              <w:rPr>
                <w:rFonts w:hAnsi="宋体"/>
                <w:szCs w:val="21"/>
              </w:rPr>
            </w:pPr>
            <w:bookmarkStart w:id="26" w:name="_Toc464905562"/>
            <w:bookmarkStart w:id="27" w:name="_Toc464905618"/>
            <w:bookmarkStart w:id="28" w:name="_Toc465074271"/>
            <w:bookmarkStart w:id="29" w:name="_Toc464902857"/>
            <w:bookmarkStart w:id="30" w:name="_Toc464905814"/>
            <w:r>
              <w:rPr>
                <w:rFonts w:hAnsi="宋体" w:hint="eastAsia"/>
                <w:szCs w:val="21"/>
              </w:rPr>
              <w:t>10、其它应予说明的事项</w:t>
            </w:r>
            <w:bookmarkEnd w:id="26"/>
            <w:bookmarkEnd w:id="27"/>
            <w:bookmarkEnd w:id="28"/>
            <w:bookmarkEnd w:id="29"/>
            <w:bookmarkEnd w:id="30"/>
          </w:p>
        </w:tc>
      </w:tr>
      <w:tr w:rsidR="00694E7E">
        <w:trPr>
          <w:trHeight w:val="20"/>
          <w:jc w:val="center"/>
        </w:trPr>
        <w:tc>
          <w:tcPr>
            <w:tcW w:w="9570" w:type="dxa"/>
            <w:gridSpan w:val="6"/>
            <w:vAlign w:val="center"/>
          </w:tcPr>
          <w:p w:rsidR="00694E7E" w:rsidRDefault="002A665B">
            <w:pPr>
              <w:pStyle w:val="af"/>
              <w:adjustRightInd w:val="0"/>
              <w:spacing w:line="360" w:lineRule="auto"/>
              <w:ind w:firstLineChars="0" w:firstLine="0"/>
              <w:contextualSpacing/>
              <w:rPr>
                <w:rFonts w:hAnsi="宋体"/>
                <w:szCs w:val="21"/>
              </w:rPr>
            </w:pPr>
            <w:r>
              <w:rPr>
                <w:rFonts w:hAnsi="宋体"/>
                <w:szCs w:val="21"/>
              </w:rPr>
              <w:t>无</w:t>
            </w:r>
          </w:p>
        </w:tc>
      </w:tr>
    </w:tbl>
    <w:p w:rsidR="00694E7E" w:rsidRDefault="002A665B">
      <w:pPr>
        <w:pStyle w:val="a6"/>
      </w:pPr>
      <w:r>
        <w:rPr>
          <w:rFonts w:hint="eastAsia"/>
        </w:rPr>
        <w:t>没有的请填写 “无”。</w:t>
      </w:r>
    </w:p>
    <w:sectPr w:rsidR="00694E7E" w:rsidSect="00694E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65B" w:rsidRDefault="002A665B">
      <w:pPr>
        <w:spacing w:line="240" w:lineRule="auto"/>
      </w:pPr>
      <w:r>
        <w:separator/>
      </w:r>
    </w:p>
  </w:endnote>
  <w:endnote w:type="continuationSeparator" w:id="0">
    <w:p w:rsidR="002A665B" w:rsidRDefault="002A66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65B" w:rsidRDefault="002A665B">
      <w:pPr>
        <w:spacing w:line="240" w:lineRule="auto"/>
      </w:pPr>
      <w:r>
        <w:separator/>
      </w:r>
    </w:p>
  </w:footnote>
  <w:footnote w:type="continuationSeparator" w:id="0">
    <w:p w:rsidR="002A665B" w:rsidRDefault="002A665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
    <w:nsid w:val="657D3FBC"/>
    <w:multiLevelType w:val="multilevel"/>
    <w:tmpl w:val="657D3FBC"/>
    <w:lvl w:ilvl="0">
      <w:start w:val="1"/>
      <w:numFmt w:val="upperLetter"/>
      <w:pStyle w:val="a0"/>
      <w:suff w:val="nothing"/>
      <w:lvlText w:val="附录%1"/>
      <w:lvlJc w:val="left"/>
      <w:pPr>
        <w:ind w:left="0" w:firstLine="0"/>
      </w:pPr>
      <w:rPr>
        <w:rFonts w:hint="eastAsia"/>
        <w:spacing w:val="100"/>
      </w:rPr>
    </w:lvl>
    <w:lvl w:ilvl="1">
      <w:start w:val="1"/>
      <w:numFmt w:val="decimal"/>
      <w:pStyle w:val="a1"/>
      <w:suff w:val="nothing"/>
      <w:lvlText w:val="%1.%2　"/>
      <w:lvlJc w:val="left"/>
      <w:pPr>
        <w:ind w:left="0" w:firstLine="0"/>
      </w:pPr>
      <w:rPr>
        <w:rFonts w:ascii="黑体" w:eastAsia="黑体" w:hint="eastAsia"/>
        <w:b w:val="0"/>
        <w:i w:val="0"/>
        <w:sz w:val="21"/>
      </w:rPr>
    </w:lvl>
    <w:lvl w:ilvl="2">
      <w:start w:val="1"/>
      <w:numFmt w:val="decimal"/>
      <w:pStyle w:val="a2"/>
      <w:suff w:val="nothing"/>
      <w:lvlText w:val="%1.%2.%3　"/>
      <w:lvlJc w:val="left"/>
      <w:pPr>
        <w:ind w:left="0" w:firstLine="0"/>
      </w:pPr>
      <w:rPr>
        <w:rFonts w:ascii="黑体" w:eastAsia="黑体" w:hint="eastAsia"/>
        <w:b w:val="0"/>
        <w:i w:val="0"/>
        <w:sz w:val="21"/>
      </w:rPr>
    </w:lvl>
    <w:lvl w:ilvl="3">
      <w:start w:val="1"/>
      <w:numFmt w:val="decimal"/>
      <w:pStyle w:val="a3"/>
      <w:suff w:val="nothing"/>
      <w:lvlText w:val="%1.%2.%3.%4　"/>
      <w:lvlJc w:val="left"/>
      <w:pPr>
        <w:ind w:left="0" w:firstLine="0"/>
      </w:pPr>
      <w:rPr>
        <w:rFonts w:ascii="黑体" w:eastAsia="黑体" w:hint="eastAsia"/>
        <w:b w:val="0"/>
        <w:i w:val="0"/>
        <w:sz w:val="21"/>
      </w:rPr>
    </w:lvl>
    <w:lvl w:ilvl="4">
      <w:start w:val="1"/>
      <w:numFmt w:val="decimal"/>
      <w:pStyle w:val="a4"/>
      <w:suff w:val="nothing"/>
      <w:lvlText w:val="%1.%2.%3.%4.%5　"/>
      <w:lvlJc w:val="left"/>
      <w:pPr>
        <w:ind w:left="0" w:firstLine="0"/>
      </w:pPr>
      <w:rPr>
        <w:rFonts w:ascii="黑体" w:eastAsia="黑体" w:hint="eastAsia"/>
        <w:b w:val="0"/>
        <w:i w:val="0"/>
        <w:sz w:val="21"/>
      </w:rPr>
    </w:lvl>
    <w:lvl w:ilvl="5">
      <w:start w:val="1"/>
      <w:numFmt w:val="decimal"/>
      <w:pStyle w:val="a5"/>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
    <w:nsid w:val="6DBF04F4"/>
    <w:multiLevelType w:val="multilevel"/>
    <w:tmpl w:val="6DBF04F4"/>
    <w:lvl w:ilvl="0">
      <w:start w:val="1"/>
      <w:numFmt w:val="none"/>
      <w:pStyle w:val="a6"/>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TA4NzIyN2MxYTlmMzQ1NGE2MjU5NWRkMjhlOGMxYTAifQ=="/>
  </w:docVars>
  <w:rsids>
    <w:rsidRoot w:val="0082467C"/>
    <w:rsid w:val="000D278A"/>
    <w:rsid w:val="000E51B3"/>
    <w:rsid w:val="00166D5A"/>
    <w:rsid w:val="00206CD5"/>
    <w:rsid w:val="00230B51"/>
    <w:rsid w:val="00260895"/>
    <w:rsid w:val="002A665B"/>
    <w:rsid w:val="002C2697"/>
    <w:rsid w:val="002F38EB"/>
    <w:rsid w:val="003E1CBF"/>
    <w:rsid w:val="0047392B"/>
    <w:rsid w:val="004C3E33"/>
    <w:rsid w:val="00546ED8"/>
    <w:rsid w:val="005C0F61"/>
    <w:rsid w:val="00600BA9"/>
    <w:rsid w:val="00660A00"/>
    <w:rsid w:val="00694E7E"/>
    <w:rsid w:val="00713DB4"/>
    <w:rsid w:val="007A6918"/>
    <w:rsid w:val="0082467C"/>
    <w:rsid w:val="0083481C"/>
    <w:rsid w:val="0086192F"/>
    <w:rsid w:val="00873C8D"/>
    <w:rsid w:val="00917A8F"/>
    <w:rsid w:val="00A46D22"/>
    <w:rsid w:val="00A87A00"/>
    <w:rsid w:val="00AA5E74"/>
    <w:rsid w:val="00B073B9"/>
    <w:rsid w:val="00B4033A"/>
    <w:rsid w:val="00B522AC"/>
    <w:rsid w:val="00C03673"/>
    <w:rsid w:val="00C20051"/>
    <w:rsid w:val="00C430D7"/>
    <w:rsid w:val="00C43330"/>
    <w:rsid w:val="00CB29B4"/>
    <w:rsid w:val="00CB3029"/>
    <w:rsid w:val="00CF5281"/>
    <w:rsid w:val="00DA15D7"/>
    <w:rsid w:val="00DC45FE"/>
    <w:rsid w:val="00ED1EB9"/>
    <w:rsid w:val="00F202E8"/>
    <w:rsid w:val="00F40305"/>
    <w:rsid w:val="00F50B59"/>
    <w:rsid w:val="00FB54C4"/>
    <w:rsid w:val="00FF7B5F"/>
    <w:rsid w:val="03F52B33"/>
    <w:rsid w:val="06C701D6"/>
    <w:rsid w:val="08EE1FDB"/>
    <w:rsid w:val="0A6A5C20"/>
    <w:rsid w:val="126F3FB4"/>
    <w:rsid w:val="425B59C1"/>
    <w:rsid w:val="447160BE"/>
    <w:rsid w:val="46283BF1"/>
    <w:rsid w:val="46840051"/>
    <w:rsid w:val="4B0E1D4E"/>
    <w:rsid w:val="6408782B"/>
    <w:rsid w:val="64615A3B"/>
    <w:rsid w:val="64B33D81"/>
    <w:rsid w:val="64CA0254"/>
    <w:rsid w:val="707A560C"/>
    <w:rsid w:val="7AD149C3"/>
    <w:rsid w:val="7EA111FA"/>
    <w:rsid w:val="7F9979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694E7E"/>
    <w:pPr>
      <w:widowControl w:val="0"/>
      <w:adjustRightInd w:val="0"/>
      <w:spacing w:line="400" w:lineRule="exact"/>
      <w:jc w:val="both"/>
    </w:pPr>
    <w:rPr>
      <w:rFonts w:ascii="Calibri" w:hAnsi="Calibri"/>
      <w:kern w:val="2"/>
      <w:sz w:val="21"/>
      <w:szCs w:val="21"/>
    </w:rPr>
  </w:style>
  <w:style w:type="paragraph" w:styleId="2">
    <w:name w:val="heading 2"/>
    <w:basedOn w:val="a7"/>
    <w:next w:val="a7"/>
    <w:uiPriority w:val="9"/>
    <w:unhideWhenUsed/>
    <w:qFormat/>
    <w:rsid w:val="00694E7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Balloon Text"/>
    <w:basedOn w:val="a7"/>
    <w:link w:val="Char"/>
    <w:uiPriority w:val="99"/>
    <w:semiHidden/>
    <w:unhideWhenUsed/>
    <w:qFormat/>
    <w:rsid w:val="00694E7E"/>
    <w:pPr>
      <w:spacing w:line="240" w:lineRule="auto"/>
    </w:pPr>
    <w:rPr>
      <w:sz w:val="18"/>
      <w:szCs w:val="18"/>
    </w:rPr>
  </w:style>
  <w:style w:type="paragraph" w:styleId="ac">
    <w:name w:val="footer"/>
    <w:basedOn w:val="a7"/>
    <w:link w:val="Char0"/>
    <w:uiPriority w:val="99"/>
    <w:semiHidden/>
    <w:unhideWhenUsed/>
    <w:qFormat/>
    <w:rsid w:val="00694E7E"/>
    <w:pPr>
      <w:tabs>
        <w:tab w:val="center" w:pos="4153"/>
        <w:tab w:val="right" w:pos="8306"/>
      </w:tabs>
      <w:snapToGrid w:val="0"/>
      <w:jc w:val="left"/>
    </w:pPr>
    <w:rPr>
      <w:sz w:val="18"/>
      <w:szCs w:val="18"/>
    </w:rPr>
  </w:style>
  <w:style w:type="paragraph" w:styleId="ad">
    <w:name w:val="header"/>
    <w:basedOn w:val="a7"/>
    <w:link w:val="Char1"/>
    <w:uiPriority w:val="99"/>
    <w:semiHidden/>
    <w:unhideWhenUsed/>
    <w:qFormat/>
    <w:rsid w:val="00694E7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8"/>
    <w:link w:val="ad"/>
    <w:uiPriority w:val="99"/>
    <w:semiHidden/>
    <w:qFormat/>
    <w:rsid w:val="00694E7E"/>
    <w:rPr>
      <w:sz w:val="18"/>
      <w:szCs w:val="18"/>
    </w:rPr>
  </w:style>
  <w:style w:type="character" w:customStyle="1" w:styleId="Char0">
    <w:name w:val="页脚 Char"/>
    <w:basedOn w:val="a8"/>
    <w:link w:val="ac"/>
    <w:uiPriority w:val="99"/>
    <w:semiHidden/>
    <w:qFormat/>
    <w:rsid w:val="00694E7E"/>
    <w:rPr>
      <w:sz w:val="18"/>
      <w:szCs w:val="18"/>
    </w:rPr>
  </w:style>
  <w:style w:type="paragraph" w:customStyle="1" w:styleId="ae">
    <w:name w:val="标准文件_段"/>
    <w:link w:val="Char2"/>
    <w:qFormat/>
    <w:rsid w:val="00694E7E"/>
    <w:pPr>
      <w:autoSpaceDE w:val="0"/>
      <w:autoSpaceDN w:val="0"/>
      <w:ind w:firstLineChars="200" w:firstLine="200"/>
      <w:jc w:val="both"/>
    </w:pPr>
    <w:rPr>
      <w:rFonts w:ascii="宋体"/>
      <w:sz w:val="21"/>
    </w:rPr>
  </w:style>
  <w:style w:type="paragraph" w:customStyle="1" w:styleId="a0">
    <w:name w:val="标准文件_附录标识"/>
    <w:next w:val="ae"/>
    <w:qFormat/>
    <w:rsid w:val="00694E7E"/>
    <w:pPr>
      <w:numPr>
        <w:numId w:val="1"/>
      </w:numPr>
      <w:shd w:val="clear" w:color="FFFFFF" w:fill="FFFFFF"/>
      <w:tabs>
        <w:tab w:val="left" w:pos="6406"/>
      </w:tabs>
      <w:spacing w:beforeLines="25" w:afterLines="50"/>
      <w:jc w:val="center"/>
      <w:outlineLvl w:val="0"/>
    </w:pPr>
    <w:rPr>
      <w:rFonts w:ascii="黑体" w:eastAsia="黑体"/>
      <w:sz w:val="21"/>
    </w:rPr>
  </w:style>
  <w:style w:type="paragraph" w:customStyle="1" w:styleId="a1">
    <w:name w:val="标准文件_附录一级条标题"/>
    <w:next w:val="ae"/>
    <w:qFormat/>
    <w:rsid w:val="00694E7E"/>
    <w:pPr>
      <w:widowControl w:val="0"/>
      <w:numPr>
        <w:ilvl w:val="1"/>
        <w:numId w:val="1"/>
      </w:numPr>
      <w:spacing w:beforeLines="50" w:afterLines="50"/>
      <w:jc w:val="both"/>
      <w:outlineLvl w:val="2"/>
    </w:pPr>
    <w:rPr>
      <w:rFonts w:ascii="黑体" w:eastAsia="黑体"/>
      <w:kern w:val="21"/>
      <w:sz w:val="21"/>
    </w:rPr>
  </w:style>
  <w:style w:type="paragraph" w:customStyle="1" w:styleId="a2">
    <w:name w:val="标准文件_附录二级条标题"/>
    <w:basedOn w:val="a1"/>
    <w:next w:val="ae"/>
    <w:qFormat/>
    <w:rsid w:val="00694E7E"/>
    <w:pPr>
      <w:widowControl/>
      <w:numPr>
        <w:ilvl w:val="2"/>
      </w:numPr>
      <w:wordWrap w:val="0"/>
      <w:overflowPunct w:val="0"/>
      <w:autoSpaceDE w:val="0"/>
      <w:autoSpaceDN w:val="0"/>
      <w:textAlignment w:val="baseline"/>
      <w:outlineLvl w:val="3"/>
    </w:pPr>
  </w:style>
  <w:style w:type="paragraph" w:customStyle="1" w:styleId="a3">
    <w:name w:val="标准文件_附录三级条标题"/>
    <w:next w:val="ae"/>
    <w:qFormat/>
    <w:rsid w:val="00694E7E"/>
    <w:pPr>
      <w:widowControl w:val="0"/>
      <w:numPr>
        <w:ilvl w:val="3"/>
        <w:numId w:val="1"/>
      </w:numPr>
      <w:spacing w:beforeLines="50" w:afterLines="50"/>
      <w:jc w:val="both"/>
      <w:outlineLvl w:val="4"/>
    </w:pPr>
    <w:rPr>
      <w:rFonts w:ascii="黑体" w:eastAsia="黑体"/>
      <w:kern w:val="21"/>
      <w:sz w:val="21"/>
    </w:rPr>
  </w:style>
  <w:style w:type="paragraph" w:customStyle="1" w:styleId="a4">
    <w:name w:val="标准文件_附录四级条标题"/>
    <w:next w:val="ae"/>
    <w:qFormat/>
    <w:rsid w:val="00694E7E"/>
    <w:pPr>
      <w:widowControl w:val="0"/>
      <w:numPr>
        <w:ilvl w:val="4"/>
        <w:numId w:val="1"/>
      </w:numPr>
      <w:spacing w:beforeLines="50" w:afterLines="50"/>
      <w:jc w:val="both"/>
      <w:outlineLvl w:val="5"/>
    </w:pPr>
    <w:rPr>
      <w:rFonts w:ascii="黑体" w:eastAsia="黑体"/>
      <w:kern w:val="21"/>
      <w:sz w:val="21"/>
    </w:rPr>
  </w:style>
  <w:style w:type="paragraph" w:customStyle="1" w:styleId="a5">
    <w:name w:val="标准文件_附录五级条标题"/>
    <w:next w:val="ae"/>
    <w:qFormat/>
    <w:rsid w:val="00694E7E"/>
    <w:pPr>
      <w:widowControl w:val="0"/>
      <w:numPr>
        <w:ilvl w:val="5"/>
        <w:numId w:val="1"/>
      </w:numPr>
      <w:spacing w:beforeLines="50" w:afterLines="50"/>
      <w:jc w:val="both"/>
      <w:outlineLvl w:val="6"/>
    </w:pPr>
    <w:rPr>
      <w:rFonts w:ascii="黑体" w:eastAsia="黑体"/>
      <w:kern w:val="21"/>
      <w:sz w:val="21"/>
    </w:rPr>
  </w:style>
  <w:style w:type="paragraph" w:customStyle="1" w:styleId="a6">
    <w:name w:val="标准文件_注："/>
    <w:next w:val="ae"/>
    <w:qFormat/>
    <w:rsid w:val="00694E7E"/>
    <w:pPr>
      <w:widowControl w:val="0"/>
      <w:numPr>
        <w:numId w:val="2"/>
      </w:numPr>
      <w:autoSpaceDE w:val="0"/>
      <w:autoSpaceDN w:val="0"/>
      <w:jc w:val="both"/>
    </w:pPr>
    <w:rPr>
      <w:rFonts w:ascii="宋体"/>
      <w:sz w:val="18"/>
      <w:szCs w:val="18"/>
    </w:rPr>
  </w:style>
  <w:style w:type="character" w:customStyle="1" w:styleId="Char2">
    <w:name w:val="标准文件_段 Char"/>
    <w:link w:val="ae"/>
    <w:qFormat/>
    <w:rsid w:val="00694E7E"/>
    <w:rPr>
      <w:rFonts w:ascii="宋体" w:eastAsia="宋体" w:hAnsi="Times New Roman" w:cs="Times New Roman"/>
      <w:kern w:val="0"/>
      <w:szCs w:val="20"/>
    </w:rPr>
  </w:style>
  <w:style w:type="paragraph" w:customStyle="1" w:styleId="af">
    <w:name w:val="段"/>
    <w:link w:val="Char3"/>
    <w:qFormat/>
    <w:rsid w:val="00694E7E"/>
    <w:pPr>
      <w:tabs>
        <w:tab w:val="center" w:pos="4201"/>
        <w:tab w:val="right" w:leader="dot" w:pos="9298"/>
      </w:tabs>
      <w:autoSpaceDE w:val="0"/>
      <w:autoSpaceDN w:val="0"/>
      <w:ind w:firstLineChars="200" w:firstLine="420"/>
      <w:jc w:val="both"/>
    </w:pPr>
    <w:rPr>
      <w:rFonts w:ascii="宋体"/>
      <w:sz w:val="21"/>
    </w:rPr>
  </w:style>
  <w:style w:type="character" w:customStyle="1" w:styleId="Char3">
    <w:name w:val="段 Char"/>
    <w:basedOn w:val="a8"/>
    <w:link w:val="af"/>
    <w:qFormat/>
    <w:rsid w:val="00694E7E"/>
    <w:rPr>
      <w:rFonts w:ascii="宋体" w:eastAsia="宋体" w:hAnsi="Times New Roman" w:cs="Times New Roman"/>
      <w:kern w:val="0"/>
      <w:szCs w:val="20"/>
    </w:rPr>
  </w:style>
  <w:style w:type="character" w:customStyle="1" w:styleId="Char">
    <w:name w:val="批注框文本 Char"/>
    <w:basedOn w:val="a8"/>
    <w:link w:val="ab"/>
    <w:uiPriority w:val="99"/>
    <w:semiHidden/>
    <w:qFormat/>
    <w:rsid w:val="00694E7E"/>
    <w:rPr>
      <w:rFonts w:ascii="Calibri" w:eastAsia="宋体" w:hAnsi="Calibri" w:cs="Times New Roman"/>
      <w:sz w:val="18"/>
      <w:szCs w:val="18"/>
    </w:rPr>
  </w:style>
  <w:style w:type="table" w:customStyle="1" w:styleId="TableNormal">
    <w:name w:val="Table Normal"/>
    <w:uiPriority w:val="2"/>
    <w:semiHidden/>
    <w:unhideWhenUsed/>
    <w:qFormat/>
    <w:rsid w:val="00694E7E"/>
    <w:pPr>
      <w:widowControl w:val="0"/>
      <w:autoSpaceDE w:val="0"/>
      <w:autoSpaceDN w:val="0"/>
    </w:pPr>
    <w:rPr>
      <w:sz w:val="22"/>
      <w:lang w:eastAsia="en-US"/>
    </w:rPr>
    <w:tblPr>
      <w:tblCellMar>
        <w:top w:w="0" w:type="dxa"/>
        <w:left w:w="0" w:type="dxa"/>
        <w:bottom w:w="0" w:type="dxa"/>
        <w:right w:w="0" w:type="dxa"/>
      </w:tblCellMar>
    </w:tblPr>
  </w:style>
  <w:style w:type="paragraph" w:customStyle="1" w:styleId="a">
    <w:name w:val="章标题"/>
    <w:next w:val="af"/>
    <w:qFormat/>
    <w:rsid w:val="00694E7E"/>
    <w:pPr>
      <w:numPr>
        <w:numId w:val="3"/>
      </w:numPr>
      <w:spacing w:beforeLines="100" w:afterLines="100"/>
      <w:jc w:val="both"/>
      <w:outlineLvl w:val="1"/>
    </w:pPr>
    <w:rPr>
      <w:rFonts w:ascii="黑体" w:eastAsia="黑体"/>
      <w:sz w:val="21"/>
    </w:rPr>
  </w:style>
  <w:style w:type="character" w:customStyle="1" w:styleId="fontstyle01">
    <w:name w:val="fontstyle01"/>
    <w:basedOn w:val="a8"/>
    <w:qFormat/>
    <w:rsid w:val="00694E7E"/>
    <w:rPr>
      <w:rFonts w:ascii="宋体" w:eastAsia="宋体" w:hAnsi="宋体" w:hint="eastAsia"/>
      <w:color w:val="000000"/>
      <w:sz w:val="22"/>
      <w:szCs w:val="22"/>
    </w:rPr>
  </w:style>
  <w:style w:type="paragraph" w:customStyle="1" w:styleId="1">
    <w:name w:val="列出段落1"/>
    <w:basedOn w:val="a7"/>
    <w:uiPriority w:val="34"/>
    <w:qFormat/>
    <w:rsid w:val="00694E7E"/>
    <w:pPr>
      <w:ind w:firstLineChars="200" w:firstLine="420"/>
    </w:pPr>
  </w:style>
  <w:style w:type="character" w:styleId="af0">
    <w:name w:val="annotation reference"/>
    <w:basedOn w:val="a8"/>
    <w:uiPriority w:val="99"/>
    <w:semiHidden/>
    <w:unhideWhenUsed/>
    <w:rsid w:val="003E1CBF"/>
    <w:rPr>
      <w:sz w:val="21"/>
      <w:szCs w:val="21"/>
    </w:rPr>
  </w:style>
  <w:style w:type="paragraph" w:styleId="af1">
    <w:name w:val="annotation text"/>
    <w:basedOn w:val="a7"/>
    <w:link w:val="Char4"/>
    <w:uiPriority w:val="99"/>
    <w:semiHidden/>
    <w:unhideWhenUsed/>
    <w:rsid w:val="003E1CBF"/>
    <w:pPr>
      <w:jc w:val="left"/>
    </w:pPr>
  </w:style>
  <w:style w:type="character" w:customStyle="1" w:styleId="Char4">
    <w:name w:val="批注文字 Char"/>
    <w:basedOn w:val="a8"/>
    <w:link w:val="af1"/>
    <w:uiPriority w:val="99"/>
    <w:semiHidden/>
    <w:rsid w:val="003E1CBF"/>
    <w:rPr>
      <w:rFonts w:ascii="Calibri" w:hAnsi="Calibri"/>
      <w:kern w:val="2"/>
      <w:sz w:val="21"/>
      <w:szCs w:val="21"/>
    </w:rPr>
  </w:style>
  <w:style w:type="paragraph" w:styleId="af2">
    <w:name w:val="annotation subject"/>
    <w:basedOn w:val="af1"/>
    <w:next w:val="af1"/>
    <w:link w:val="Char5"/>
    <w:uiPriority w:val="99"/>
    <w:semiHidden/>
    <w:unhideWhenUsed/>
    <w:rsid w:val="003E1CBF"/>
    <w:rPr>
      <w:b/>
      <w:bCs/>
    </w:rPr>
  </w:style>
  <w:style w:type="character" w:customStyle="1" w:styleId="Char5">
    <w:name w:val="批注主题 Char"/>
    <w:basedOn w:val="Char4"/>
    <w:link w:val="af2"/>
    <w:uiPriority w:val="99"/>
    <w:semiHidden/>
    <w:rsid w:val="003E1CBF"/>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458</Words>
  <Characters>2612</Characters>
  <Application>Microsoft Office Word</Application>
  <DocSecurity>0</DocSecurity>
  <Lines>21</Lines>
  <Paragraphs>6</Paragraphs>
  <ScaleCrop>false</ScaleCrop>
  <Company>Microsoft</Company>
  <LinksUpToDate>false</LinksUpToDate>
  <CharactersWithSpaces>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dcterms:created xsi:type="dcterms:W3CDTF">2022-04-19T08:51:00Z</dcterms:created>
  <dcterms:modified xsi:type="dcterms:W3CDTF">2022-08-08T01:03:00Z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2F3C094DF16E40058C039000DB6AFA65</vt:lpwstr>
  </property>
</Properties>
</file>