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Lines="2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广东省卫生健康系统从轻处罚事项清单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征求意见稿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195"/>
        <w:gridCol w:w="1590"/>
        <w:gridCol w:w="1681"/>
        <w:gridCol w:w="2279"/>
        <w:gridCol w:w="1470"/>
        <w:gridCol w:w="1395"/>
        <w:gridCol w:w="123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事项名称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编码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设定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依据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适用情形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从轻处罚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依据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裁量幅度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配套监督措施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对未按照规定对公共场所进行卫生检测和未按照规定对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对顾客用品用具进行清洗、消毒、保洁的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行为的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440220232000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《公共场所卫生管理条例实施细则》第十九条第一款、第三十六条第一项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三天内主动按照标准和规范检测，检测不合格的，及时整改，减轻违法行为危害后果。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《行政处罚法》第三十二条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警告，并可处一千元以下的罚款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现场教育、回访检查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公共场所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经营者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未查验服务人员的健康合格证明或者允许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健康合格证明的人员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从事直接服务工作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、未在确定的公共场所内放置安全套或者设置安全套发售设施的行为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的行政处罚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440220157000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《公共场所卫生管理条例实施细则》第十条、第三十八条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立即调离对没有获得有效健康合格证明人员的岗位，同时安排体检，减轻违法行为危害后果。没有获得有效健康合格证明人员人数在1-2人。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《行政处罚法》第三十二条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警告，并处五百元罚款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现场教育、回访检查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3B077621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ind w:left="117"/>
    </w:pPr>
    <w:rPr>
      <w:rFonts w:ascii="宋体" w:hAnsi="宋体" w:eastAsia="宋体" w:cs="Times New Roman"/>
      <w:sz w:val="30"/>
      <w:szCs w:val="30"/>
      <w:lang w:bidi="ar-SA"/>
    </w:rPr>
  </w:style>
  <w:style w:type="paragraph" w:styleId="3">
    <w:name w:val="Title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2022-08-02T09:26:28Z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A6705C9E35E0423B9B2832FC12E13187</vt:lpwstr>
  </property>
</Properties>
</file>