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713" w:rsidRDefault="00673713" w:rsidP="00673713">
      <w:pPr>
        <w:spacing w:line="560" w:lineRule="exact"/>
        <w:rPr>
          <w:rFonts w:ascii="黑体" w:eastAsia="黑体" w:hAnsi="黑体" w:cs="黑体" w:hint="eastAsia"/>
          <w:sz w:val="32"/>
          <w:szCs w:val="32"/>
        </w:rPr>
      </w:pPr>
      <w:r w:rsidRPr="00DE728F">
        <w:rPr>
          <w:rFonts w:ascii="黑体" w:eastAsia="黑体" w:hAnsi="黑体" w:cs="黑体" w:hint="eastAsia"/>
          <w:sz w:val="32"/>
          <w:szCs w:val="32"/>
        </w:rPr>
        <w:t>附件1</w:t>
      </w:r>
      <w:r w:rsidRPr="00A735AD">
        <w:rPr>
          <w:rFonts w:ascii="黑体" w:eastAsia="黑体" w:hAnsi="黑体" w:cs="黑体" w:hint="eastAsia"/>
          <w:sz w:val="32"/>
          <w:szCs w:val="32"/>
        </w:rPr>
        <w:t xml:space="preserve">  </w:t>
      </w:r>
      <w:r>
        <w:rPr>
          <w:rFonts w:ascii="黑体" w:eastAsia="黑体" w:hAnsi="黑体" w:cs="黑体" w:hint="eastAsia"/>
          <w:sz w:val="32"/>
          <w:szCs w:val="32"/>
        </w:rPr>
        <w:t xml:space="preserve">             </w:t>
      </w:r>
    </w:p>
    <w:p w:rsidR="00673713" w:rsidRDefault="00673713" w:rsidP="00673713">
      <w:pPr>
        <w:pStyle w:val="1"/>
        <w:rPr>
          <w:rFonts w:hint="eastAsia"/>
        </w:rPr>
      </w:pPr>
    </w:p>
    <w:p w:rsidR="00673713" w:rsidRDefault="00673713" w:rsidP="00673713">
      <w:pPr>
        <w:spacing w:line="560" w:lineRule="exact"/>
        <w:jc w:val="center"/>
        <w:rPr>
          <w:rFonts w:ascii="方正小标宋_GBK" w:eastAsia="方正小标宋_GBK" w:hAnsi="方正小标宋_GBK" w:cs="方正小标宋_GBK" w:hint="eastAsia"/>
          <w:sz w:val="40"/>
          <w:szCs w:val="40"/>
        </w:rPr>
      </w:pPr>
      <w:r w:rsidRPr="00DE728F">
        <w:rPr>
          <w:rFonts w:ascii="方正小标宋_GBK" w:eastAsia="方正小标宋_GBK" w:hAnsi="方正小标宋_GBK" w:cs="方正小标宋_GBK" w:hint="eastAsia"/>
          <w:sz w:val="40"/>
          <w:szCs w:val="40"/>
        </w:rPr>
        <w:t>内蒙古自治区老年友善医疗机构评价标准（试行）</w:t>
      </w:r>
    </w:p>
    <w:p w:rsidR="00673713" w:rsidRPr="00DE728F" w:rsidRDefault="00673713" w:rsidP="00673713">
      <w:pPr>
        <w:pStyle w:va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1705"/>
        <w:gridCol w:w="10308"/>
      </w:tblGrid>
      <w:tr w:rsidR="00673713" w:rsidRPr="00DE728F" w:rsidTr="00DE728F">
        <w:trPr>
          <w:trHeight w:val="489"/>
          <w:tblHeader/>
          <w:jc w:val="center"/>
        </w:trPr>
        <w:tc>
          <w:tcPr>
            <w:tcW w:w="1952" w:type="dxa"/>
            <w:tcBorders>
              <w:tl2br w:val="nil"/>
              <w:tr2bl w:val="nil"/>
            </w:tcBorders>
            <w:vAlign w:val="center"/>
          </w:tcPr>
          <w:p w:rsidR="00673713" w:rsidRPr="00DE728F" w:rsidRDefault="00673713" w:rsidP="00DE728F">
            <w:pPr>
              <w:widowControl/>
              <w:spacing w:line="0" w:lineRule="atLeast"/>
              <w:jc w:val="center"/>
              <w:rPr>
                <w:rFonts w:ascii="黑体" w:eastAsia="黑体" w:hAnsi="黑体" w:cs="黑体" w:hint="eastAsia"/>
                <w:bCs/>
                <w:kern w:val="0"/>
                <w:sz w:val="28"/>
                <w:szCs w:val="28"/>
              </w:rPr>
            </w:pPr>
            <w:r w:rsidRPr="00DE728F">
              <w:rPr>
                <w:rFonts w:ascii="黑体" w:eastAsia="黑体" w:hAnsi="黑体" w:cs="黑体" w:hint="eastAsia"/>
                <w:bCs/>
                <w:kern w:val="0"/>
                <w:sz w:val="28"/>
                <w:szCs w:val="28"/>
              </w:rPr>
              <w:t>一级指标</w:t>
            </w:r>
          </w:p>
        </w:tc>
        <w:tc>
          <w:tcPr>
            <w:tcW w:w="1705" w:type="dxa"/>
            <w:tcBorders>
              <w:tl2br w:val="nil"/>
              <w:tr2bl w:val="nil"/>
            </w:tcBorders>
            <w:vAlign w:val="center"/>
          </w:tcPr>
          <w:p w:rsidR="00673713" w:rsidRPr="00DE728F" w:rsidRDefault="00673713" w:rsidP="00DE728F">
            <w:pPr>
              <w:widowControl/>
              <w:spacing w:line="0" w:lineRule="atLeast"/>
              <w:jc w:val="center"/>
              <w:rPr>
                <w:rFonts w:ascii="黑体" w:eastAsia="黑体" w:hAnsi="黑体" w:cs="黑体" w:hint="eastAsia"/>
                <w:bCs/>
                <w:kern w:val="0"/>
                <w:sz w:val="28"/>
                <w:szCs w:val="28"/>
              </w:rPr>
            </w:pPr>
            <w:r w:rsidRPr="00DE728F">
              <w:rPr>
                <w:rFonts w:ascii="黑体" w:eastAsia="黑体" w:hAnsi="黑体" w:cs="黑体" w:hint="eastAsia"/>
                <w:bCs/>
                <w:kern w:val="0"/>
                <w:sz w:val="28"/>
                <w:szCs w:val="28"/>
              </w:rPr>
              <w:t>二级指标</w:t>
            </w:r>
          </w:p>
        </w:tc>
        <w:tc>
          <w:tcPr>
            <w:tcW w:w="10308" w:type="dxa"/>
            <w:tcBorders>
              <w:tl2br w:val="nil"/>
              <w:tr2bl w:val="nil"/>
            </w:tcBorders>
            <w:vAlign w:val="center"/>
          </w:tcPr>
          <w:p w:rsidR="00673713" w:rsidRPr="00DE728F" w:rsidRDefault="00673713" w:rsidP="00DE728F">
            <w:pPr>
              <w:widowControl/>
              <w:spacing w:line="0" w:lineRule="atLeast"/>
              <w:jc w:val="center"/>
              <w:rPr>
                <w:rFonts w:ascii="黑体" w:eastAsia="黑体" w:hAnsi="黑体" w:cs="黑体" w:hint="eastAsia"/>
                <w:bCs/>
                <w:kern w:val="0"/>
                <w:sz w:val="28"/>
                <w:szCs w:val="28"/>
              </w:rPr>
            </w:pPr>
            <w:r w:rsidRPr="00DE728F">
              <w:rPr>
                <w:rFonts w:ascii="黑体" w:eastAsia="黑体" w:hAnsi="黑体" w:cs="黑体" w:hint="eastAsia"/>
                <w:bCs/>
                <w:kern w:val="0"/>
                <w:sz w:val="28"/>
                <w:szCs w:val="28"/>
              </w:rPr>
              <w:t>三级指标</w:t>
            </w:r>
          </w:p>
        </w:tc>
      </w:tr>
      <w:tr w:rsidR="00673713" w:rsidRPr="00DE728F" w:rsidTr="00DE728F">
        <w:trPr>
          <w:trHeight w:val="23"/>
          <w:jc w:val="center"/>
        </w:trPr>
        <w:tc>
          <w:tcPr>
            <w:tcW w:w="1952"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老年友善文化</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（15分）</w:t>
            </w: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文化建设</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（3分）</w:t>
            </w: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在机构愿景中体现关爱老年人的内容（1分）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有保障老年人权益，致力于提升老年人健康、尊严或鼓励老年人参与的内容（1分）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在职工手册、行为守则等规范中有对老年人态度、行为、礼貌用语等的要求（1分）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友善氛围</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（5分）</w:t>
            </w: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工作人员能以尊敬的态度与老年人交流（1分）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开展尊老、助老、护老等活动，老年人就医受到尊重（1分）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定期开展尊老、助老、护老相关的宣传、义诊等公益活动（1分）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向老年人公示各类便民服务信息（1分）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在老年人使用智能化设备的过程中，有专人为老年人提供指导服务（1分）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健康宣教</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（3分）</w:t>
            </w: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有针对就医老年人的健康宣教制度（1分）</w:t>
            </w:r>
          </w:p>
        </w:tc>
      </w:tr>
      <w:tr w:rsidR="00673713" w:rsidRPr="00DE728F" w:rsidTr="00DE728F">
        <w:trPr>
          <w:trHeight w:val="474"/>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在门诊大厅等显著位置开展多种形式的老年健康促进和疾病预防知识宣教（1分）</w:t>
            </w:r>
          </w:p>
        </w:tc>
      </w:tr>
      <w:tr w:rsidR="00673713" w:rsidRPr="00DE728F" w:rsidTr="00DE728F">
        <w:trPr>
          <w:trHeight w:val="399"/>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400" w:lineRule="exact"/>
              <w:rPr>
                <w:rFonts w:ascii="宋体" w:hAnsi="宋体" w:cs="宋体" w:hint="eastAsia"/>
                <w:kern w:val="0"/>
                <w:sz w:val="28"/>
                <w:szCs w:val="28"/>
              </w:rPr>
            </w:pPr>
            <w:r w:rsidRPr="00DE728F">
              <w:rPr>
                <w:rFonts w:ascii="宋体" w:hAnsi="宋体" w:cs="宋体" w:hint="eastAsia"/>
                <w:kern w:val="0"/>
                <w:sz w:val="28"/>
                <w:szCs w:val="28"/>
              </w:rPr>
              <w:t>门急诊有方便于老年人查询的医疗信息公示（1分）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社会工作与志愿者服务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（4分）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有专职社会工作者和/或医务社工为老年人开展服务的相关规章制度，并承担老年人服务相关职责（2分）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有为老年人提供导医、陪伴等志愿服务，志愿者中有60岁及以上老年志愿者的积极参与（2分 ）</w:t>
            </w:r>
          </w:p>
        </w:tc>
      </w:tr>
      <w:tr w:rsidR="00673713" w:rsidRPr="00DE728F" w:rsidTr="00DE728F">
        <w:trPr>
          <w:trHeight w:val="23"/>
          <w:jc w:val="center"/>
        </w:trPr>
        <w:tc>
          <w:tcPr>
            <w:tcW w:w="1952"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lastRenderedPageBreak/>
              <w:t>老年友善管理</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（15分）</w:t>
            </w: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保障机制</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（4分）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有老年友善管理相关规章制度和自我评价机制（1分）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有年度工作计划、总结、督导检查记录和整改措施（2分）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有落实老年友善医疗机构建设的专项经费（1分）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制度与培训</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（8分）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有老年医学特点的管理制度，包括老年综合评估、老年病多学科整合管理（MDT）、老年综合征和老年照护问题评估及干预等内容（3分）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有涉老科研项目的医学伦理审查制度（1分）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 xml:space="preserve">有老年友善医疗机构建设的全员宣传教育和培训相关措施(1分) </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开展老年医学和老年护理相关专业知识和技能的培训（1分）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开展老年心理学、社会学、沟通交流技巧等方面的培训（1分）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有为老年人提供防疫安全及就诊绿色通道指导的相关制度（1分）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分级诊疗和</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转诊（3分）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有老年人转诊管理的部门和相关规章制度，并有相关实施记录（1分）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参与区域医联体、医共体的建设（1分）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建立与养老机构或社区卫生服务机构之间双向转诊的流程与规范，有合作协议，并按协议提供服务（1分）</w:t>
            </w:r>
          </w:p>
        </w:tc>
      </w:tr>
      <w:tr w:rsidR="00673713" w:rsidRPr="00DE728F" w:rsidTr="00DE728F">
        <w:trPr>
          <w:trHeight w:val="549"/>
          <w:jc w:val="center"/>
        </w:trPr>
        <w:tc>
          <w:tcPr>
            <w:tcW w:w="1952"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老年友善服务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（二级及二级以上综合医院、康复医院适用）</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（40分）</w:t>
            </w: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老年医学科设置（4分）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独立设置老年医学科（1分）</w:t>
            </w:r>
          </w:p>
        </w:tc>
      </w:tr>
      <w:tr w:rsidR="00673713" w:rsidRPr="00DE728F" w:rsidTr="00DE728F">
        <w:trPr>
          <w:trHeight w:val="489"/>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有老年专科服务门诊、病房和综合评估室（3分）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老年人智能</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产品使用</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（3分）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机构入口增设老年患者“无健康码”绿色通道，为没有手机或确实无法提供健康码的老年人提供就医指导和便利（1分）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在自助挂号、自助打印检验检查报告、自助缴费等智能化设施设备前有专人提供指导服务（2分）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就医便利服务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（7分）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开通家人、亲友、家庭医生代为老年人预约挂号的渠道，门诊挂号窗口为老年人预留一定比例现场号源，方便老年人就医（1分）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设有人工窗口及人工服务设施，有方便老年人就医的门、急诊服务流程（1分）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门急诊主动为失能、半失能、高龄老年人提供优先、导医、就医绿色通道等服务（3分）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在门急诊、住院病区给老年人提供轮椅、平车等便民服务（1分）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为老年人制定出院计划，为失能、失智老年人出院安排机构连接服务（1分）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老年综合评</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估与干预</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（9分）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开展老年综合评估服务并在病历上体现（2分）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开展多学科整合管理服务（1分）</w:t>
            </w:r>
          </w:p>
        </w:tc>
      </w:tr>
      <w:tr w:rsidR="00673713" w:rsidRPr="00DE728F" w:rsidTr="00DE728F">
        <w:trPr>
          <w:trHeight w:val="414"/>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提供临床药学咨询服务（1分）</w:t>
            </w:r>
          </w:p>
        </w:tc>
      </w:tr>
      <w:tr w:rsidR="00673713" w:rsidRPr="00DE728F" w:rsidTr="00DE728F">
        <w:trPr>
          <w:trHeight w:val="474"/>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提供老年营养服务（1分）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对住院老年人进行高风险状态的筛查，尤其是对跌倒、误吸、肺栓塞、坠床等情况，应建立风险防范措施与应急处置预案（1分）</w:t>
            </w:r>
          </w:p>
        </w:tc>
      </w:tr>
      <w:tr w:rsidR="00673713" w:rsidRPr="00DE728F" w:rsidTr="00DE728F">
        <w:trPr>
          <w:trHeight w:val="444"/>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建立评估知情告知制度，告知内容应包括评估结果、影响因素和照护计划等（1分）</w:t>
            </w:r>
          </w:p>
        </w:tc>
      </w:tr>
      <w:tr w:rsidR="00673713" w:rsidRPr="00DE728F" w:rsidTr="00DE728F">
        <w:trPr>
          <w:trHeight w:val="459"/>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老年人及其家属参与诊疗与照护计划的制定（1分）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对失独、空巢、独居等特殊老年群体，制定持续照护计划，建立监护人签约制度；在这些患者遇到手术等特殊情况时，监护人能及时发挥作用（1分）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老年综合征</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管理</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（9分）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有老年认知障碍、抑郁、吞咽困难、尿失禁、便秘和睡眠障碍等常见老年综合征的规范化评估与干预服务（5分）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有老年人多重用药、营养不良、慢性伤口（包括压疮）和下肢深静脉血栓等老年常见照护问题的评估与干预服务（4分）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老年专科服务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（8分）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为老年患者提供慢性伤口护理、管路维护等专科护理服务（2分）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提供住院康复和日间康复等服务（2分）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提供与养老机构、社区卫生服务机构合作的老年长期照护服务（2分）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为老年人及其家属开展死亡教育活动，为临终患者提供缓和医疗和安宁疗护服务（2分）</w:t>
            </w:r>
          </w:p>
        </w:tc>
      </w:tr>
      <w:tr w:rsidR="00673713" w:rsidRPr="00DE728F" w:rsidTr="00DE728F">
        <w:trPr>
          <w:trHeight w:val="23"/>
          <w:jc w:val="center"/>
        </w:trPr>
        <w:tc>
          <w:tcPr>
            <w:tcW w:w="1952"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color w:val="000000"/>
                <w:kern w:val="0"/>
                <w:sz w:val="28"/>
                <w:szCs w:val="28"/>
              </w:rPr>
              <w:t>老年友善服务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[中医（蒙医）医院适用]</w:t>
            </w:r>
            <w:r w:rsidRPr="00DE728F">
              <w:rPr>
                <w:rFonts w:ascii="宋体" w:hAnsi="宋体" w:cs="宋体" w:hint="eastAsia"/>
                <w:color w:val="000000"/>
                <w:kern w:val="0"/>
                <w:sz w:val="28"/>
                <w:szCs w:val="28"/>
              </w:rPr>
              <w:br/>
              <w:t>（40分）</w:t>
            </w: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color w:val="000000"/>
                <w:kern w:val="0"/>
                <w:sz w:val="28"/>
                <w:szCs w:val="28"/>
              </w:rPr>
              <w:t>老年医学科建设</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（4分）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设置独立的老年医学科（1分）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具备中医（蒙医）及或中西医结合类别执业资格的医师和老年护理专科护士（1分）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有老年专科服务的中医（蒙医）特色门诊、病房、中医（蒙医）特色综合评估室（2分）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color w:val="000000"/>
                <w:kern w:val="0"/>
                <w:sz w:val="28"/>
                <w:szCs w:val="28"/>
              </w:rPr>
              <w:t>老年人智能</w:t>
            </w:r>
          </w:p>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color w:val="000000"/>
                <w:kern w:val="0"/>
                <w:sz w:val="28"/>
                <w:szCs w:val="28"/>
              </w:rPr>
              <w:t>产品使用</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（3分）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机构入口增设老年患者“无健康码”绿色通道，为没有手机或确实无法提供健康码的老年人提供就医指导和便利服务（1分）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在自助挂号、自助打印检验检查报告、自助缴费等智能设施设备前有专人提供指导服务（2分）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color w:val="000000"/>
                <w:kern w:val="0"/>
                <w:sz w:val="28"/>
                <w:szCs w:val="28"/>
              </w:rPr>
              <w:t>就医便利服务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（7分）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开通家人、亲友、家庭医生代为老年人预约挂号的渠道，门诊挂号窗口为老年人预留一定比例现场号源，方便老年人就医（1分）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设有人工窗口及人工服务设施，有方便老年人就医的门、急诊服务流程（1分）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门急诊主动为失能、半失能、高龄老年人提供优先和导医服务及绿色通道（3分）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在门急诊、住院病区给老年人提供轮椅、平车等便民服务（1分）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为老年人制定出院计划，为失能、失智老年人出院安排机构连接服务（1分）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老年综合评</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估与干预</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（9分）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开展老年综合评估服务并在病历上体现；病历中要体现中医（蒙医）辨证论治、四诊合参、理法方药一致性（2分）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开展具有中医（蒙医）特色的多学科整合管理服务（1分）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提供临床药学（含中药、蒙药）咨询服务（1分）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提供老年营养服务及中医（蒙医）药膳服务（1分）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对住院老年人进行高风险状态的筛查，尤其是对跌倒、误吸、肺栓塞、坠床等情况，应建立风险防范措施与应急处置预案（1分）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建立评估知情告知制度，告知内容应包括评估结果、影响因素和照护计划等，其中照护计划应突出中医护理优势，体现辨证施护内容（1分）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老年人及其家属参与诊疗与照护计划的制定（1分）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对失独、空巢、独居等特殊老年群体，制定持续照护计划，建立预立医嘱和监护人签约制度；在这些患者遇到手术等特殊情况时，监护人能及时发挥作用（1分）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color w:val="000000"/>
                <w:kern w:val="0"/>
                <w:sz w:val="28"/>
                <w:szCs w:val="28"/>
              </w:rPr>
              <w:t>老年综合征</w:t>
            </w:r>
          </w:p>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color w:val="000000"/>
                <w:kern w:val="0"/>
                <w:sz w:val="28"/>
                <w:szCs w:val="28"/>
              </w:rPr>
              <w:t>管理服务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（9分）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有中医（蒙医）老年人认知障碍、抑郁、吞咽困难、尿失禁、便秘和睡眠障碍等常见老年综合征的规范化评估与干预服务（5分）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有老年人多重用药、营养不良、慢性伤口（包括压疮）和下肢深静脉血栓等老年常见照护问题的评估与干预服务（4分）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老年专科服务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（8分）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提供老年人慢性伤口护理、管路维护等老年专科护理服务（2分）</w:t>
            </w:r>
          </w:p>
        </w:tc>
      </w:tr>
      <w:tr w:rsidR="00673713" w:rsidRPr="00DE728F" w:rsidTr="00DE728F">
        <w:trPr>
          <w:trHeight w:val="474"/>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提供住院康复和日间康复等中（蒙）医药服务（2分）</w:t>
            </w:r>
          </w:p>
        </w:tc>
      </w:tr>
      <w:tr w:rsidR="00673713" w:rsidRPr="00DE728F" w:rsidTr="00DE728F">
        <w:trPr>
          <w:trHeight w:val="474"/>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提供与养老机构、社区卫生服务机构合作的老年长期照护服务（2分）</w:t>
            </w:r>
          </w:p>
        </w:tc>
      </w:tr>
      <w:tr w:rsidR="00673713" w:rsidRPr="00DE728F" w:rsidTr="00DE728F">
        <w:trPr>
          <w:trHeight w:val="474"/>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为老年人及其家属开展生命教育，为临终患者提供缓和医疗和安宁疗护服务（2分）</w:t>
            </w:r>
          </w:p>
        </w:tc>
      </w:tr>
      <w:tr w:rsidR="00673713" w:rsidRPr="00DE728F" w:rsidTr="00DE728F">
        <w:trPr>
          <w:trHeight w:val="23"/>
          <w:jc w:val="center"/>
        </w:trPr>
        <w:tc>
          <w:tcPr>
            <w:tcW w:w="1952"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老年友善服务</w:t>
            </w:r>
          </w:p>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kern w:val="0"/>
                <w:sz w:val="28"/>
                <w:szCs w:val="28"/>
              </w:rPr>
              <w:t>（一级医院、护理院适用）</w:t>
            </w:r>
            <w:r w:rsidRPr="00DE728F">
              <w:rPr>
                <w:rFonts w:ascii="宋体" w:hAnsi="宋体" w:cs="宋体" w:hint="eastAsia"/>
                <w:kern w:val="0"/>
                <w:sz w:val="28"/>
                <w:szCs w:val="28"/>
              </w:rPr>
              <w:br/>
              <w:t>（40分）</w:t>
            </w: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老年人智能</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产品使用</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（5分）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kern w:val="0"/>
                <w:sz w:val="28"/>
                <w:szCs w:val="28"/>
              </w:rPr>
              <w:t>机构入口增设老年患者“无健康码”绿色通道，为没有手机或确实无法提供健康码的老年人提供就医指导和便利（2分）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在自助挂号、自助打印检验检查报告、自助缴费等智能设施设备前有专人提供指导服务（3分）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color w:val="000000"/>
                <w:kern w:val="0"/>
                <w:sz w:val="28"/>
                <w:szCs w:val="28"/>
              </w:rPr>
            </w:pPr>
            <w:r w:rsidRPr="00DE728F">
              <w:rPr>
                <w:rFonts w:ascii="宋体" w:hAnsi="宋体" w:cs="宋体" w:hint="eastAsia"/>
                <w:color w:val="000000"/>
                <w:kern w:val="0"/>
                <w:sz w:val="28"/>
                <w:szCs w:val="28"/>
              </w:rPr>
              <w:t>就医便利服务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color w:val="000000"/>
                <w:kern w:val="0"/>
                <w:sz w:val="28"/>
                <w:szCs w:val="28"/>
              </w:rPr>
              <w:t>（15分）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建立家庭病床提供优质服务，为失能、半失能、高龄老年人就医开通绿色通道（3分）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有远程医疗、远程会诊等服务流程及相应服务（3分）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优化老年人的就医服务流程，涉及老年人的就诊、入院、出院、转院和家庭病床设定，建立便捷的服务流程(2分)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为老年人规范开展上门服务工作，并有相应的服务流程(2分)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开设药物咨询窗口服务，为老年人开展多重用药的评估、咨询指导等服务；开展营养指导服务（3分）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为有需求的老年人提供“送药上门”服务（2分）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val="restart"/>
            <w:tcBorders>
              <w:tl2br w:val="nil"/>
              <w:tr2bl w:val="nil"/>
            </w:tcBorders>
            <w:vAlign w:val="center"/>
          </w:tcPr>
          <w:p w:rsidR="00673713"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老年综合评估与老年综合征管理</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（20分）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开展老年综合评估服务并在病历上体现；中医为主医院病例中要体现中医辨证论治、四诊合参、理法方药一致性（4分）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建立评估知情告知制度，告知内容应包括评估结果、影响因素和照护计划等（4分）</w:t>
            </w:r>
          </w:p>
        </w:tc>
      </w:tr>
      <w:tr w:rsidR="00673713" w:rsidRPr="00DE728F" w:rsidTr="00DE728F">
        <w:trPr>
          <w:trHeight w:val="474"/>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老年患者及其家属参与诊疗与照护计划的制定（3分）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有老年认知障碍、抑郁、吞咽困难、尿失禁、便秘和睡眠障碍等常见老年综合征的规范化评估与干预服务（3分）</w:t>
            </w:r>
          </w:p>
        </w:tc>
      </w:tr>
      <w:tr w:rsidR="00673713" w:rsidRPr="00DE728F" w:rsidTr="00DE728F">
        <w:trPr>
          <w:trHeight w:val="489"/>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开展老年康复与护理服务，并有相应的服务流程（3分）</w:t>
            </w:r>
          </w:p>
        </w:tc>
      </w:tr>
      <w:tr w:rsidR="00673713" w:rsidRPr="00DE728F" w:rsidTr="00DE728F">
        <w:trPr>
          <w:trHeight w:val="459"/>
          <w:jc w:val="center"/>
        </w:trPr>
        <w:tc>
          <w:tcPr>
            <w:tcW w:w="1952" w:type="dxa"/>
            <w:vMerge/>
            <w:tcBorders>
              <w:tl2br w:val="nil"/>
              <w:tr2bl w:val="nil"/>
            </w:tcBorders>
            <w:vAlign w:val="center"/>
          </w:tcPr>
          <w:p w:rsidR="00673713" w:rsidRPr="00DE728F" w:rsidRDefault="00673713" w:rsidP="00DE728F">
            <w:pPr>
              <w:widowControl/>
              <w:spacing w:line="0" w:lineRule="atLeast"/>
              <w:ind w:left="403" w:hangingChars="150" w:hanging="403"/>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为社区或居家老人提供老年长期照护和安宁疗护服务（3分）</w:t>
            </w:r>
          </w:p>
        </w:tc>
      </w:tr>
      <w:tr w:rsidR="00673713" w:rsidRPr="00DE728F" w:rsidTr="00DE728F">
        <w:trPr>
          <w:trHeight w:val="23"/>
          <w:jc w:val="center"/>
        </w:trPr>
        <w:tc>
          <w:tcPr>
            <w:tcW w:w="1952"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老年友善服务</w:t>
            </w:r>
          </w:p>
          <w:p w:rsidR="00673713" w:rsidRPr="00DE728F" w:rsidRDefault="00673713" w:rsidP="00DE728F">
            <w:pPr>
              <w:widowControl/>
              <w:spacing w:line="0" w:lineRule="atLeast"/>
              <w:jc w:val="center"/>
              <w:rPr>
                <w:rFonts w:ascii="宋体" w:hAnsi="宋体" w:cs="宋体" w:hint="eastAsia"/>
                <w:kern w:val="0"/>
                <w:sz w:val="28"/>
                <w:szCs w:val="28"/>
              </w:rPr>
            </w:pPr>
            <w:r w:rsidRPr="00DE728F">
              <w:rPr>
                <w:rFonts w:ascii="宋体" w:hAnsi="宋体" w:cs="宋体" w:hint="eastAsia"/>
                <w:kern w:val="0"/>
                <w:sz w:val="28"/>
                <w:szCs w:val="28"/>
              </w:rPr>
              <w:t>（社区卫生服务中心、乡镇</w:t>
            </w:r>
            <w:r w:rsidRPr="00DE728F">
              <w:rPr>
                <w:rFonts w:ascii="宋体" w:hAnsi="宋体" w:cs="宋体" w:hint="eastAsia"/>
                <w:kern w:val="0"/>
                <w:sz w:val="28"/>
                <w:szCs w:val="28"/>
              </w:rPr>
              <w:lastRenderedPageBreak/>
              <w:t>卫生院适用）</w:t>
            </w:r>
            <w:r w:rsidRPr="00DE728F">
              <w:rPr>
                <w:rFonts w:ascii="宋体" w:hAnsi="宋体" w:cs="宋体" w:hint="eastAsia"/>
                <w:kern w:val="0"/>
                <w:sz w:val="28"/>
                <w:szCs w:val="28"/>
              </w:rPr>
              <w:br/>
              <w:t>（40分）</w:t>
            </w: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lastRenderedPageBreak/>
              <w:t>老年人智能</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产品使用</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（3分）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机构入口增设老年患者“无健康码”绿色通道，为没有手机或确实无法提供健康码的老年人提供就医指导和便利（1分）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在自助挂号、自助打印检验检查报告、自助缴费等智能设施设备前有专人提供指导服务（2分）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基本医疗服务</w:t>
            </w:r>
          </w:p>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（12分）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提供家庭病床服务，为失能、半失能、高龄老年人就医开通绿色通道（2分）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有远程医疗、远程会诊等服务流程及相应服务（3分）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 xml:space="preserve">优化老年人的就医服务流程，涉及老年人的就诊、入院、出院、转院和家庭病床建床，有便捷的服务流程(2分) </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 xml:space="preserve">为老年人规范开展上门医疗服务，并有相应的服务流程(2分) </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开设药物咨询窗口服务，为老年人开展多重用药的评估、咨询指导等服务（2分）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为有需求的老年人提供“送药上门”服务（1分）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健康管理服务（15分）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规范开展老年人家庭医生签约服务，签约率达到80%（4分）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为签约老人提供生活方式和健康状态评估，建立老年综合评估制度，提供老年综合评估服务（2分）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为签约老人开展老年综合征（如跌倒、认知障碍等问题）的评估，并针对评估结果开展相关预防与管理工作（2分）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落实国家基本公共卫生服务项目，按照规范为辖区老年人提供居民健康档案管理、中（蒙）医药健康管理、老年人健康管理、65岁以上老年人健康体检等服务（7分）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老年专科服务（10分）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开展老年康复与护理服务，并有相应的服务流程（4分）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为有需求的老年人提供照护和安宁疗护服务（2分）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为老年人提供其他多层次、多样化的专科或专症服务，如至少提供营养咨询、晕厥防护等服务（4分）</w:t>
            </w:r>
          </w:p>
        </w:tc>
      </w:tr>
      <w:tr w:rsidR="00673713" w:rsidRPr="00DE728F" w:rsidTr="00DE728F">
        <w:trPr>
          <w:trHeight w:val="23"/>
          <w:jc w:val="center"/>
        </w:trPr>
        <w:tc>
          <w:tcPr>
            <w:tcW w:w="1952"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老年友善环境</w:t>
            </w:r>
            <w:r w:rsidRPr="00DE728F">
              <w:rPr>
                <w:rFonts w:ascii="宋体" w:hAnsi="宋体" w:cs="宋体" w:hint="eastAsia"/>
                <w:kern w:val="0"/>
                <w:sz w:val="28"/>
                <w:szCs w:val="28"/>
              </w:rPr>
              <w:br/>
              <w:t>（30分）</w:t>
            </w: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交通与标识（7分）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在门急诊和病区主出入口设有无障碍通道（1分）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应有适老化设施和无障碍设施（1分）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在机构主要出入口处有方便老年人上下车的临时停车区和安全标识（1分）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在台阶、坡道、转弯处有安全警示标志，坡度适宜（1分）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主要道路岔口处、建筑主出入口处、建筑内各楼层通道分叉显眼处、电梯内外按钮，均应设有颜色醒目、较大字体、简单易懂的标识（1分）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标识要安装在适当的高度和位置，使轮椅和行走者都能看到（1分）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小标识牌字体大小至少应不小于30mm，大标识牌字体应不小于60mm；标识颜色对比明显，字体和材质基本统一，导引图上标明有当前位置（1分）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建筑与环境（15分）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机构内部环境整洁，建筑物以暖色调为主（1分）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院内地板防滑、无反光，区域连接处平顺、无高低差（1分）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地面、墙面、家具不使用夸张的几何图案和斑纹（1分）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地板、扶手、房门与墙壁采用高对比颜色，便于识别（1分）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病房区域照明均匀充足，无眩光，病房内设置有夜灯（1分）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病房及公共区域窗户均安装行程限位器，有遮阳装置（1分）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病室装配有时钟、日历和提示板（1分）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病室温度适中，冬季温度保持在20℃-25℃之间，夏季保持在24℃-30℃之间（1分）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走道、坡道、楼梯表面有防滑措施，宽度足以让两个轮椅并行通过（1分）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长的走道、坡道间隔、长楼梯拐角处设有休息区或休息椅（1分）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楼梯和走廊两侧安装有扶手，有坡道的地方至少有一侧安装扶手（1分）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易从主入口和重要通道进入电梯，电梯三面安装扶手，电梯门、电动门自动阻尼延时≥4秒（1分）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公共区域设置有无障碍卫生间或无性别卫生间（1分）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卫生间门的宽度满足轮椅进出尺寸要求，遇紧急情况时门可从外面打开；卫生间内应有足够的空间保证轮椅转弯（1分）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设有老年医学科住院病房的，每护理单元应设置集中浴室，浴室设施能满足自理、半失能和失能老年人的多种需求；浴室内设有马桶和座椅（1分）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val="restart"/>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设施与家具（8分）</w:t>
            </w: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病床（或观察床）高度可调，有隔档、减压床垫（1分）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病床（或观察床）之间以及病床（或观察床）与家具之间有足够的空间可供轮椅通行（至少为一个轮椅的转弯半径）（1分）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在病床旁（或观察床）边应设置呼叫器及清晰易于使用的床灯开关（2分）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家具稳固，带轮子的桌椅可制动（1分）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桌椅应为圆边或在家具尖角、墙角处安装防撞护角、防撞条；与周围环境颜色对比明显，桌子高度可使轮椅伸入（1分）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软垫座椅应防滑、易清洁，织物图案适宜，色彩与环境对比明显(1分)</w:t>
            </w:r>
          </w:p>
        </w:tc>
      </w:tr>
      <w:tr w:rsidR="00673713" w:rsidRPr="00DE728F" w:rsidTr="00DE728F">
        <w:trPr>
          <w:trHeight w:val="23"/>
          <w:jc w:val="center"/>
        </w:trPr>
        <w:tc>
          <w:tcPr>
            <w:tcW w:w="1952"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705" w:type="dxa"/>
            <w:vMerge/>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p>
        </w:tc>
        <w:tc>
          <w:tcPr>
            <w:tcW w:w="10308" w:type="dxa"/>
            <w:tcBorders>
              <w:tl2br w:val="nil"/>
              <w:tr2bl w:val="nil"/>
            </w:tcBorders>
            <w:vAlign w:val="center"/>
          </w:tcPr>
          <w:p w:rsidR="00673713" w:rsidRPr="00DE728F" w:rsidRDefault="00673713" w:rsidP="00DE728F">
            <w:pPr>
              <w:widowControl/>
              <w:spacing w:line="0" w:lineRule="atLeast"/>
              <w:rPr>
                <w:rFonts w:ascii="宋体" w:hAnsi="宋体" w:cs="宋体" w:hint="eastAsia"/>
                <w:kern w:val="0"/>
                <w:sz w:val="28"/>
                <w:szCs w:val="28"/>
              </w:rPr>
            </w:pPr>
            <w:r w:rsidRPr="00DE728F">
              <w:rPr>
                <w:rFonts w:ascii="宋体" w:hAnsi="宋体" w:cs="宋体" w:hint="eastAsia"/>
                <w:kern w:val="0"/>
                <w:sz w:val="28"/>
                <w:szCs w:val="28"/>
              </w:rPr>
              <w:t>座椅应有扶手，椅背向后倾斜，座椅高460-485mm，深457-508mm（2分）</w:t>
            </w:r>
          </w:p>
        </w:tc>
      </w:tr>
    </w:tbl>
    <w:p w:rsidR="00673713" w:rsidRDefault="00673713" w:rsidP="00673713">
      <w:pPr>
        <w:rPr>
          <w:rFonts w:hint="eastAsia"/>
        </w:rPr>
      </w:pPr>
    </w:p>
    <w:p w:rsidR="00673713" w:rsidRDefault="00673713" w:rsidP="00673713">
      <w:pPr>
        <w:pStyle w:val="1"/>
        <w:jc w:val="both"/>
        <w:rPr>
          <w:rFonts w:hint="eastAsia"/>
        </w:rPr>
      </w:pPr>
    </w:p>
    <w:p w:rsidR="00673713" w:rsidRDefault="00673713" w:rsidP="00673713">
      <w:pPr>
        <w:pStyle w:val="1"/>
        <w:jc w:val="both"/>
        <w:rPr>
          <w:rFonts w:ascii="仿宋_GB2312" w:eastAsia="仿宋_GB2312" w:hAnsi="仿宋_GB2312" w:cs="仿宋_GB2312" w:hint="eastAsia"/>
          <w:color w:val="333333"/>
          <w:spacing w:val="15"/>
          <w:kern w:val="0"/>
          <w:sz w:val="32"/>
          <w:szCs w:val="32"/>
        </w:rPr>
      </w:pPr>
    </w:p>
    <w:p w:rsidR="00673713" w:rsidRDefault="00673713" w:rsidP="00673713">
      <w:pPr>
        <w:pStyle w:val="1"/>
        <w:jc w:val="both"/>
        <w:rPr>
          <w:rFonts w:ascii="黑体" w:eastAsia="黑体" w:hAnsi="黑体" w:cs="黑体" w:hint="eastAsia"/>
          <w:color w:val="333333"/>
          <w:spacing w:val="15"/>
          <w:kern w:val="0"/>
          <w:sz w:val="32"/>
          <w:szCs w:val="32"/>
        </w:rPr>
      </w:pPr>
      <w:r>
        <w:rPr>
          <w:rFonts w:ascii="方正黑体_GBK" w:eastAsia="方正黑体_GBK" w:hAnsi="方正黑体_GBK" w:cs="方正黑体_GBK" w:hint="eastAsia"/>
          <w:color w:val="333333"/>
          <w:spacing w:val="15"/>
          <w:kern w:val="0"/>
          <w:sz w:val="32"/>
          <w:szCs w:val="32"/>
        </w:rPr>
        <w:br w:type="page"/>
      </w:r>
      <w:r w:rsidRPr="00DE728F">
        <w:rPr>
          <w:rFonts w:ascii="黑体" w:eastAsia="黑体" w:hAnsi="黑体" w:cs="黑体" w:hint="eastAsia"/>
          <w:color w:val="333333"/>
          <w:spacing w:val="15"/>
          <w:kern w:val="0"/>
          <w:sz w:val="32"/>
          <w:szCs w:val="32"/>
        </w:rPr>
        <w:lastRenderedPageBreak/>
        <w:t>附件2</w:t>
      </w:r>
    </w:p>
    <w:p w:rsidR="00673713" w:rsidRPr="00DE728F" w:rsidRDefault="00673713" w:rsidP="00673713">
      <w:pPr>
        <w:rPr>
          <w:color w:val="333333"/>
        </w:rPr>
      </w:pPr>
    </w:p>
    <w:p w:rsidR="00673713" w:rsidRPr="00DE728F" w:rsidRDefault="00673713" w:rsidP="00673713">
      <w:pPr>
        <w:pStyle w:val="1"/>
        <w:jc w:val="center"/>
        <w:rPr>
          <w:rFonts w:ascii="方正小标宋_GBK" w:eastAsia="方正小标宋_GBK" w:hAnsi="方正小标宋_GBK" w:cs="方正小标宋_GBK" w:hint="eastAsia"/>
          <w:color w:val="333333"/>
          <w:spacing w:val="15"/>
          <w:kern w:val="0"/>
          <w:sz w:val="40"/>
          <w:szCs w:val="40"/>
        </w:rPr>
      </w:pPr>
      <w:r w:rsidRPr="00DE728F">
        <w:rPr>
          <w:rFonts w:ascii="方正小标宋_GBK" w:eastAsia="方正小标宋_GBK" w:hAnsi="方正小标宋_GBK" w:cs="方正小标宋_GBK" w:hint="eastAsia"/>
          <w:color w:val="333333"/>
          <w:spacing w:val="15"/>
          <w:kern w:val="0"/>
          <w:sz w:val="40"/>
          <w:szCs w:val="40"/>
        </w:rPr>
        <w:t>老年友善医疗机构汇总表</w:t>
      </w:r>
    </w:p>
    <w:p w:rsidR="00673713" w:rsidRDefault="00673713" w:rsidP="00673713">
      <w:pPr>
        <w:pStyle w:val="1"/>
        <w:jc w:val="both"/>
        <w:rPr>
          <w:rFonts w:ascii="仿宋_GB2312" w:eastAsia="仿宋_GB2312" w:hAnsi="仿宋_GB2312" w:cs="仿宋_GB2312" w:hint="eastAsia"/>
          <w:color w:val="333333"/>
          <w:spacing w:val="15"/>
          <w:kern w:val="0"/>
          <w:sz w:val="32"/>
          <w:szCs w:val="32"/>
        </w:rPr>
      </w:pPr>
    </w:p>
    <w:p w:rsidR="00673713" w:rsidRDefault="00673713" w:rsidP="00673713">
      <w:pPr>
        <w:pStyle w:val="1"/>
        <w:jc w:val="both"/>
        <w:rPr>
          <w:rFonts w:ascii="仿宋_GB2312" w:eastAsia="仿宋_GB2312" w:hAnsi="仿宋_GB2312" w:cs="仿宋_GB2312" w:hint="eastAsia"/>
          <w:color w:val="333333"/>
          <w:spacing w:val="15"/>
          <w:kern w:val="0"/>
          <w:sz w:val="32"/>
          <w:szCs w:val="32"/>
        </w:rPr>
      </w:pPr>
      <w:r>
        <w:rPr>
          <w:rFonts w:ascii="仿宋_GB2312" w:eastAsia="仿宋_GB2312" w:hAnsi="仿宋_GB2312" w:cs="仿宋_GB2312" w:hint="eastAsia"/>
          <w:color w:val="333333"/>
          <w:spacing w:val="15"/>
          <w:kern w:val="0"/>
          <w:sz w:val="32"/>
          <w:szCs w:val="32"/>
        </w:rPr>
        <w:t>填报单位（盖章）：         填表人：  </w:t>
      </w:r>
      <w:bookmarkStart w:id="0" w:name="_GoBack"/>
      <w:bookmarkEnd w:id="0"/>
      <w:r>
        <w:rPr>
          <w:rFonts w:ascii="仿宋_GB2312" w:eastAsia="仿宋_GB2312" w:hAnsi="仿宋_GB2312" w:cs="仿宋_GB2312" w:hint="eastAsia"/>
          <w:color w:val="333333"/>
          <w:spacing w:val="15"/>
          <w:kern w:val="0"/>
          <w:sz w:val="32"/>
          <w:szCs w:val="32"/>
        </w:rPr>
        <w:t xml:space="preserve">      填报时间：</w:t>
      </w:r>
    </w:p>
    <w:tbl>
      <w:tblPr>
        <w:tblW w:w="13265"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000" w:firstRow="0" w:lastRow="0" w:firstColumn="0" w:lastColumn="0" w:noHBand="0" w:noVBand="0"/>
      </w:tblPr>
      <w:tblGrid>
        <w:gridCol w:w="600"/>
        <w:gridCol w:w="2460"/>
        <w:gridCol w:w="3210"/>
        <w:gridCol w:w="1700"/>
        <w:gridCol w:w="813"/>
        <w:gridCol w:w="747"/>
        <w:gridCol w:w="1365"/>
        <w:gridCol w:w="2370"/>
      </w:tblGrid>
      <w:tr w:rsidR="00673713" w:rsidRPr="00DE728F" w:rsidTr="00DE728F">
        <w:trPr>
          <w:trHeight w:val="668"/>
          <w:jc w:val="center"/>
        </w:trPr>
        <w:tc>
          <w:tcPr>
            <w:tcW w:w="600" w:type="dxa"/>
            <w:tcBorders>
              <w:top w:val="single" w:sz="6" w:space="0" w:color="auto"/>
              <w:left w:val="single" w:sz="6" w:space="0" w:color="auto"/>
              <w:bottom w:val="single" w:sz="6" w:space="0" w:color="auto"/>
              <w:right w:val="single" w:sz="6" w:space="0" w:color="auto"/>
            </w:tcBorders>
            <w:vAlign w:val="center"/>
          </w:tcPr>
          <w:p w:rsidR="00673713" w:rsidRPr="00DE728F" w:rsidRDefault="00673713" w:rsidP="00DE728F">
            <w:pPr>
              <w:spacing w:before="240" w:after="240" w:line="0" w:lineRule="atLeast"/>
              <w:jc w:val="center"/>
              <w:rPr>
                <w:rFonts w:ascii="黑体" w:eastAsia="黑体" w:hAnsi="黑体" w:cs="黑体" w:hint="eastAsia"/>
                <w:kern w:val="0"/>
                <w:sz w:val="28"/>
                <w:szCs w:val="28"/>
              </w:rPr>
            </w:pPr>
            <w:r w:rsidRPr="00DE728F">
              <w:rPr>
                <w:rFonts w:ascii="黑体" w:eastAsia="黑体" w:hAnsi="黑体" w:cs="黑体" w:hint="eastAsia"/>
                <w:kern w:val="0"/>
                <w:sz w:val="28"/>
                <w:szCs w:val="28"/>
              </w:rPr>
              <w:t> 序号</w:t>
            </w:r>
          </w:p>
        </w:tc>
        <w:tc>
          <w:tcPr>
            <w:tcW w:w="2460" w:type="dxa"/>
            <w:tcBorders>
              <w:top w:val="single" w:sz="6" w:space="0" w:color="auto"/>
              <w:left w:val="single" w:sz="6" w:space="0" w:color="auto"/>
              <w:bottom w:val="single" w:sz="6" w:space="0" w:color="auto"/>
              <w:right w:val="single" w:sz="6" w:space="0" w:color="auto"/>
            </w:tcBorders>
            <w:vAlign w:val="center"/>
          </w:tcPr>
          <w:p w:rsidR="00673713" w:rsidRPr="00DE728F" w:rsidRDefault="00673713" w:rsidP="00DE728F">
            <w:pPr>
              <w:spacing w:before="240" w:after="240" w:line="0" w:lineRule="atLeast"/>
              <w:jc w:val="center"/>
              <w:rPr>
                <w:rFonts w:ascii="黑体" w:eastAsia="黑体" w:hAnsi="黑体" w:cs="黑体" w:hint="eastAsia"/>
                <w:kern w:val="0"/>
                <w:sz w:val="28"/>
                <w:szCs w:val="28"/>
              </w:rPr>
            </w:pPr>
            <w:r w:rsidRPr="00DE728F">
              <w:rPr>
                <w:rFonts w:ascii="黑体" w:eastAsia="黑体" w:hAnsi="黑体" w:cs="黑体" w:hint="eastAsia"/>
                <w:kern w:val="0"/>
                <w:sz w:val="28"/>
                <w:szCs w:val="28"/>
              </w:rPr>
              <w:t>医疗机构名称</w:t>
            </w:r>
          </w:p>
        </w:tc>
        <w:tc>
          <w:tcPr>
            <w:tcW w:w="3210" w:type="dxa"/>
            <w:tcBorders>
              <w:top w:val="single" w:sz="6" w:space="0" w:color="auto"/>
              <w:left w:val="single" w:sz="6" w:space="0" w:color="auto"/>
              <w:bottom w:val="single" w:sz="6" w:space="0" w:color="auto"/>
              <w:right w:val="single" w:sz="6" w:space="0" w:color="auto"/>
            </w:tcBorders>
            <w:vAlign w:val="center"/>
          </w:tcPr>
          <w:p w:rsidR="00673713" w:rsidRPr="00DE728F" w:rsidRDefault="00673713" w:rsidP="00DE728F">
            <w:pPr>
              <w:spacing w:before="240" w:after="240" w:line="0" w:lineRule="atLeast"/>
              <w:jc w:val="center"/>
              <w:rPr>
                <w:rFonts w:ascii="黑体" w:eastAsia="黑体" w:hAnsi="黑体" w:cs="黑体" w:hint="eastAsia"/>
                <w:kern w:val="0"/>
                <w:sz w:val="28"/>
                <w:szCs w:val="28"/>
              </w:rPr>
            </w:pPr>
            <w:r w:rsidRPr="00DE728F">
              <w:rPr>
                <w:rFonts w:ascii="黑体" w:eastAsia="黑体" w:hAnsi="黑体" w:cs="黑体" w:hint="eastAsia"/>
                <w:kern w:val="0"/>
                <w:sz w:val="28"/>
                <w:szCs w:val="28"/>
              </w:rPr>
              <w:t>医疗机构地址</w:t>
            </w:r>
          </w:p>
        </w:tc>
        <w:tc>
          <w:tcPr>
            <w:tcW w:w="1700" w:type="dxa"/>
            <w:tcBorders>
              <w:top w:val="single" w:sz="6" w:space="0" w:color="auto"/>
              <w:left w:val="single" w:sz="6" w:space="0" w:color="auto"/>
              <w:bottom w:val="single" w:sz="6" w:space="0" w:color="auto"/>
              <w:right w:val="single" w:sz="6" w:space="0" w:color="auto"/>
            </w:tcBorders>
            <w:vAlign w:val="center"/>
          </w:tcPr>
          <w:p w:rsidR="00673713" w:rsidRPr="00DE728F" w:rsidRDefault="00673713" w:rsidP="00DE728F">
            <w:pPr>
              <w:spacing w:before="240" w:after="240" w:line="0" w:lineRule="atLeast"/>
              <w:jc w:val="center"/>
              <w:rPr>
                <w:rFonts w:ascii="黑体" w:eastAsia="黑体" w:hAnsi="黑体" w:cs="黑体" w:hint="eastAsia"/>
                <w:kern w:val="0"/>
                <w:sz w:val="28"/>
                <w:szCs w:val="28"/>
              </w:rPr>
            </w:pPr>
            <w:r w:rsidRPr="00DE728F">
              <w:rPr>
                <w:rFonts w:ascii="黑体" w:eastAsia="黑体" w:hAnsi="黑体" w:cs="黑体" w:hint="eastAsia"/>
                <w:kern w:val="0"/>
                <w:sz w:val="28"/>
                <w:szCs w:val="28"/>
              </w:rPr>
              <w:t>机构类别</w:t>
            </w:r>
          </w:p>
        </w:tc>
        <w:tc>
          <w:tcPr>
            <w:tcW w:w="813" w:type="dxa"/>
            <w:tcBorders>
              <w:top w:val="single" w:sz="6" w:space="0" w:color="auto"/>
              <w:left w:val="single" w:sz="6" w:space="0" w:color="auto"/>
              <w:bottom w:val="single" w:sz="6" w:space="0" w:color="auto"/>
              <w:right w:val="single" w:sz="6" w:space="0" w:color="auto"/>
            </w:tcBorders>
            <w:vAlign w:val="center"/>
          </w:tcPr>
          <w:p w:rsidR="00673713" w:rsidRPr="00DE728F" w:rsidRDefault="00673713" w:rsidP="00DE728F">
            <w:pPr>
              <w:spacing w:before="240" w:after="240" w:line="0" w:lineRule="atLeast"/>
              <w:jc w:val="center"/>
              <w:rPr>
                <w:rFonts w:ascii="黑体" w:eastAsia="黑体" w:hAnsi="黑体" w:cs="黑体" w:hint="eastAsia"/>
                <w:kern w:val="0"/>
                <w:sz w:val="28"/>
                <w:szCs w:val="28"/>
              </w:rPr>
            </w:pPr>
            <w:r w:rsidRPr="00DE728F">
              <w:rPr>
                <w:rFonts w:ascii="黑体" w:eastAsia="黑体" w:hAnsi="黑体" w:cs="黑体" w:hint="eastAsia"/>
                <w:kern w:val="0"/>
                <w:sz w:val="28"/>
                <w:szCs w:val="28"/>
              </w:rPr>
              <w:t>机构等级</w:t>
            </w:r>
          </w:p>
        </w:tc>
        <w:tc>
          <w:tcPr>
            <w:tcW w:w="747" w:type="dxa"/>
            <w:tcBorders>
              <w:top w:val="single" w:sz="6" w:space="0" w:color="auto"/>
              <w:left w:val="single" w:sz="6" w:space="0" w:color="auto"/>
              <w:bottom w:val="single" w:sz="6" w:space="0" w:color="auto"/>
              <w:right w:val="single" w:sz="6" w:space="0" w:color="auto"/>
            </w:tcBorders>
            <w:vAlign w:val="center"/>
          </w:tcPr>
          <w:p w:rsidR="00673713" w:rsidRPr="00DE728F" w:rsidRDefault="00673713" w:rsidP="00DE728F">
            <w:pPr>
              <w:spacing w:before="240" w:after="240" w:line="0" w:lineRule="atLeast"/>
              <w:jc w:val="center"/>
              <w:rPr>
                <w:rFonts w:ascii="黑体" w:eastAsia="黑体" w:hAnsi="黑体" w:cs="黑体" w:hint="eastAsia"/>
                <w:kern w:val="0"/>
                <w:sz w:val="28"/>
                <w:szCs w:val="28"/>
              </w:rPr>
            </w:pPr>
            <w:r w:rsidRPr="00DE728F">
              <w:rPr>
                <w:rFonts w:ascii="黑体" w:eastAsia="黑体" w:hAnsi="黑体" w:cs="黑体" w:hint="eastAsia"/>
                <w:kern w:val="0"/>
                <w:sz w:val="28"/>
                <w:szCs w:val="28"/>
              </w:rPr>
              <w:t>评审得分</w:t>
            </w:r>
          </w:p>
        </w:tc>
        <w:tc>
          <w:tcPr>
            <w:tcW w:w="1365" w:type="dxa"/>
            <w:tcBorders>
              <w:top w:val="single" w:sz="6" w:space="0" w:color="auto"/>
              <w:left w:val="single" w:sz="6" w:space="0" w:color="auto"/>
              <w:bottom w:val="single" w:sz="6" w:space="0" w:color="auto"/>
              <w:right w:val="single" w:sz="6" w:space="0" w:color="auto"/>
            </w:tcBorders>
            <w:vAlign w:val="center"/>
          </w:tcPr>
          <w:p w:rsidR="00673713" w:rsidRPr="00DE728F" w:rsidRDefault="00673713" w:rsidP="00DE728F">
            <w:pPr>
              <w:spacing w:before="240" w:after="240" w:line="0" w:lineRule="atLeast"/>
              <w:jc w:val="center"/>
              <w:rPr>
                <w:rFonts w:ascii="黑体" w:eastAsia="黑体" w:hAnsi="黑体" w:cs="黑体" w:hint="eastAsia"/>
                <w:kern w:val="0"/>
                <w:sz w:val="28"/>
                <w:szCs w:val="28"/>
              </w:rPr>
            </w:pPr>
            <w:r w:rsidRPr="00DE728F">
              <w:rPr>
                <w:rFonts w:ascii="黑体" w:eastAsia="黑体" w:hAnsi="黑体" w:cs="黑体" w:hint="eastAsia"/>
                <w:kern w:val="0"/>
                <w:sz w:val="28"/>
                <w:szCs w:val="28"/>
              </w:rPr>
              <w:t>负责人</w:t>
            </w:r>
          </w:p>
        </w:tc>
        <w:tc>
          <w:tcPr>
            <w:tcW w:w="2370" w:type="dxa"/>
            <w:tcBorders>
              <w:top w:val="single" w:sz="6" w:space="0" w:color="auto"/>
              <w:left w:val="single" w:sz="6" w:space="0" w:color="auto"/>
              <w:bottom w:val="single" w:sz="6" w:space="0" w:color="auto"/>
              <w:right w:val="single" w:sz="6" w:space="0" w:color="auto"/>
            </w:tcBorders>
            <w:vAlign w:val="center"/>
          </w:tcPr>
          <w:p w:rsidR="00673713" w:rsidRPr="00DE728F" w:rsidRDefault="00673713" w:rsidP="00DE728F">
            <w:pPr>
              <w:spacing w:before="240" w:after="240" w:line="0" w:lineRule="atLeast"/>
              <w:jc w:val="center"/>
              <w:rPr>
                <w:rFonts w:ascii="黑体" w:eastAsia="黑体" w:hAnsi="黑体" w:cs="黑体" w:hint="eastAsia"/>
                <w:kern w:val="0"/>
                <w:sz w:val="28"/>
                <w:szCs w:val="28"/>
              </w:rPr>
            </w:pPr>
            <w:r w:rsidRPr="00DE728F">
              <w:rPr>
                <w:rFonts w:ascii="黑体" w:eastAsia="黑体" w:hAnsi="黑体" w:cs="黑体" w:hint="eastAsia"/>
                <w:kern w:val="0"/>
                <w:sz w:val="28"/>
                <w:szCs w:val="28"/>
              </w:rPr>
              <w:t>联系方式</w:t>
            </w:r>
          </w:p>
        </w:tc>
      </w:tr>
      <w:tr w:rsidR="00673713" w:rsidTr="00DE728F">
        <w:trPr>
          <w:trHeight w:val="450"/>
          <w:jc w:val="center"/>
        </w:trPr>
        <w:tc>
          <w:tcPr>
            <w:tcW w:w="6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46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321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7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813"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747"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365"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37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r>
      <w:tr w:rsidR="00673713" w:rsidTr="00DE728F">
        <w:trPr>
          <w:trHeight w:val="450"/>
          <w:jc w:val="center"/>
        </w:trPr>
        <w:tc>
          <w:tcPr>
            <w:tcW w:w="6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46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321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7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813"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747"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365"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37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r>
      <w:tr w:rsidR="00673713" w:rsidTr="00DE728F">
        <w:trPr>
          <w:trHeight w:val="450"/>
          <w:jc w:val="center"/>
        </w:trPr>
        <w:tc>
          <w:tcPr>
            <w:tcW w:w="6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46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321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7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813"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747"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365"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37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r>
      <w:tr w:rsidR="00673713" w:rsidTr="00DE728F">
        <w:trPr>
          <w:trHeight w:val="450"/>
          <w:jc w:val="center"/>
        </w:trPr>
        <w:tc>
          <w:tcPr>
            <w:tcW w:w="6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46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321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7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813"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747"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365"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37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r>
      <w:tr w:rsidR="00673713" w:rsidTr="00DE728F">
        <w:trPr>
          <w:trHeight w:val="450"/>
          <w:jc w:val="center"/>
        </w:trPr>
        <w:tc>
          <w:tcPr>
            <w:tcW w:w="6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46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321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7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813"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747"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365"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37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r>
      <w:tr w:rsidR="00673713" w:rsidTr="00DE728F">
        <w:trPr>
          <w:trHeight w:val="450"/>
          <w:jc w:val="center"/>
        </w:trPr>
        <w:tc>
          <w:tcPr>
            <w:tcW w:w="6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46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321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7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813"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747"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365"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37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r>
      <w:tr w:rsidR="00673713" w:rsidTr="00DE728F">
        <w:trPr>
          <w:trHeight w:val="450"/>
          <w:jc w:val="center"/>
        </w:trPr>
        <w:tc>
          <w:tcPr>
            <w:tcW w:w="6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46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321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70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813"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747"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1365"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c>
          <w:tcPr>
            <w:tcW w:w="2370" w:type="dxa"/>
            <w:tcBorders>
              <w:top w:val="nil"/>
              <w:left w:val="single" w:sz="6" w:space="0" w:color="auto"/>
              <w:bottom w:val="single" w:sz="6" w:space="0" w:color="auto"/>
              <w:right w:val="single" w:sz="6" w:space="0" w:color="auto"/>
            </w:tcBorders>
            <w:vAlign w:val="center"/>
          </w:tcPr>
          <w:p w:rsidR="00673713" w:rsidRDefault="00673713" w:rsidP="00DE728F">
            <w:pPr>
              <w:rPr>
                <w:rFonts w:ascii="宋体" w:hAnsi="宋体" w:cs="宋体"/>
                <w:kern w:val="0"/>
              </w:rPr>
            </w:pPr>
          </w:p>
        </w:tc>
      </w:tr>
    </w:tbl>
    <w:p w:rsidR="00673713" w:rsidRDefault="00673713" w:rsidP="00673713">
      <w:pPr>
        <w:ind w:rightChars="130" w:right="258"/>
        <w:rPr>
          <w:rFonts w:hint="eastAsia"/>
          <w:sz w:val="32"/>
          <w:szCs w:val="32"/>
          <w:lang w:val="en-US" w:eastAsia="zh-CN"/>
        </w:rPr>
      </w:pPr>
      <w:r>
        <w:rPr>
          <w:rFonts w:ascii="宋体" w:hAnsi="宋体" w:cs="宋体" w:hint="eastAsia"/>
          <w:kern w:val="0"/>
        </w:rPr>
        <w:t> </w:t>
      </w:r>
    </w:p>
    <w:p w:rsidR="00673713" w:rsidRDefault="00673713" w:rsidP="00673713">
      <w:pPr>
        <w:ind w:leftChars="162" w:left="321" w:rightChars="130" w:right="258" w:firstLineChars="100" w:firstLine="308"/>
        <w:rPr>
          <w:sz w:val="32"/>
          <w:szCs w:val="32"/>
          <w:lang w:val="en-US" w:eastAsia="zh-CN"/>
        </w:rPr>
        <w:sectPr w:rsidR="00673713">
          <w:footerReference w:type="even" r:id="rId4"/>
          <w:footerReference w:type="default" r:id="rId5"/>
          <w:pgSz w:w="16838" w:h="11906" w:orient="landscape"/>
          <w:pgMar w:top="1587" w:right="2098" w:bottom="1587" w:left="1985" w:header="851" w:footer="1587" w:gutter="0"/>
          <w:cols w:space="720"/>
          <w:titlePg/>
          <w:docGrid w:type="linesAndChars" w:linePitch="311" w:charSpace="-2374"/>
        </w:sectPr>
      </w:pPr>
    </w:p>
    <w:p w:rsidR="00B077B0" w:rsidRDefault="00B077B0"/>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宋简"/>
    <w:charset w:val="00"/>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73713">
    <w:pPr>
      <w:pStyle w:val="a3"/>
      <w:framePr w:wrap="around" w:vAnchor="text" w:hAnchor="margin" w:xAlign="outside" w:y="1"/>
      <w:rPr>
        <w:rStyle w:val="a4"/>
      </w:rPr>
    </w:pPr>
    <w:r>
      <w:fldChar w:fldCharType="begin"/>
    </w:r>
    <w:r>
      <w:rPr>
        <w:rStyle w:val="a4"/>
      </w:rPr>
      <w:instrText xml:space="preserve">PAGE  </w:instrText>
    </w:r>
    <w:r>
      <w:fldChar w:fldCharType="end"/>
    </w:r>
  </w:p>
  <w:p w:rsidR="00000000" w:rsidRDefault="0067371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73713">
    <w:pPr>
      <w:pStyle w:val="a3"/>
      <w:framePr w:wrap="around" w:vAnchor="text" w:hAnchor="margin" w:xAlign="outside" w:y="1"/>
      <w:ind w:leftChars="135" w:left="283" w:rightChars="169" w:right="355"/>
      <w:jc w:val="right"/>
      <w:rPr>
        <w:rStyle w:val="a4"/>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p>
  <w:p w:rsidR="00000000" w:rsidRDefault="00673713">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13"/>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73713"/>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2C24C-5283-4475-BD62-0325C597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67371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uiPriority w:val="99"/>
    <w:qFormat/>
    <w:rsid w:val="00673713"/>
    <w:pPr>
      <w:widowControl/>
      <w:spacing w:line="360" w:lineRule="auto"/>
      <w:jc w:val="left"/>
      <w:textAlignment w:val="baseline"/>
    </w:pPr>
    <w:rPr>
      <w:rFonts w:ascii="Calibri" w:eastAsia="等线" w:hAnsi="Calibri"/>
      <w:szCs w:val="24"/>
    </w:rPr>
  </w:style>
  <w:style w:type="paragraph" w:styleId="a3">
    <w:name w:val="footer"/>
    <w:basedOn w:val="a"/>
    <w:link w:val="Char"/>
    <w:qFormat/>
    <w:rsid w:val="00673713"/>
    <w:pPr>
      <w:tabs>
        <w:tab w:val="center" w:pos="4153"/>
        <w:tab w:val="right" w:pos="8306"/>
      </w:tabs>
      <w:snapToGrid w:val="0"/>
      <w:jc w:val="left"/>
    </w:pPr>
    <w:rPr>
      <w:sz w:val="18"/>
      <w:szCs w:val="18"/>
    </w:rPr>
  </w:style>
  <w:style w:type="character" w:customStyle="1" w:styleId="Char">
    <w:name w:val="页脚 Char"/>
    <w:basedOn w:val="a0"/>
    <w:link w:val="a3"/>
    <w:rsid w:val="00673713"/>
    <w:rPr>
      <w:rFonts w:ascii="Times New Roman" w:eastAsia="宋体" w:hAnsi="Times New Roman" w:cs="Times New Roman"/>
      <w:sz w:val="18"/>
      <w:szCs w:val="18"/>
    </w:rPr>
  </w:style>
  <w:style w:type="character" w:styleId="a4">
    <w:name w:val="page number"/>
    <w:basedOn w:val="a0"/>
    <w:qFormat/>
    <w:rsid w:val="0067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2022-07-26T03:40:00Z</dcterms:created>
  <dcterms:modified xsi:type="dcterms:W3CDTF">2022-07-26T03:40:00Z</dcterms:modified>
</cp:coreProperties>
</file>