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rPr>
          <w:rFonts w:eastAsia="黑体"/>
          <w:sz w:val="28"/>
          <w:szCs w:val="28"/>
        </w:rPr>
      </w:pPr>
      <w:r>
        <w:rPr>
          <w:rFonts w:eastAsia="黑体"/>
          <w:color w:val="000000"/>
          <w:kern w:val="0"/>
          <w:sz w:val="32"/>
          <w:szCs w:val="32"/>
        </w:rPr>
        <w:t>附</w:t>
      </w:r>
      <w:r>
        <w:rPr>
          <w:rFonts w:hint="eastAsia" w:eastAsia="黑体"/>
          <w:color w:val="000000"/>
          <w:kern w:val="0"/>
          <w:sz w:val="32"/>
          <w:szCs w:val="32"/>
        </w:rPr>
        <w:t>件1</w:t>
      </w:r>
    </w:p>
    <w:p>
      <w:pPr>
        <w:spacing w:line="660" w:lineRule="exact"/>
        <w:ind w:left="360" w:hanging="360"/>
        <w:jc w:val="center"/>
        <w:outlineLvl w:val="0"/>
        <w:rPr>
          <w:rFonts w:eastAsia="方正小标宋简体"/>
          <w:sz w:val="44"/>
          <w:szCs w:val="44"/>
        </w:rPr>
      </w:pPr>
    </w:p>
    <w:p>
      <w:pPr>
        <w:spacing w:line="660" w:lineRule="exact"/>
        <w:ind w:left="360" w:hanging="360"/>
        <w:jc w:val="center"/>
        <w:outlineLvl w:val="0"/>
        <w:rPr>
          <w:rFonts w:eastAsia="方正小标宋简体"/>
          <w:sz w:val="44"/>
          <w:szCs w:val="44"/>
        </w:rPr>
      </w:pPr>
      <w:r>
        <w:rPr>
          <w:rFonts w:eastAsia="方正小标宋简体"/>
          <w:sz w:val="44"/>
          <w:szCs w:val="44"/>
        </w:rPr>
        <w:t>“中医处方一件事”改革业务流程</w:t>
      </w:r>
    </w:p>
    <w:p>
      <w:pPr>
        <w:spacing w:line="660" w:lineRule="exact"/>
        <w:ind w:left="360" w:hanging="360"/>
        <w:jc w:val="center"/>
        <w:rPr>
          <w:rFonts w:eastAsia="方正小标宋简体"/>
          <w:sz w:val="18"/>
          <w:szCs w:val="18"/>
        </w:rPr>
      </w:pPr>
    </w:p>
    <w:p>
      <w:pPr>
        <w:pStyle w:val="8"/>
        <w:spacing w:line="660" w:lineRule="exact"/>
        <w:ind w:firstLine="640"/>
        <w:outlineLvl w:val="0"/>
        <w:rPr>
          <w:rFonts w:eastAsia="黑体"/>
          <w:sz w:val="32"/>
          <w:szCs w:val="32"/>
        </w:rPr>
      </w:pPr>
      <w:r>
        <w:rPr>
          <w:rFonts w:eastAsia="黑体"/>
          <w:sz w:val="32"/>
          <w:szCs w:val="32"/>
        </w:rPr>
        <w:t>一、建立处方标准体系</w:t>
      </w:r>
    </w:p>
    <w:p>
      <w:pPr>
        <w:pStyle w:val="8"/>
        <w:spacing w:line="660" w:lineRule="exact"/>
        <w:ind w:firstLine="640"/>
        <w:outlineLvl w:val="1"/>
        <w:rPr>
          <w:rFonts w:eastAsia="楷体_GB2312"/>
          <w:sz w:val="32"/>
          <w:szCs w:val="32"/>
        </w:rPr>
      </w:pPr>
      <w:r>
        <w:rPr>
          <w:rFonts w:eastAsia="楷体_GB2312"/>
          <w:sz w:val="32"/>
          <w:szCs w:val="32"/>
        </w:rPr>
        <w:t>（一）处方标准化。</w:t>
      </w:r>
      <w:r>
        <w:rPr>
          <w:rFonts w:eastAsia="仿宋_GB2312"/>
          <w:sz w:val="32"/>
          <w:szCs w:val="32"/>
        </w:rPr>
        <w:t>处方标准化是指中医术语体系及其分类与代码（包括疾病名、证候、治法）标准化。应按照国家卫生健康委员会《中医病证分类与代码》和《中医临床诊疗术语》更新内容，其中中医病证分类与代码具体参照国家标准GB/T15657-2021，由省卫生健康委制定标准化处方格式和内容，建立我省中医标准处方。</w:t>
      </w:r>
      <w:r>
        <w:rPr>
          <w:rFonts w:eastAsia="楷体_GB2312"/>
          <w:sz w:val="32"/>
          <w:szCs w:val="32"/>
        </w:rPr>
        <w:t>（责任单位：省卫生健康委</w:t>
      </w:r>
      <w:r>
        <w:rPr>
          <w:rFonts w:eastAsia="仿宋_GB2312"/>
          <w:sz w:val="32"/>
          <w:szCs w:val="32"/>
        </w:rPr>
        <w:t>〔</w:t>
      </w:r>
      <w:r>
        <w:rPr>
          <w:rFonts w:eastAsia="楷体_GB2312"/>
          <w:sz w:val="32"/>
          <w:szCs w:val="32"/>
        </w:rPr>
        <w:t>省中医药管理局</w:t>
      </w:r>
      <w:r>
        <w:rPr>
          <w:rFonts w:eastAsia="仿宋_GB2312"/>
          <w:sz w:val="32"/>
          <w:szCs w:val="32"/>
        </w:rPr>
        <w:t>〕</w:t>
      </w:r>
      <w:r>
        <w:rPr>
          <w:rFonts w:eastAsia="楷体_GB2312"/>
          <w:sz w:val="32"/>
          <w:szCs w:val="32"/>
        </w:rPr>
        <w:t>；完成时限：2022年6月）</w:t>
      </w:r>
    </w:p>
    <w:p>
      <w:pPr>
        <w:pStyle w:val="8"/>
        <w:spacing w:line="660" w:lineRule="exact"/>
        <w:ind w:firstLine="640"/>
        <w:outlineLvl w:val="1"/>
        <w:rPr>
          <w:rFonts w:eastAsia="楷体_GB2312"/>
          <w:sz w:val="32"/>
          <w:szCs w:val="32"/>
        </w:rPr>
      </w:pPr>
      <w:r>
        <w:rPr>
          <w:rFonts w:eastAsia="楷体_GB2312"/>
          <w:sz w:val="32"/>
          <w:szCs w:val="32"/>
        </w:rPr>
        <w:t>（二）病历标准化。</w:t>
      </w:r>
      <w:r>
        <w:rPr>
          <w:rFonts w:eastAsia="仿宋_GB2312"/>
          <w:sz w:val="32"/>
          <w:szCs w:val="32"/>
        </w:rPr>
        <w:t>按照省卫生健康委制定的标准化门诊病历格式和内容，建立我省中医门诊标准病历。标准化病历中需增加中医四诊、检查检验等信息模块，并做结构化处理，依据标准化病历的要求分别设必填项和非必填项，保证四诊信息全面的同时兼顾医生的诊疗效率。</w:t>
      </w:r>
      <w:r>
        <w:rPr>
          <w:rFonts w:eastAsia="楷体_GB2312"/>
          <w:sz w:val="32"/>
          <w:szCs w:val="32"/>
        </w:rPr>
        <w:t>（责任单位：省卫生健康委</w:t>
      </w:r>
      <w:r>
        <w:rPr>
          <w:rFonts w:eastAsia="仿宋_GB2312"/>
          <w:sz w:val="32"/>
          <w:szCs w:val="32"/>
        </w:rPr>
        <w:t>〔</w:t>
      </w:r>
      <w:r>
        <w:rPr>
          <w:rFonts w:eastAsia="楷体_GB2312"/>
          <w:sz w:val="32"/>
          <w:szCs w:val="32"/>
        </w:rPr>
        <w:t>省中医药管理局</w:t>
      </w:r>
      <w:r>
        <w:rPr>
          <w:rFonts w:eastAsia="仿宋_GB2312"/>
          <w:sz w:val="32"/>
          <w:szCs w:val="32"/>
        </w:rPr>
        <w:t>〕</w:t>
      </w:r>
      <w:r>
        <w:rPr>
          <w:rFonts w:eastAsia="楷体_GB2312"/>
          <w:sz w:val="32"/>
          <w:szCs w:val="32"/>
        </w:rPr>
        <w:t>；完成时限：2022年6月）</w:t>
      </w:r>
    </w:p>
    <w:p>
      <w:pPr>
        <w:pStyle w:val="8"/>
        <w:spacing w:line="660" w:lineRule="exact"/>
        <w:ind w:firstLine="640"/>
        <w:outlineLvl w:val="1"/>
        <w:rPr>
          <w:rFonts w:eastAsia="楷体"/>
          <w:sz w:val="32"/>
          <w:szCs w:val="32"/>
        </w:rPr>
      </w:pPr>
      <w:r>
        <w:rPr>
          <w:rFonts w:eastAsia="楷体_GB2312"/>
          <w:sz w:val="32"/>
          <w:szCs w:val="32"/>
        </w:rPr>
        <w:t>（三）中药编码标准化。</w:t>
      </w:r>
      <w:r>
        <w:rPr>
          <w:rFonts w:eastAsia="仿宋_GB2312"/>
          <w:sz w:val="32"/>
          <w:szCs w:val="32"/>
        </w:rPr>
        <w:t>采用国家标准GB/T 31774-2015《中药编码规则及编码》和国家医保局十五套贯标要求，制定全省统一的中药数字编码规则，做到中药饮片、配方颗粒和制剂一物一名一码，形成中药数字编码目录。各医疗机构应完善中药数字信息，建立“对标国家、编制科学、一码集成”的中药身份证。并向前后端延伸，覆盖中药饮片种植、生产、流通、使用等环节。</w:t>
      </w:r>
      <w:r>
        <w:rPr>
          <w:rFonts w:eastAsia="楷体_GB2312"/>
          <w:sz w:val="32"/>
          <w:szCs w:val="32"/>
        </w:rPr>
        <w:t>（责任单位：省卫生健康委〔省中医药管理局〕、省药监局；完成时限：2022年12月）</w:t>
      </w:r>
    </w:p>
    <w:p>
      <w:pPr>
        <w:pStyle w:val="8"/>
        <w:spacing w:line="660" w:lineRule="exact"/>
        <w:ind w:firstLine="640"/>
        <w:outlineLvl w:val="1"/>
        <w:rPr>
          <w:rFonts w:eastAsia="楷体_GB2312"/>
          <w:sz w:val="32"/>
          <w:szCs w:val="32"/>
        </w:rPr>
      </w:pPr>
      <w:r>
        <w:rPr>
          <w:rFonts w:eastAsia="楷体_GB2312"/>
          <w:sz w:val="32"/>
          <w:szCs w:val="32"/>
        </w:rPr>
        <w:t>（四）中药饮片等级标准化。</w:t>
      </w:r>
      <w:r>
        <w:rPr>
          <w:rFonts w:eastAsia="仿宋_GB2312"/>
          <w:sz w:val="32"/>
          <w:szCs w:val="32"/>
        </w:rPr>
        <w:t>依据国家药品标准和省中药炮制规范，由省卫生健康委制定医疗机构常用中药饮片商品规格等级标准，形成《浙江省中药饮片规格等级推荐指南》。</w:t>
      </w:r>
      <w:r>
        <w:rPr>
          <w:rFonts w:eastAsia="楷体_GB2312"/>
          <w:sz w:val="32"/>
          <w:szCs w:val="32"/>
        </w:rPr>
        <w:t>（责任单位：省卫生健康委〔省中医药管理局〕、省药监局；完成时限：2022年9月）</w:t>
      </w:r>
    </w:p>
    <w:p>
      <w:pPr>
        <w:pStyle w:val="8"/>
        <w:spacing w:line="660" w:lineRule="exact"/>
        <w:ind w:firstLine="640"/>
        <w:outlineLvl w:val="1"/>
        <w:rPr>
          <w:rFonts w:eastAsia="楷体"/>
          <w:sz w:val="32"/>
          <w:szCs w:val="32"/>
        </w:rPr>
      </w:pPr>
      <w:r>
        <w:rPr>
          <w:rFonts w:eastAsia="楷体_GB2312"/>
          <w:sz w:val="32"/>
          <w:szCs w:val="32"/>
        </w:rPr>
        <w:t>（五）非药物疗法标准化。</w:t>
      </w:r>
      <w:r>
        <w:rPr>
          <w:rFonts w:eastAsia="仿宋_GB2312"/>
          <w:sz w:val="32"/>
          <w:szCs w:val="32"/>
        </w:rPr>
        <w:t>按照省卫生健康委制定的针灸、推拿等非药物疗法标准化处方格式和内容，建立全省中医非药物疗法标准处方。医疗机构在完善中医非药物疗法（针灸）标准化处方内容时，应依据中医非药物疗法数字编码规则对其统一编码，形成中医非药物疗法标准化技术服务体系。</w:t>
      </w:r>
      <w:r>
        <w:rPr>
          <w:rFonts w:eastAsia="楷体_GB2312"/>
          <w:sz w:val="32"/>
          <w:szCs w:val="32"/>
        </w:rPr>
        <w:t>（责任单位：省卫生健康委〔省中医药管理局〕；完成时限：2022年9月）</w:t>
      </w:r>
    </w:p>
    <w:p>
      <w:pPr>
        <w:pStyle w:val="8"/>
        <w:spacing w:line="660" w:lineRule="exact"/>
        <w:ind w:firstLine="640"/>
        <w:outlineLvl w:val="0"/>
        <w:rPr>
          <w:rFonts w:eastAsia="黑体"/>
          <w:sz w:val="32"/>
          <w:szCs w:val="32"/>
        </w:rPr>
      </w:pPr>
      <w:r>
        <w:rPr>
          <w:rFonts w:eastAsia="黑体"/>
          <w:sz w:val="32"/>
          <w:szCs w:val="32"/>
        </w:rPr>
        <w:t>二、建立处方数据体系</w:t>
      </w:r>
    </w:p>
    <w:p>
      <w:pPr>
        <w:pStyle w:val="8"/>
        <w:spacing w:line="660" w:lineRule="exact"/>
        <w:ind w:firstLine="640"/>
        <w:outlineLvl w:val="1"/>
        <w:rPr>
          <w:rFonts w:eastAsia="楷体_GB2312"/>
          <w:sz w:val="32"/>
          <w:szCs w:val="32"/>
        </w:rPr>
      </w:pPr>
      <w:r>
        <w:rPr>
          <w:rFonts w:eastAsia="楷体_GB2312"/>
          <w:sz w:val="32"/>
          <w:szCs w:val="32"/>
        </w:rPr>
        <w:t>（六）制定数据共享标准。</w:t>
      </w:r>
      <w:r>
        <w:rPr>
          <w:rFonts w:eastAsia="仿宋_GB2312"/>
          <w:sz w:val="32"/>
          <w:szCs w:val="32"/>
        </w:rPr>
        <w:t>省卫生健康委负责制定和发布中医门诊病历和中医处方数据传输规范，包括中医门诊病历数据集、中医处方数据集、处方明细数据集，以及数据传输方式和数据元值域标准代码。</w:t>
      </w:r>
      <w:r>
        <w:rPr>
          <w:rFonts w:eastAsia="楷体_GB2312"/>
          <w:sz w:val="32"/>
          <w:szCs w:val="32"/>
        </w:rPr>
        <w:t>（责任单位：省卫生健康委〔省中医药管理局〕；完成时限：2022年9月）</w:t>
      </w:r>
    </w:p>
    <w:p>
      <w:pPr>
        <w:pStyle w:val="8"/>
        <w:spacing w:line="660" w:lineRule="exact"/>
        <w:ind w:firstLine="640"/>
        <w:outlineLvl w:val="1"/>
        <w:rPr>
          <w:rFonts w:eastAsia="楷体_GB2312"/>
          <w:sz w:val="32"/>
          <w:szCs w:val="32"/>
        </w:rPr>
      </w:pPr>
      <w:r>
        <w:rPr>
          <w:rFonts w:eastAsia="楷体_GB2312"/>
          <w:sz w:val="32"/>
          <w:szCs w:val="32"/>
        </w:rPr>
        <w:t>（七）升级医疗机构应用系统。</w:t>
      </w:r>
      <w:r>
        <w:rPr>
          <w:rFonts w:eastAsia="仿宋_GB2312"/>
          <w:sz w:val="32"/>
          <w:szCs w:val="32"/>
        </w:rPr>
        <w:t>各级卫生健康行政部门遴选优势试点医疗机构依据中医数据共享标准进行院内信息系统改造，建立界面清晰、内容规范、数据标化的医生端应用系统。试点完成后向区域内医疗机构推广延伸，实现区域内各级医疗机构中医门诊病历和处方规范化、标准化，打造全省联用、数据互通、国内领先的中医处方体系。</w:t>
      </w:r>
      <w:r>
        <w:rPr>
          <w:rFonts w:eastAsia="楷体_GB2312"/>
          <w:sz w:val="32"/>
          <w:szCs w:val="32"/>
        </w:rPr>
        <w:t>（责任单位：省卫生健康委〔省中医药管理局〕，各市、县</w:t>
      </w:r>
      <w:r>
        <w:rPr>
          <w:rFonts w:eastAsia="仿宋_GB2312"/>
          <w:sz w:val="32"/>
          <w:szCs w:val="32"/>
        </w:rPr>
        <w:t>〔</w:t>
      </w:r>
      <w:r>
        <w:rPr>
          <w:rFonts w:eastAsia="楷体_GB2312"/>
          <w:sz w:val="32"/>
          <w:szCs w:val="32"/>
        </w:rPr>
        <w:t>市、区</w:t>
      </w:r>
      <w:r>
        <w:rPr>
          <w:rFonts w:eastAsia="仿宋_GB2312"/>
          <w:sz w:val="32"/>
          <w:szCs w:val="32"/>
        </w:rPr>
        <w:t>〕</w:t>
      </w:r>
      <w:r>
        <w:rPr>
          <w:rFonts w:eastAsia="楷体_GB2312"/>
          <w:sz w:val="32"/>
          <w:szCs w:val="32"/>
        </w:rPr>
        <w:t>卫生健康委</w:t>
      </w:r>
      <w:r>
        <w:rPr>
          <w:rFonts w:eastAsia="仿宋_GB2312"/>
          <w:sz w:val="32"/>
          <w:szCs w:val="32"/>
        </w:rPr>
        <w:t>〔</w:t>
      </w:r>
      <w:r>
        <w:rPr>
          <w:rFonts w:eastAsia="楷体_GB2312"/>
          <w:sz w:val="32"/>
          <w:szCs w:val="32"/>
        </w:rPr>
        <w:t>局</w:t>
      </w:r>
      <w:r>
        <w:rPr>
          <w:rFonts w:eastAsia="仿宋_GB2312"/>
          <w:sz w:val="32"/>
          <w:szCs w:val="32"/>
        </w:rPr>
        <w:t>〕</w:t>
      </w:r>
      <w:r>
        <w:rPr>
          <w:rFonts w:eastAsia="楷体_GB2312"/>
          <w:sz w:val="32"/>
          <w:szCs w:val="32"/>
        </w:rPr>
        <w:t>；完成时限：2022年12月）</w:t>
      </w:r>
    </w:p>
    <w:p>
      <w:pPr>
        <w:pStyle w:val="8"/>
        <w:spacing w:line="660" w:lineRule="exact"/>
        <w:ind w:firstLine="640"/>
        <w:outlineLvl w:val="1"/>
        <w:rPr>
          <w:rFonts w:eastAsia="楷体_GB2312"/>
          <w:sz w:val="32"/>
          <w:szCs w:val="32"/>
        </w:rPr>
      </w:pPr>
      <w:r>
        <w:rPr>
          <w:rFonts w:eastAsia="楷体_GB2312"/>
          <w:sz w:val="32"/>
          <w:szCs w:val="32"/>
        </w:rPr>
        <w:t>（八）建立处方数据中心。</w:t>
      </w:r>
      <w:r>
        <w:rPr>
          <w:rFonts w:eastAsia="仿宋_GB2312"/>
          <w:sz w:val="32"/>
          <w:szCs w:val="32"/>
        </w:rPr>
        <w:t>卫生健康行政部门建立中医处方数据中心，实现各级医疗机构按照中医门诊病历和中医处方数据传输规范进行数据归集、质控、共享。建立数据质控评分机制，从数据的完整性、准确性、及时性和重复性等维度进行综合评分，并反馈于医疗机构进行问题整改。</w:t>
      </w:r>
      <w:r>
        <w:rPr>
          <w:rFonts w:eastAsia="楷体_GB2312"/>
          <w:sz w:val="32"/>
          <w:szCs w:val="32"/>
        </w:rPr>
        <w:t>（责任单位：省卫生健康委〔省中医药管理局〕，各市、县</w:t>
      </w:r>
      <w:r>
        <w:rPr>
          <w:rFonts w:eastAsia="仿宋_GB2312"/>
          <w:sz w:val="32"/>
          <w:szCs w:val="32"/>
        </w:rPr>
        <w:t>〔</w:t>
      </w:r>
      <w:r>
        <w:rPr>
          <w:rFonts w:eastAsia="楷体_GB2312"/>
          <w:sz w:val="32"/>
          <w:szCs w:val="32"/>
        </w:rPr>
        <w:t>市、区</w:t>
      </w:r>
      <w:r>
        <w:rPr>
          <w:rFonts w:eastAsia="仿宋_GB2312"/>
          <w:sz w:val="32"/>
          <w:szCs w:val="32"/>
        </w:rPr>
        <w:t>〕</w:t>
      </w:r>
      <w:r>
        <w:rPr>
          <w:rFonts w:eastAsia="楷体_GB2312"/>
          <w:sz w:val="32"/>
          <w:szCs w:val="32"/>
        </w:rPr>
        <w:t>卫生健康委</w:t>
      </w:r>
      <w:r>
        <w:rPr>
          <w:rFonts w:eastAsia="仿宋_GB2312"/>
          <w:sz w:val="32"/>
          <w:szCs w:val="32"/>
        </w:rPr>
        <w:t>〔</w:t>
      </w:r>
      <w:r>
        <w:rPr>
          <w:rFonts w:eastAsia="楷体_GB2312"/>
          <w:sz w:val="32"/>
          <w:szCs w:val="32"/>
        </w:rPr>
        <w:t>局</w:t>
      </w:r>
      <w:r>
        <w:rPr>
          <w:rFonts w:eastAsia="仿宋_GB2312"/>
          <w:sz w:val="32"/>
          <w:szCs w:val="32"/>
        </w:rPr>
        <w:t>〕</w:t>
      </w:r>
      <w:r>
        <w:rPr>
          <w:rFonts w:eastAsia="楷体_GB2312"/>
          <w:sz w:val="32"/>
          <w:szCs w:val="32"/>
        </w:rPr>
        <w:t>；完成时限：2022年12月）</w:t>
      </w:r>
    </w:p>
    <w:p>
      <w:pPr>
        <w:pStyle w:val="8"/>
        <w:spacing w:line="660" w:lineRule="exact"/>
        <w:ind w:firstLine="640"/>
        <w:outlineLvl w:val="0"/>
        <w:rPr>
          <w:rFonts w:eastAsia="黑体"/>
          <w:sz w:val="32"/>
          <w:szCs w:val="32"/>
        </w:rPr>
      </w:pPr>
      <w:r>
        <w:rPr>
          <w:rFonts w:eastAsia="黑体"/>
          <w:sz w:val="32"/>
          <w:szCs w:val="32"/>
        </w:rPr>
        <w:t>三、建立处方应用体系</w:t>
      </w:r>
    </w:p>
    <w:p>
      <w:pPr>
        <w:pStyle w:val="8"/>
        <w:spacing w:line="660" w:lineRule="exact"/>
        <w:ind w:firstLine="640"/>
        <w:outlineLvl w:val="1"/>
        <w:rPr>
          <w:rFonts w:eastAsia="楷体_GB2312"/>
          <w:sz w:val="32"/>
          <w:szCs w:val="32"/>
        </w:rPr>
      </w:pPr>
      <w:r>
        <w:rPr>
          <w:rFonts w:eastAsia="楷体_GB2312"/>
          <w:sz w:val="32"/>
          <w:szCs w:val="32"/>
        </w:rPr>
        <w:t>（九）搭建云处方服务平台。</w:t>
      </w:r>
      <w:r>
        <w:rPr>
          <w:rFonts w:eastAsia="仿宋_GB2312"/>
          <w:sz w:val="32"/>
          <w:szCs w:val="32"/>
        </w:rPr>
        <w:t>卫生健康行政部门建设中医云处方健康服务平台，方便患者便捷在线查询、在线复诊、放心用药，实现医生在线处方调阅、随访、评估与长周期健康管理，逐步建立中医云处方、线下处方、首诊处方、复诊处方、随访处方相互衔接、数据联通、服务共享的处方智能化服务体系。</w:t>
      </w:r>
      <w:r>
        <w:rPr>
          <w:rFonts w:eastAsia="楷体_GB2312"/>
          <w:sz w:val="32"/>
          <w:szCs w:val="32"/>
        </w:rPr>
        <w:t>（责任单位：省卫生健康委〔省中医药管理局〕；完成时限：2023年6月）</w:t>
      </w:r>
    </w:p>
    <w:p>
      <w:pPr>
        <w:pStyle w:val="8"/>
        <w:spacing w:line="660" w:lineRule="exact"/>
        <w:ind w:firstLine="640"/>
        <w:outlineLvl w:val="1"/>
        <w:rPr>
          <w:rFonts w:eastAsia="楷体_GB2312"/>
          <w:sz w:val="32"/>
          <w:szCs w:val="32"/>
        </w:rPr>
      </w:pPr>
      <w:r>
        <w:rPr>
          <w:rFonts w:eastAsia="楷体_GB2312"/>
          <w:sz w:val="32"/>
          <w:szCs w:val="32"/>
        </w:rPr>
        <w:t>（十）实现处方在线调用（医生端）。</w:t>
      </w:r>
      <w:r>
        <w:rPr>
          <w:rFonts w:eastAsia="仿宋_GB2312"/>
          <w:sz w:val="32"/>
          <w:szCs w:val="32"/>
        </w:rPr>
        <w:t>依托中医云处方健康服务平台，将中医云处方健康服务平台与医疗机构信息系统联通，医生在诊疗过程中可通过云处方平台调阅患者往期就诊处方和病历，更为全面了解患者的既往病史、用药信息、病情变化等。</w:t>
      </w:r>
      <w:r>
        <w:rPr>
          <w:rFonts w:eastAsia="楷体_GB2312"/>
          <w:sz w:val="32"/>
          <w:szCs w:val="32"/>
        </w:rPr>
        <w:t>（责任单位：省卫生健康委〔省中医药管理局〕；完成时限：2023年12月）</w:t>
      </w:r>
    </w:p>
    <w:p>
      <w:pPr>
        <w:pStyle w:val="8"/>
        <w:spacing w:line="660" w:lineRule="exact"/>
        <w:ind w:firstLine="640"/>
        <w:outlineLvl w:val="1"/>
        <w:rPr>
          <w:rFonts w:eastAsia="楷体"/>
          <w:sz w:val="32"/>
          <w:szCs w:val="32"/>
        </w:rPr>
      </w:pPr>
      <w:r>
        <w:rPr>
          <w:rFonts w:eastAsia="楷体_GB2312"/>
          <w:sz w:val="32"/>
          <w:szCs w:val="32"/>
        </w:rPr>
        <w:t>（十一）满足处方在线查询（患者端）。</w:t>
      </w:r>
      <w:r>
        <w:rPr>
          <w:rFonts w:eastAsia="仿宋_GB2312"/>
          <w:sz w:val="32"/>
          <w:szCs w:val="32"/>
        </w:rPr>
        <w:t>在云处方平台开发患者端口，使患者就诊后可在中医云处方患者端通过扫描处方二维码或输入医保账号或身份证号码等方式，随时查询患者历次就诊处方与病历，知晓自身往期患病信息、用药情况等，根据医生建议进行长周期健康管理。将云处方平台与“浙里药店”平台对接，患者通过云处方平台可调取处方信息，就近在零售药店调配药品。</w:t>
      </w:r>
      <w:r>
        <w:rPr>
          <w:rFonts w:eastAsia="楷体_GB2312"/>
          <w:sz w:val="32"/>
          <w:szCs w:val="32"/>
        </w:rPr>
        <w:t>（责任单位：省卫生健康委〔省中医药管理局〕；省药监局；完成时限：2023年6月）</w:t>
      </w:r>
    </w:p>
    <w:p>
      <w:pPr>
        <w:pStyle w:val="8"/>
        <w:spacing w:line="660" w:lineRule="exact"/>
        <w:ind w:firstLine="640"/>
        <w:outlineLvl w:val="1"/>
        <w:rPr>
          <w:rFonts w:eastAsia="楷体_GB2312"/>
          <w:sz w:val="32"/>
          <w:szCs w:val="32"/>
        </w:rPr>
      </w:pPr>
      <w:r>
        <w:rPr>
          <w:rFonts w:eastAsia="楷体_GB2312"/>
          <w:sz w:val="32"/>
          <w:szCs w:val="32"/>
        </w:rPr>
        <w:t>（十二）探索处方线上支付。</w:t>
      </w:r>
      <w:r>
        <w:rPr>
          <w:rFonts w:eastAsia="仿宋_GB2312"/>
          <w:sz w:val="32"/>
          <w:szCs w:val="32"/>
        </w:rPr>
        <w:t>各级卫生健康行政部门会同医保部门制定支持中医处方一件事改革的政策举措，将云处方服务纳入医保支付范围。探索部分疾病云处方付费，开发线上无卡结算接口，依托医保电子凭证，开展医保电子凭证移动支付服务，探索实现中医在线复诊、线上配药、远程慢病管理等中医药线上服务。</w:t>
      </w:r>
      <w:r>
        <w:rPr>
          <w:rFonts w:eastAsia="楷体_GB2312"/>
          <w:sz w:val="32"/>
          <w:szCs w:val="32"/>
        </w:rPr>
        <w:t>（责任单位：省卫生健康委〔省中医药管理局〕，省医保局，各市、县</w:t>
      </w:r>
      <w:r>
        <w:rPr>
          <w:rFonts w:eastAsia="仿宋_GB2312"/>
          <w:sz w:val="32"/>
          <w:szCs w:val="32"/>
        </w:rPr>
        <w:t>〔</w:t>
      </w:r>
      <w:r>
        <w:rPr>
          <w:rFonts w:eastAsia="楷体_GB2312"/>
          <w:sz w:val="32"/>
          <w:szCs w:val="32"/>
        </w:rPr>
        <w:t>市、区</w:t>
      </w:r>
      <w:r>
        <w:rPr>
          <w:rFonts w:eastAsia="仿宋_GB2312"/>
          <w:sz w:val="32"/>
          <w:szCs w:val="32"/>
        </w:rPr>
        <w:t>〕</w:t>
      </w:r>
      <w:r>
        <w:rPr>
          <w:rFonts w:eastAsia="楷体_GB2312"/>
          <w:sz w:val="32"/>
          <w:szCs w:val="32"/>
        </w:rPr>
        <w:t>卫生健康委</w:t>
      </w:r>
      <w:r>
        <w:rPr>
          <w:rFonts w:eastAsia="仿宋_GB2312"/>
          <w:sz w:val="32"/>
          <w:szCs w:val="32"/>
        </w:rPr>
        <w:t>〔</w:t>
      </w:r>
      <w:r>
        <w:rPr>
          <w:rFonts w:eastAsia="楷体_GB2312"/>
          <w:sz w:val="32"/>
          <w:szCs w:val="32"/>
        </w:rPr>
        <w:t>局</w:t>
      </w:r>
      <w:r>
        <w:rPr>
          <w:rFonts w:eastAsia="仿宋_GB2312"/>
          <w:sz w:val="32"/>
          <w:szCs w:val="32"/>
        </w:rPr>
        <w:t>〕</w:t>
      </w:r>
      <w:r>
        <w:rPr>
          <w:rFonts w:eastAsia="楷体_GB2312"/>
          <w:sz w:val="32"/>
          <w:szCs w:val="32"/>
        </w:rPr>
        <w:t>、医保局；完成时限：2023年12月）</w:t>
      </w:r>
    </w:p>
    <w:p>
      <w:pPr>
        <w:pStyle w:val="8"/>
        <w:spacing w:line="660" w:lineRule="exact"/>
        <w:ind w:firstLine="640"/>
        <w:outlineLvl w:val="1"/>
        <w:rPr>
          <w:rFonts w:eastAsia="楷体_GB2312"/>
          <w:sz w:val="32"/>
          <w:szCs w:val="32"/>
        </w:rPr>
      </w:pPr>
      <w:r>
        <w:rPr>
          <w:rFonts w:eastAsia="楷体_GB2312"/>
          <w:sz w:val="32"/>
          <w:szCs w:val="32"/>
        </w:rPr>
        <w:t>（十三）多跨场景应用建设。</w:t>
      </w:r>
      <w:r>
        <w:rPr>
          <w:rFonts w:eastAsia="仿宋_GB2312"/>
          <w:sz w:val="32"/>
          <w:szCs w:val="32"/>
        </w:rPr>
        <w:t>以提升我省中医药治理能力、服务水平等为目标，按照“一地创新、全省推广”的要求，试点推广全省30个应用子场景，重点启动中医药数字化综合监管、中医云处方、中医人工智能、中医药科研、共享药房、中药质量追溯、知识产权保护、国民学国医、中药资源汇聚、治未病与健康管理、名老中医经验传承、数字医共体等特色应用场景项目，实现多地协同、多方集聚、多跨应用，丰富“健康大脑＋浙里中医”的脉络体系和服务内涵。</w:t>
      </w:r>
      <w:r>
        <w:rPr>
          <w:rFonts w:eastAsia="楷体_GB2312"/>
          <w:sz w:val="32"/>
          <w:szCs w:val="32"/>
        </w:rPr>
        <w:t>（责任单位：省卫生健康委〔省中医药管理局〕，各市、县</w:t>
      </w:r>
      <w:r>
        <w:rPr>
          <w:rFonts w:eastAsia="仿宋_GB2312"/>
          <w:sz w:val="32"/>
          <w:szCs w:val="32"/>
        </w:rPr>
        <w:t>〔</w:t>
      </w:r>
      <w:r>
        <w:rPr>
          <w:rFonts w:eastAsia="楷体_GB2312"/>
          <w:sz w:val="32"/>
          <w:szCs w:val="32"/>
        </w:rPr>
        <w:t>市、区</w:t>
      </w:r>
      <w:r>
        <w:rPr>
          <w:rFonts w:eastAsia="仿宋_GB2312"/>
          <w:sz w:val="32"/>
          <w:szCs w:val="32"/>
        </w:rPr>
        <w:t>〕</w:t>
      </w:r>
      <w:r>
        <w:rPr>
          <w:rFonts w:eastAsia="楷体_GB2312"/>
          <w:sz w:val="32"/>
          <w:szCs w:val="32"/>
        </w:rPr>
        <w:t>卫生健康委</w:t>
      </w:r>
      <w:r>
        <w:rPr>
          <w:rFonts w:eastAsia="仿宋_GB2312"/>
          <w:sz w:val="32"/>
          <w:szCs w:val="32"/>
        </w:rPr>
        <w:t>〔</w:t>
      </w:r>
      <w:r>
        <w:rPr>
          <w:rFonts w:eastAsia="楷体_GB2312"/>
          <w:sz w:val="32"/>
          <w:szCs w:val="32"/>
        </w:rPr>
        <w:t>局</w:t>
      </w:r>
      <w:r>
        <w:rPr>
          <w:rFonts w:eastAsia="仿宋_GB2312"/>
          <w:sz w:val="32"/>
          <w:szCs w:val="32"/>
        </w:rPr>
        <w:t>〕</w:t>
      </w:r>
      <w:r>
        <w:rPr>
          <w:rFonts w:eastAsia="楷体_GB2312"/>
          <w:sz w:val="32"/>
          <w:szCs w:val="32"/>
        </w:rPr>
        <w:t>；完成时限：2023年12月）</w:t>
      </w:r>
    </w:p>
    <w:p>
      <w:pPr>
        <w:pStyle w:val="8"/>
        <w:spacing w:line="660" w:lineRule="exact"/>
        <w:ind w:firstLine="640"/>
        <w:outlineLvl w:val="0"/>
        <w:rPr>
          <w:rFonts w:eastAsia="黑体"/>
          <w:sz w:val="32"/>
          <w:szCs w:val="32"/>
        </w:rPr>
      </w:pPr>
      <w:r>
        <w:rPr>
          <w:rFonts w:eastAsia="黑体"/>
          <w:sz w:val="32"/>
          <w:szCs w:val="32"/>
        </w:rPr>
        <w:t>四、建立处方监管体系</w:t>
      </w:r>
      <w:r>
        <w:rPr>
          <w:rFonts w:eastAsia="楷体"/>
          <w:sz w:val="32"/>
          <w:szCs w:val="32"/>
        </w:rPr>
        <w:t xml:space="preserve"> </w:t>
      </w:r>
    </w:p>
    <w:p>
      <w:pPr>
        <w:pStyle w:val="8"/>
        <w:spacing w:line="660" w:lineRule="exact"/>
        <w:ind w:firstLine="640"/>
        <w:outlineLvl w:val="1"/>
        <w:rPr>
          <w:rFonts w:eastAsia="楷体_GB2312"/>
          <w:sz w:val="32"/>
          <w:szCs w:val="32"/>
        </w:rPr>
      </w:pPr>
      <w:r>
        <w:rPr>
          <w:rFonts w:eastAsia="楷体_GB2312"/>
          <w:sz w:val="32"/>
          <w:szCs w:val="32"/>
        </w:rPr>
        <w:t>（十四）构建数字化监管指标体系。</w:t>
      </w:r>
      <w:r>
        <w:rPr>
          <w:rFonts w:eastAsia="仿宋_GB2312"/>
          <w:sz w:val="32"/>
          <w:szCs w:val="32"/>
        </w:rPr>
        <w:t>深入开发利用标准化中医处方数据，结合现有已报送的全国卫生资源与医疗服务统计数据、中医医院信息监测指标、公立中医医院绩效考核指标、疾病诊断相关分类（DRGs）数据等系统的各项指标，以及中医科教人才系统，形成全覆盖的实时监测指标体系。</w:t>
      </w:r>
      <w:r>
        <w:rPr>
          <w:rFonts w:eastAsia="楷体_GB2312"/>
          <w:sz w:val="32"/>
          <w:szCs w:val="32"/>
        </w:rPr>
        <w:t>（责任单位：省卫生健康委</w:t>
      </w:r>
      <w:r>
        <w:rPr>
          <w:rFonts w:eastAsia="仿宋_GB2312"/>
          <w:sz w:val="32"/>
          <w:szCs w:val="32"/>
        </w:rPr>
        <w:t>〔</w:t>
      </w:r>
      <w:r>
        <w:rPr>
          <w:rFonts w:eastAsia="楷体_GB2312"/>
          <w:sz w:val="32"/>
          <w:szCs w:val="32"/>
        </w:rPr>
        <w:t>省中医药管理局</w:t>
      </w:r>
      <w:r>
        <w:rPr>
          <w:rFonts w:eastAsia="仿宋_GB2312"/>
          <w:sz w:val="32"/>
          <w:szCs w:val="32"/>
        </w:rPr>
        <w:t>〕</w:t>
      </w:r>
      <w:r>
        <w:rPr>
          <w:rFonts w:eastAsia="楷体_GB2312"/>
          <w:sz w:val="32"/>
          <w:szCs w:val="32"/>
        </w:rPr>
        <w:t>，各市、县</w:t>
      </w:r>
      <w:r>
        <w:rPr>
          <w:rFonts w:eastAsia="仿宋_GB2312"/>
          <w:sz w:val="32"/>
          <w:szCs w:val="32"/>
        </w:rPr>
        <w:t>〔</w:t>
      </w:r>
      <w:r>
        <w:rPr>
          <w:rFonts w:eastAsia="楷体_GB2312"/>
          <w:sz w:val="32"/>
          <w:szCs w:val="32"/>
        </w:rPr>
        <w:t>市、区</w:t>
      </w:r>
      <w:r>
        <w:rPr>
          <w:rFonts w:eastAsia="仿宋_GB2312"/>
          <w:sz w:val="32"/>
          <w:szCs w:val="32"/>
        </w:rPr>
        <w:t>〕</w:t>
      </w:r>
      <w:r>
        <w:rPr>
          <w:rFonts w:eastAsia="楷体_GB2312"/>
          <w:sz w:val="32"/>
          <w:szCs w:val="32"/>
        </w:rPr>
        <w:t>卫生健康委</w:t>
      </w:r>
      <w:r>
        <w:rPr>
          <w:rFonts w:eastAsia="仿宋_GB2312"/>
          <w:sz w:val="32"/>
          <w:szCs w:val="32"/>
        </w:rPr>
        <w:t>〔</w:t>
      </w:r>
      <w:r>
        <w:rPr>
          <w:rFonts w:eastAsia="楷体_GB2312"/>
          <w:sz w:val="32"/>
          <w:szCs w:val="32"/>
        </w:rPr>
        <w:t>局</w:t>
      </w:r>
      <w:r>
        <w:rPr>
          <w:rFonts w:eastAsia="仿宋_GB2312"/>
          <w:sz w:val="32"/>
          <w:szCs w:val="32"/>
        </w:rPr>
        <w:t>〕</w:t>
      </w:r>
      <w:r>
        <w:rPr>
          <w:rFonts w:eastAsia="楷体_GB2312"/>
          <w:sz w:val="32"/>
          <w:szCs w:val="32"/>
        </w:rPr>
        <w:t>；完成时限：2023年12月）</w:t>
      </w:r>
    </w:p>
    <w:p>
      <w:pPr>
        <w:pStyle w:val="8"/>
        <w:spacing w:line="660" w:lineRule="exact"/>
        <w:ind w:firstLine="640"/>
        <w:outlineLvl w:val="1"/>
        <w:rPr>
          <w:rFonts w:eastAsia="楷体_GB2312"/>
          <w:sz w:val="32"/>
          <w:szCs w:val="32"/>
        </w:rPr>
      </w:pPr>
      <w:r>
        <w:rPr>
          <w:rFonts w:eastAsia="楷体_GB2312"/>
          <w:sz w:val="32"/>
          <w:szCs w:val="32"/>
        </w:rPr>
        <w:t>（十五）拓展改革应用与评价。</w:t>
      </w:r>
      <w:r>
        <w:rPr>
          <w:rFonts w:eastAsia="仿宋_GB2312"/>
          <w:sz w:val="32"/>
          <w:szCs w:val="32"/>
        </w:rPr>
        <w:t>强化“中医处方一件事”改革在监管领域的应用，开展在线综合监管与绩效评价。围绕医疗机构管理考核、医疗质量、运营效率、绩效水平、可持续发展、服务满意度等方面开展比较分析，并作为人才评定、等级医院评审的重要依据，提升我省中医药服务能力和水平。</w:t>
      </w:r>
      <w:r>
        <w:rPr>
          <w:rFonts w:eastAsia="楷体_GB2312"/>
          <w:sz w:val="32"/>
          <w:szCs w:val="32"/>
        </w:rPr>
        <w:t>（责任单位：省卫生健康委</w:t>
      </w:r>
      <w:r>
        <w:rPr>
          <w:rFonts w:eastAsia="仿宋_GB2312"/>
          <w:sz w:val="32"/>
          <w:szCs w:val="32"/>
        </w:rPr>
        <w:t>〔</w:t>
      </w:r>
      <w:r>
        <w:rPr>
          <w:rFonts w:eastAsia="楷体_GB2312"/>
          <w:sz w:val="32"/>
          <w:szCs w:val="32"/>
        </w:rPr>
        <w:t>省中医药管理局</w:t>
      </w:r>
      <w:r>
        <w:rPr>
          <w:rFonts w:eastAsia="仿宋_GB2312"/>
          <w:sz w:val="32"/>
          <w:szCs w:val="32"/>
        </w:rPr>
        <w:t>〕</w:t>
      </w:r>
      <w:r>
        <w:rPr>
          <w:rFonts w:eastAsia="楷体_GB2312"/>
          <w:sz w:val="32"/>
          <w:szCs w:val="32"/>
        </w:rPr>
        <w:t>，各市、县</w:t>
      </w:r>
      <w:r>
        <w:rPr>
          <w:rFonts w:eastAsia="仿宋_GB2312"/>
          <w:sz w:val="32"/>
          <w:szCs w:val="32"/>
        </w:rPr>
        <w:t>〔</w:t>
      </w:r>
      <w:r>
        <w:rPr>
          <w:rFonts w:eastAsia="楷体_GB2312"/>
          <w:sz w:val="32"/>
          <w:szCs w:val="32"/>
        </w:rPr>
        <w:t>市、区</w:t>
      </w:r>
      <w:r>
        <w:rPr>
          <w:rFonts w:eastAsia="仿宋_GB2312"/>
          <w:sz w:val="32"/>
          <w:szCs w:val="32"/>
        </w:rPr>
        <w:t>〕</w:t>
      </w:r>
      <w:r>
        <w:rPr>
          <w:rFonts w:eastAsia="楷体_GB2312"/>
          <w:sz w:val="32"/>
          <w:szCs w:val="32"/>
        </w:rPr>
        <w:t>卫生健康委</w:t>
      </w:r>
      <w:r>
        <w:rPr>
          <w:rFonts w:eastAsia="仿宋_GB2312"/>
          <w:sz w:val="32"/>
          <w:szCs w:val="32"/>
        </w:rPr>
        <w:t>〔</w:t>
      </w:r>
      <w:r>
        <w:rPr>
          <w:rFonts w:eastAsia="楷体_GB2312"/>
          <w:sz w:val="32"/>
          <w:szCs w:val="32"/>
        </w:rPr>
        <w:t>局</w:t>
      </w:r>
      <w:r>
        <w:rPr>
          <w:rFonts w:eastAsia="仿宋_GB2312"/>
          <w:sz w:val="32"/>
          <w:szCs w:val="32"/>
        </w:rPr>
        <w:t>〕</w:t>
      </w:r>
      <w:r>
        <w:rPr>
          <w:rFonts w:eastAsia="楷体_GB2312"/>
          <w:sz w:val="32"/>
          <w:szCs w:val="32"/>
        </w:rPr>
        <w:t>；完成时限：2023年12月）</w:t>
      </w:r>
    </w:p>
    <w:p>
      <w:pPr>
        <w:spacing w:line="660" w:lineRule="exact"/>
        <w:rPr>
          <w:rFonts w:eastAsia="楷体_GB2312"/>
          <w:sz w:val="32"/>
          <w:szCs w:val="32"/>
        </w:rPr>
      </w:pPr>
    </w:p>
    <w:p>
      <w:pPr>
        <w:pStyle w:val="2"/>
        <w:spacing w:line="660" w:lineRule="exact"/>
        <w:ind w:firstLine="640" w:firstLineChars="200"/>
        <w:rPr>
          <w:rFonts w:ascii="Times New Roman" w:hAnsi="Times New Roman" w:eastAsia="仿宋_GB2312" w:cs="Times New Roman"/>
          <w:sz w:val="32"/>
          <w:szCs w:val="32"/>
        </w:rPr>
        <w:sectPr>
          <w:headerReference r:id="rId3" w:type="default"/>
          <w:footerReference r:id="rId4" w:type="default"/>
          <w:footerReference r:id="rId5" w:type="even"/>
          <w:pgSz w:w="11906" w:h="16838"/>
          <w:pgMar w:top="2098" w:right="1531" w:bottom="1440" w:left="1531" w:header="851" w:footer="992" w:gutter="0"/>
          <w:cols w:space="720" w:num="1"/>
          <w:docGrid w:type="lines" w:linePitch="312" w:charSpace="0"/>
        </w:sectPr>
      </w:pPr>
      <w:r>
        <w:rPr>
          <w:rFonts w:ascii="Times New Roman" w:hAnsi="Times New Roman" w:eastAsia="仿宋_GB2312" w:cs="Times New Roman"/>
          <w:sz w:val="32"/>
          <w:szCs w:val="32"/>
        </w:rPr>
        <w:t>附：“中医处方一件事”改革工作流程图</w:t>
      </w:r>
    </w:p>
    <w:p>
      <w:pPr>
        <w:rPr>
          <w:rFonts w:eastAsia="黑体"/>
          <w:sz w:val="32"/>
          <w:szCs w:val="32"/>
        </w:rPr>
      </w:pPr>
      <w:r>
        <w:rPr>
          <w:rFonts w:eastAsia="黑体"/>
          <w:sz w:val="32"/>
          <w:szCs w:val="32"/>
        </w:rPr>
        <w:t>附</w:t>
      </w:r>
    </w:p>
    <w:p>
      <w:pPr>
        <w:jc w:val="center"/>
        <w:rPr>
          <w:rFonts w:eastAsia="方正小标宋简体"/>
          <w:sz w:val="32"/>
          <w:szCs w:val="32"/>
        </w:rPr>
      </w:pPr>
      <w:r>
        <w:rPr>
          <w:rFonts w:eastAsia="方正小标宋简体"/>
          <w:sz w:val="40"/>
          <w:szCs w:val="40"/>
        </w:rPr>
        <w:t>“中医处方一件事”改革工作流程图</w:t>
      </w:r>
    </w:p>
    <w:p>
      <w:pPr>
        <w:pStyle w:val="2"/>
        <w:rPr>
          <w:rFonts w:ascii="Times New Roman" w:hAnsi="Times New Roman" w:cs="Times New Roman"/>
        </w:rPr>
      </w:pPr>
      <w:r>
        <w:rPr>
          <w:rFonts w:ascii="Times New Roman" w:hAnsi="Times New Roman" w:eastAsia="方正小标宋简体" w:cs="Times New Roman"/>
          <w:bCs/>
          <w:sz w:val="32"/>
          <w:szCs w:val="32"/>
        </w:rPr>
        <mc:AlternateContent>
          <mc:Choice Requires="wpg">
            <w:drawing>
              <wp:anchor distT="0" distB="0" distL="114300" distR="114300" simplePos="0" relativeHeight="251663360" behindDoc="0" locked="0" layoutInCell="1" allowOverlap="1">
                <wp:simplePos x="0" y="0"/>
                <wp:positionH relativeFrom="margin">
                  <wp:posOffset>-64135</wp:posOffset>
                </wp:positionH>
                <wp:positionV relativeFrom="paragraph">
                  <wp:posOffset>111760</wp:posOffset>
                </wp:positionV>
                <wp:extent cx="8966200" cy="4647565"/>
                <wp:effectExtent l="9525" t="9525" r="15875" b="10160"/>
                <wp:wrapNone/>
                <wp:docPr id="47" name="组合 47"/>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8966200" cy="4647565"/>
                          <a:chOff x="-26435" y="0"/>
                          <a:chExt cx="11617330" cy="5826843"/>
                        </a:xfrm>
                        <a:effectLst/>
                      </wpg:grpSpPr>
                      <wps:wsp>
                        <wps:cNvPr id="2" name="流程图: 终止 2"/>
                        <wps:cNvSpPr/>
                        <wps:spPr>
                          <a:xfrm>
                            <a:off x="-26435" y="21261"/>
                            <a:ext cx="1587921" cy="612001"/>
                          </a:xfrm>
                          <a:prstGeom prst="flowChartTerminator">
                            <a:avLst/>
                          </a:prstGeom>
                          <a:solidFill>
                            <a:sysClr val="window" lastClr="FFFFFF"/>
                          </a:solidFill>
                          <a:ln w="1905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工作流程</w:t>
                              </w:r>
                            </w:p>
                          </w:txbxContent>
                        </wps:txbx>
                        <wps:bodyPr rtlCol="0" anchor="ctr" anchorCtr="0"/>
                      </wps:wsp>
                      <wps:wsp>
                        <wps:cNvPr id="3" name="流程图: 终止 3"/>
                        <wps:cNvSpPr/>
                        <wps:spPr>
                          <a:xfrm>
                            <a:off x="3652475" y="35440"/>
                            <a:ext cx="1637414" cy="612000"/>
                          </a:xfrm>
                          <a:prstGeom prst="flowChartTerminator">
                            <a:avLst/>
                          </a:prstGeom>
                          <a:solidFill>
                            <a:sysClr val="window" lastClr="FFFFFF"/>
                          </a:solidFill>
                          <a:ln w="1905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工作标准</w:t>
                              </w:r>
                            </w:p>
                          </w:txbxContent>
                        </wps:txbx>
                        <wps:bodyPr rtlCol="0" anchor="ctr" anchorCtr="0"/>
                      </wps:wsp>
                      <wps:wsp>
                        <wps:cNvPr id="4" name="流程图: 终止 4"/>
                        <wps:cNvSpPr/>
                        <wps:spPr>
                          <a:xfrm>
                            <a:off x="8832733" y="0"/>
                            <a:ext cx="1638000" cy="628152"/>
                          </a:xfrm>
                          <a:prstGeom prst="flowChartTerminator">
                            <a:avLst/>
                          </a:prstGeom>
                          <a:solidFill>
                            <a:sysClr val="window" lastClr="FFFFFF"/>
                          </a:solidFill>
                          <a:ln w="1905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考核内容</w:t>
                              </w:r>
                            </w:p>
                          </w:txbxContent>
                        </wps:txbx>
                        <wps:bodyPr rtlCol="0" anchor="ctr" anchorCtr="0"/>
                      </wps:wsp>
                      <wps:wsp>
                        <wps:cNvPr id="5" name="直接连接符 5"/>
                        <wps:cNvCnPr/>
                        <wps:spPr>
                          <a:xfrm flipH="1">
                            <a:off x="792157" y="629149"/>
                            <a:ext cx="408" cy="432000"/>
                          </a:xfrm>
                          <a:prstGeom prst="line">
                            <a:avLst/>
                          </a:prstGeom>
                          <a:noFill/>
                          <a:ln w="12700" cap="flat" cmpd="sng" algn="ctr">
                            <a:solidFill>
                              <a:sysClr val="windowText" lastClr="000000">
                                <a:lumMod val="85000"/>
                                <a:lumOff val="15000"/>
                              </a:sysClr>
                            </a:solidFill>
                            <a:prstDash val="solid"/>
                            <a:miter lim="800000"/>
                          </a:ln>
                          <a:effectLst/>
                        </wps:spPr>
                        <wps:bodyPr/>
                      </wps:wsp>
                      <wps:wsp>
                        <wps:cNvPr id="6" name="矩形 6"/>
                        <wps:cNvSpPr/>
                        <wps:spPr>
                          <a:xfrm>
                            <a:off x="-2" y="1068317"/>
                            <a:ext cx="1586171" cy="860610"/>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建立处方标准体系</w:t>
                              </w:r>
                            </w:p>
                          </w:txbxContent>
                        </wps:txbx>
                        <wps:bodyPr rtlCol="0" anchor="ctr" anchorCtr="0"/>
                      </wps:wsp>
                      <wps:wsp>
                        <wps:cNvPr id="7" name="矩形 7"/>
                        <wps:cNvSpPr/>
                        <wps:spPr>
                          <a:xfrm>
                            <a:off x="-1" y="2368642"/>
                            <a:ext cx="1586062" cy="860610"/>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建立处方数据体系</w:t>
                              </w:r>
                            </w:p>
                          </w:txbxContent>
                        </wps:txbx>
                        <wps:bodyPr rtlCol="0" anchor="ctr" anchorCtr="0"/>
                      </wps:wsp>
                      <wps:wsp>
                        <wps:cNvPr id="8" name="直接连接符 8"/>
                        <wps:cNvCnPr/>
                        <wps:spPr>
                          <a:xfrm flipH="1">
                            <a:off x="932434" y="1925162"/>
                            <a:ext cx="1" cy="432000"/>
                          </a:xfrm>
                          <a:prstGeom prst="line">
                            <a:avLst/>
                          </a:prstGeom>
                          <a:noFill/>
                          <a:ln w="12700" cap="flat" cmpd="sng" algn="ctr">
                            <a:solidFill>
                              <a:sysClr val="windowText" lastClr="000000">
                                <a:lumMod val="85000"/>
                                <a:lumOff val="15000"/>
                              </a:sysClr>
                            </a:solidFill>
                            <a:prstDash val="solid"/>
                            <a:miter lim="800000"/>
                          </a:ln>
                          <a:effectLst/>
                        </wps:spPr>
                        <wps:bodyPr/>
                      </wps:wsp>
                      <wps:wsp>
                        <wps:cNvPr id="9" name="矩形 9"/>
                        <wps:cNvSpPr/>
                        <wps:spPr>
                          <a:xfrm>
                            <a:off x="-1" y="3650844"/>
                            <a:ext cx="1585913" cy="860610"/>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建立处方应用体系</w:t>
                              </w:r>
                            </w:p>
                          </w:txbxContent>
                        </wps:txbx>
                        <wps:bodyPr rtlCol="0" anchor="ctr" anchorCtr="0"/>
                      </wps:wsp>
                      <wps:wsp>
                        <wps:cNvPr id="10" name="矩形 10"/>
                        <wps:cNvSpPr/>
                        <wps:spPr>
                          <a:xfrm>
                            <a:off x="-3" y="4934857"/>
                            <a:ext cx="1585913" cy="860610"/>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建立处方监管体系</w:t>
                              </w:r>
                            </w:p>
                          </w:txbxContent>
                        </wps:txbx>
                        <wps:bodyPr rtlCol="0" anchor="ctr" anchorCtr="0"/>
                      </wps:wsp>
                      <wps:wsp>
                        <wps:cNvPr id="11" name="直接连接符 11"/>
                        <wps:cNvCnPr/>
                        <wps:spPr>
                          <a:xfrm flipH="1">
                            <a:off x="932434" y="3223549"/>
                            <a:ext cx="1" cy="432000"/>
                          </a:xfrm>
                          <a:prstGeom prst="line">
                            <a:avLst/>
                          </a:prstGeom>
                          <a:noFill/>
                          <a:ln w="12700" cap="flat" cmpd="sng" algn="ctr">
                            <a:solidFill>
                              <a:sysClr val="windowText" lastClr="000000">
                                <a:lumMod val="85000"/>
                                <a:lumOff val="15000"/>
                              </a:sysClr>
                            </a:solidFill>
                            <a:prstDash val="solid"/>
                            <a:miter lim="800000"/>
                          </a:ln>
                          <a:effectLst/>
                        </wps:spPr>
                        <wps:bodyPr/>
                      </wps:wsp>
                      <wps:wsp>
                        <wps:cNvPr id="12" name="直接连接符 12"/>
                        <wps:cNvCnPr/>
                        <wps:spPr>
                          <a:xfrm flipH="1">
                            <a:off x="932434" y="4501410"/>
                            <a:ext cx="1" cy="432000"/>
                          </a:xfrm>
                          <a:prstGeom prst="line">
                            <a:avLst/>
                          </a:prstGeom>
                          <a:noFill/>
                          <a:ln w="12700" cap="flat" cmpd="sng" algn="ctr">
                            <a:solidFill>
                              <a:sysClr val="windowText" lastClr="000000">
                                <a:lumMod val="85000"/>
                                <a:lumOff val="15000"/>
                              </a:sysClr>
                            </a:solidFill>
                            <a:prstDash val="solid"/>
                            <a:miter lim="800000"/>
                          </a:ln>
                          <a:effectLst/>
                        </wps:spPr>
                        <wps:bodyPr/>
                      </wps:wsp>
                      <wps:wsp>
                        <wps:cNvPr id="13" name="直接箭头连接符 13"/>
                        <wps:cNvCnPr/>
                        <wps:spPr>
                          <a:xfrm>
                            <a:off x="1584464" y="1499056"/>
                            <a:ext cx="699668" cy="0"/>
                          </a:xfrm>
                          <a:prstGeom prst="straightConnector1">
                            <a:avLst/>
                          </a:prstGeom>
                          <a:noFill/>
                          <a:ln w="15875" cap="flat" cmpd="sng" algn="ctr">
                            <a:solidFill>
                              <a:sysClr val="windowText" lastClr="000000">
                                <a:lumMod val="85000"/>
                                <a:lumOff val="15000"/>
                              </a:sysClr>
                            </a:solidFill>
                            <a:prstDash val="solid"/>
                            <a:miter lim="800000"/>
                            <a:tailEnd type="triangle"/>
                          </a:ln>
                          <a:effectLst/>
                        </wps:spPr>
                        <wps:bodyPr/>
                      </wps:wsp>
                      <wps:wsp>
                        <wps:cNvPr id="14" name="直接连接符 14"/>
                        <wps:cNvCnPr/>
                        <wps:spPr>
                          <a:xfrm flipH="1">
                            <a:off x="4488797" y="657171"/>
                            <a:ext cx="1" cy="432000"/>
                          </a:xfrm>
                          <a:prstGeom prst="line">
                            <a:avLst/>
                          </a:prstGeom>
                          <a:noFill/>
                          <a:ln w="12700" cap="flat" cmpd="sng" algn="ctr">
                            <a:solidFill>
                              <a:sysClr val="windowText" lastClr="000000">
                                <a:lumMod val="85000"/>
                                <a:lumOff val="15000"/>
                              </a:sysClr>
                            </a:solidFill>
                            <a:prstDash val="solid"/>
                            <a:miter lim="800000"/>
                          </a:ln>
                          <a:effectLst/>
                        </wps:spPr>
                        <wps:bodyPr/>
                      </wps:wsp>
                      <wps:wsp>
                        <wps:cNvPr id="15" name="矩形 15"/>
                        <wps:cNvSpPr/>
                        <wps:spPr>
                          <a:xfrm>
                            <a:off x="2285030" y="1068243"/>
                            <a:ext cx="4571162" cy="1137041"/>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spacing w:line="260" w:lineRule="exact"/>
                                <w:rPr>
                                  <w:rFonts w:hint="eastAsia" w:ascii="楷体" w:hAnsi="楷体" w:eastAsia="楷体"/>
                                  <w:color w:val="252525"/>
                                  <w:sz w:val="22"/>
                                  <w:szCs w:val="22"/>
                                </w:rPr>
                              </w:pPr>
                              <w:r>
                                <w:rPr>
                                  <w:rFonts w:hint="eastAsia" w:ascii="楷体" w:hAnsi="楷体" w:eastAsia="楷体"/>
                                  <w:color w:val="252525"/>
                                  <w:sz w:val="22"/>
                                  <w:szCs w:val="22"/>
                                </w:rPr>
                                <w:t>依据国家和浙江省相关标准要求，制定中医处方、门诊病历、中药编码、非药物疗法编码、饮片等级等标准；形成标准化中医处方、门诊病历，中药数字编码、非药物疗法编码目录和饮片规格等级推荐指南。</w:t>
                              </w:r>
                            </w:p>
                          </w:txbxContent>
                        </wps:txbx>
                        <wps:bodyPr rtlCol="0" anchor="ctr" anchorCtr="0"/>
                      </wps:wsp>
                      <wps:wsp>
                        <wps:cNvPr id="16" name="矩形 16"/>
                        <wps:cNvSpPr/>
                        <wps:spPr>
                          <a:xfrm>
                            <a:off x="2285729" y="2368578"/>
                            <a:ext cx="4571162" cy="871676"/>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spacing w:line="260" w:lineRule="exact"/>
                                <w:rPr>
                                  <w:rFonts w:ascii="楷体" w:hAnsi="楷体" w:eastAsia="楷体"/>
                                  <w:color w:val="252525"/>
                                  <w:sz w:val="22"/>
                                  <w:szCs w:val="22"/>
                                </w:rPr>
                              </w:pPr>
                              <w:r>
                                <w:rPr>
                                  <w:rFonts w:hint="eastAsia" w:ascii="楷体" w:hAnsi="楷体" w:eastAsia="楷体"/>
                                  <w:color w:val="252525"/>
                                  <w:sz w:val="22"/>
                                  <w:szCs w:val="22"/>
                                </w:rPr>
                                <w:t>制定和发布中医门诊病历和中医处方数据传输规范，升级改造医院信息系统，实现区域内联用互通；建立中医处方数据中心，进行数据归集、质控、共享。</w:t>
                              </w:r>
                            </w:p>
                          </w:txbxContent>
                        </wps:txbx>
                        <wps:bodyPr rtlCol="0" anchor="ctr" anchorCtr="0"/>
                      </wps:wsp>
                      <wps:wsp>
                        <wps:cNvPr id="17" name="直接箭头连接符 17"/>
                        <wps:cNvCnPr>
                          <a:stCxn id="7" idx="3"/>
                        </wps:cNvCnPr>
                        <wps:spPr>
                          <a:xfrm>
                            <a:off x="1586062" y="2798890"/>
                            <a:ext cx="699668" cy="0"/>
                          </a:xfrm>
                          <a:prstGeom prst="straightConnector1">
                            <a:avLst/>
                          </a:prstGeom>
                          <a:noFill/>
                          <a:ln w="15875" cap="flat" cmpd="sng" algn="ctr">
                            <a:solidFill>
                              <a:sysClr val="windowText" lastClr="000000">
                                <a:lumMod val="85000"/>
                                <a:lumOff val="15000"/>
                              </a:sysClr>
                            </a:solidFill>
                            <a:prstDash val="solid"/>
                            <a:miter lim="800000"/>
                            <a:tailEnd type="triangle"/>
                          </a:ln>
                          <a:effectLst/>
                        </wps:spPr>
                        <wps:bodyPr/>
                      </wps:wsp>
                      <wps:wsp>
                        <wps:cNvPr id="18" name="直接箭头连接符 18"/>
                        <wps:cNvCnPr>
                          <a:stCxn id="7" idx="3"/>
                        </wps:cNvCnPr>
                        <wps:spPr>
                          <a:xfrm>
                            <a:off x="1584464" y="4081653"/>
                            <a:ext cx="699668" cy="0"/>
                          </a:xfrm>
                          <a:prstGeom prst="straightConnector1">
                            <a:avLst/>
                          </a:prstGeom>
                          <a:noFill/>
                          <a:ln w="15875" cap="flat" cmpd="sng" algn="ctr">
                            <a:solidFill>
                              <a:sysClr val="windowText" lastClr="000000">
                                <a:lumMod val="85000"/>
                                <a:lumOff val="15000"/>
                              </a:sysClr>
                            </a:solidFill>
                            <a:prstDash val="solid"/>
                            <a:miter lim="800000"/>
                            <a:tailEnd type="triangle"/>
                          </a:ln>
                          <a:effectLst/>
                        </wps:spPr>
                        <wps:bodyPr/>
                      </wps:wsp>
                      <wps:wsp>
                        <wps:cNvPr id="19" name="矩形 19"/>
                        <wps:cNvSpPr/>
                        <wps:spPr>
                          <a:xfrm>
                            <a:off x="2293575" y="3654412"/>
                            <a:ext cx="4571162" cy="939266"/>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spacing w:line="260" w:lineRule="exact"/>
                                <w:rPr>
                                  <w:rFonts w:hint="eastAsia" w:ascii="楷体" w:hAnsi="楷体" w:eastAsia="楷体"/>
                                  <w:color w:val="252525"/>
                                  <w:sz w:val="22"/>
                                  <w:szCs w:val="22"/>
                                </w:rPr>
                              </w:pPr>
                              <w:r>
                                <w:rPr>
                                  <w:rFonts w:hint="eastAsia" w:ascii="楷体" w:hAnsi="楷体" w:eastAsia="楷体"/>
                                  <w:color w:val="252525"/>
                                  <w:sz w:val="22"/>
                                  <w:szCs w:val="22"/>
                                </w:rPr>
                                <w:t>建设中医云处方健康服务平台，实现处方流转、在线查询、在线调用等多项功能；并以此为基础打造中医云服务、饮片溯源、共享药房、健康管理等多项创新应用场景。</w:t>
                              </w:r>
                            </w:p>
                            <w:p>
                              <w:pPr>
                                <w:spacing w:line="260" w:lineRule="exact"/>
                                <w:rPr>
                                  <w:rFonts w:ascii="楷体" w:hAnsi="楷体" w:eastAsia="楷体"/>
                                  <w:color w:val="252525"/>
                                  <w:sz w:val="22"/>
                                  <w:szCs w:val="22"/>
                                </w:rPr>
                              </w:pPr>
                            </w:p>
                          </w:txbxContent>
                        </wps:txbx>
                        <wps:bodyPr rtlCol="0" anchor="ctr" anchorCtr="0"/>
                      </wps:wsp>
                      <wps:wsp>
                        <wps:cNvPr id="20" name="直接箭头连接符 20"/>
                        <wps:cNvCnPr>
                          <a:stCxn id="7" idx="3"/>
                        </wps:cNvCnPr>
                        <wps:spPr>
                          <a:xfrm>
                            <a:off x="1584464" y="5364255"/>
                            <a:ext cx="699668" cy="0"/>
                          </a:xfrm>
                          <a:prstGeom prst="straightConnector1">
                            <a:avLst/>
                          </a:prstGeom>
                          <a:noFill/>
                          <a:ln w="15875" cap="flat" cmpd="sng" algn="ctr">
                            <a:solidFill>
                              <a:sysClr val="windowText" lastClr="000000">
                                <a:lumMod val="85000"/>
                                <a:lumOff val="15000"/>
                              </a:sysClr>
                            </a:solidFill>
                            <a:prstDash val="solid"/>
                            <a:miter lim="800000"/>
                            <a:tailEnd type="triangle"/>
                          </a:ln>
                          <a:effectLst/>
                        </wps:spPr>
                        <wps:bodyPr/>
                      </wps:wsp>
                      <wps:wsp>
                        <wps:cNvPr id="21" name="矩形 21"/>
                        <wps:cNvSpPr/>
                        <wps:spPr>
                          <a:xfrm>
                            <a:off x="2293577" y="4879008"/>
                            <a:ext cx="4571162" cy="947835"/>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spacing w:line="260" w:lineRule="exact"/>
                                <w:rPr>
                                  <w:rFonts w:ascii="楷体" w:hAnsi="楷体" w:eastAsia="楷体"/>
                                  <w:color w:val="252525"/>
                                  <w:sz w:val="22"/>
                                  <w:szCs w:val="22"/>
                                </w:rPr>
                              </w:pPr>
                              <w:r>
                                <w:rPr>
                                  <w:rFonts w:hint="eastAsia" w:ascii="楷体" w:hAnsi="楷体" w:eastAsia="楷体"/>
                                  <w:color w:val="252525"/>
                                  <w:sz w:val="22"/>
                                  <w:szCs w:val="22"/>
                                </w:rPr>
                                <w:t>深入开发利用标准化中医处方数据，结合现有已报送的各系统数据，形成全覆盖的实时监测指标体系；构建中医处方一件事数字化监管平台，开展在线综合监管与绩效评价。</w:t>
                              </w:r>
                            </w:p>
                            <w:p>
                              <w:pPr>
                                <w:spacing w:line="260" w:lineRule="exact"/>
                                <w:rPr>
                                  <w:rFonts w:ascii="楷体" w:hAnsi="楷体" w:eastAsia="楷体"/>
                                  <w:color w:val="252525"/>
                                  <w:sz w:val="22"/>
                                  <w:szCs w:val="22"/>
                                </w:rPr>
                              </w:pPr>
                            </w:p>
                          </w:txbxContent>
                        </wps:txbx>
                        <wps:bodyPr rtlCol="0" anchor="ctr" anchorCtr="0"/>
                      </wps:wsp>
                      <wps:wsp>
                        <wps:cNvPr id="22" name="矩形 22"/>
                        <wps:cNvSpPr/>
                        <wps:spPr>
                          <a:xfrm>
                            <a:off x="7222021" y="1068377"/>
                            <a:ext cx="4360646" cy="1144731"/>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numPr>
                                  <w:ilvl w:val="0"/>
                                  <w:numId w:val="1"/>
                                </w:numPr>
                                <w:spacing w:line="260" w:lineRule="exact"/>
                                <w:rPr>
                                  <w:rFonts w:ascii="楷体" w:hAnsi="楷体" w:eastAsia="楷体"/>
                                  <w:color w:val="252525"/>
                                  <w:sz w:val="22"/>
                                  <w:szCs w:val="22"/>
                                </w:rPr>
                              </w:pPr>
                              <w:r>
                                <w:rPr>
                                  <w:rFonts w:hint="eastAsia" w:ascii="楷体" w:hAnsi="楷体" w:eastAsia="楷体"/>
                                  <w:color w:val="252525"/>
                                  <w:sz w:val="22"/>
                                  <w:szCs w:val="22"/>
                                </w:rPr>
                                <w:t>建立标准化中医处方、门诊病历，制定2000种以上中药编码目录、300种以上饮片规格等级和非药物疗法编码</w:t>
                              </w:r>
                            </w:p>
                            <w:p>
                              <w:pPr>
                                <w:numPr>
                                  <w:ilvl w:val="0"/>
                                  <w:numId w:val="1"/>
                                </w:numPr>
                                <w:spacing w:line="260" w:lineRule="exact"/>
                                <w:rPr>
                                  <w:rFonts w:ascii="楷体" w:hAnsi="楷体" w:eastAsia="楷体"/>
                                  <w:color w:val="252525"/>
                                  <w:sz w:val="22"/>
                                  <w:szCs w:val="22"/>
                                </w:rPr>
                              </w:pPr>
                              <w:r>
                                <w:rPr>
                                  <w:rFonts w:hint="eastAsia" w:ascii="楷体" w:hAnsi="楷体" w:eastAsia="楷体"/>
                                  <w:color w:val="252525"/>
                                  <w:sz w:val="22"/>
                                  <w:szCs w:val="22"/>
                                </w:rPr>
                                <w:t>实现5大标准体系在省市主要医疗机构全面应用</w:t>
                              </w:r>
                            </w:p>
                            <w:p>
                              <w:pPr>
                                <w:spacing w:line="260" w:lineRule="exact"/>
                                <w:rPr>
                                  <w:rFonts w:ascii="楷体" w:hAnsi="楷体" w:eastAsia="楷体"/>
                                  <w:color w:val="252525"/>
                                  <w:sz w:val="22"/>
                                  <w:szCs w:val="22"/>
                                </w:rPr>
                              </w:pPr>
                            </w:p>
                          </w:txbxContent>
                        </wps:txbx>
                        <wps:bodyPr rtlCol="0" anchor="ctr" anchorCtr="0"/>
                      </wps:wsp>
                      <wps:wsp>
                        <wps:cNvPr id="23" name="直接连接符 23"/>
                        <wps:cNvCnPr/>
                        <wps:spPr>
                          <a:xfrm flipH="1">
                            <a:off x="9651733" y="628152"/>
                            <a:ext cx="1" cy="432000"/>
                          </a:xfrm>
                          <a:prstGeom prst="line">
                            <a:avLst/>
                          </a:prstGeom>
                          <a:noFill/>
                          <a:ln w="12700" cap="flat" cmpd="sng" algn="ctr">
                            <a:solidFill>
                              <a:sysClr val="windowText" lastClr="000000">
                                <a:lumMod val="85000"/>
                                <a:lumOff val="15000"/>
                              </a:sysClr>
                            </a:solidFill>
                            <a:prstDash val="solid"/>
                            <a:miter lim="800000"/>
                          </a:ln>
                          <a:effectLst/>
                        </wps:spPr>
                        <wps:bodyPr/>
                      </wps:wsp>
                      <wps:wsp>
                        <wps:cNvPr id="24" name="矩形 24"/>
                        <wps:cNvSpPr/>
                        <wps:spPr>
                          <a:xfrm>
                            <a:off x="7221768" y="2367107"/>
                            <a:ext cx="4369127" cy="952453"/>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numPr>
                                  <w:ilvl w:val="0"/>
                                  <w:numId w:val="2"/>
                                </w:numPr>
                                <w:spacing w:line="260" w:lineRule="exact"/>
                                <w:rPr>
                                  <w:rFonts w:hint="eastAsia" w:ascii="楷体" w:hAnsi="楷体" w:eastAsia="楷体"/>
                                  <w:color w:val="252525"/>
                                  <w:sz w:val="22"/>
                                  <w:szCs w:val="22"/>
                                </w:rPr>
                              </w:pPr>
                              <w:r>
                                <w:rPr>
                                  <w:rFonts w:hint="eastAsia" w:ascii="楷体" w:hAnsi="楷体" w:eastAsia="楷体"/>
                                  <w:color w:val="252525"/>
                                  <w:sz w:val="22"/>
                                  <w:szCs w:val="22"/>
                                </w:rPr>
                                <w:t>制定完成中医电子病历数据传输规范；建立省、市两级数据传输平台</w:t>
                              </w:r>
                            </w:p>
                            <w:p>
                              <w:pPr>
                                <w:numPr>
                                  <w:ilvl w:val="0"/>
                                  <w:numId w:val="2"/>
                                </w:numPr>
                                <w:spacing w:line="260" w:lineRule="exact"/>
                                <w:rPr>
                                  <w:rFonts w:ascii="楷体" w:hAnsi="楷体" w:eastAsia="楷体"/>
                                  <w:color w:val="252525"/>
                                  <w:sz w:val="22"/>
                                  <w:szCs w:val="22"/>
                                </w:rPr>
                              </w:pPr>
                              <w:r>
                                <w:rPr>
                                  <w:rFonts w:hint="eastAsia" w:ascii="楷体" w:hAnsi="楷体" w:eastAsia="楷体"/>
                                  <w:color w:val="252525"/>
                                  <w:sz w:val="22"/>
                                  <w:szCs w:val="22"/>
                                </w:rPr>
                                <w:t>省市主要医疗机构完成中医处方数据传输接口改造；</w:t>
                              </w:r>
                            </w:p>
                            <w:p>
                              <w:pPr>
                                <w:spacing w:line="260" w:lineRule="exact"/>
                                <w:rPr>
                                  <w:rFonts w:ascii="楷体" w:hAnsi="楷体" w:eastAsia="楷体"/>
                                  <w:color w:val="252525"/>
                                  <w:sz w:val="22"/>
                                  <w:szCs w:val="22"/>
                                </w:rPr>
                              </w:pPr>
                            </w:p>
                          </w:txbxContent>
                        </wps:txbx>
                        <wps:bodyPr rtlCol="0" anchor="ctr" anchorCtr="0"/>
                      </wps:wsp>
                      <wps:wsp>
                        <wps:cNvPr id="25" name="矩形 25"/>
                        <wps:cNvSpPr/>
                        <wps:spPr>
                          <a:xfrm>
                            <a:off x="7212622" y="3649425"/>
                            <a:ext cx="4370045" cy="918829"/>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numPr>
                                  <w:ilvl w:val="0"/>
                                  <w:numId w:val="3"/>
                                </w:numPr>
                                <w:spacing w:line="260" w:lineRule="exact"/>
                                <w:rPr>
                                  <w:rFonts w:hint="eastAsia" w:ascii="楷体" w:hAnsi="楷体" w:eastAsia="楷体"/>
                                  <w:color w:val="252525"/>
                                  <w:sz w:val="22"/>
                                  <w:szCs w:val="22"/>
                                </w:rPr>
                              </w:pPr>
                              <w:r>
                                <w:rPr>
                                  <w:rFonts w:hint="eastAsia" w:ascii="楷体" w:hAnsi="楷体" w:eastAsia="楷体"/>
                                  <w:color w:val="252525"/>
                                  <w:sz w:val="22"/>
                                  <w:szCs w:val="22"/>
                                </w:rPr>
                                <w:t>建设区域医疗机构处方平台、提供云处方服务；</w:t>
                              </w:r>
                            </w:p>
                            <w:p>
                              <w:pPr>
                                <w:numPr>
                                  <w:ilvl w:val="0"/>
                                  <w:numId w:val="3"/>
                                </w:numPr>
                                <w:spacing w:line="260" w:lineRule="exact"/>
                                <w:rPr>
                                  <w:rFonts w:ascii="楷体" w:hAnsi="楷体" w:eastAsia="楷体"/>
                                  <w:color w:val="252525"/>
                                  <w:sz w:val="22"/>
                                  <w:szCs w:val="22"/>
                                </w:rPr>
                              </w:pPr>
                              <w:r>
                                <w:rPr>
                                  <w:rFonts w:hint="eastAsia" w:ascii="楷体" w:hAnsi="楷体" w:eastAsia="楷体"/>
                                  <w:color w:val="252525"/>
                                  <w:sz w:val="22"/>
                                  <w:szCs w:val="22"/>
                                </w:rPr>
                                <w:t>在全省开展改革试点，建设</w:t>
                              </w:r>
                              <w:r>
                                <w:rPr>
                                  <w:rFonts w:ascii="楷体" w:hAnsi="楷体" w:eastAsia="楷体"/>
                                  <w:color w:val="252525"/>
                                  <w:sz w:val="22"/>
                                  <w:szCs w:val="22"/>
                                </w:rPr>
                                <w:t>30</w:t>
                              </w:r>
                              <w:r>
                                <w:rPr>
                                  <w:rFonts w:hint="eastAsia" w:ascii="楷体" w:hAnsi="楷体" w:eastAsia="楷体"/>
                                  <w:color w:val="252525"/>
                                  <w:sz w:val="22"/>
                                  <w:szCs w:val="22"/>
                                </w:rPr>
                                <w:t>个创新应用场景</w:t>
                              </w:r>
                            </w:p>
                          </w:txbxContent>
                        </wps:txbx>
                        <wps:bodyPr rtlCol="0" anchor="ctr" anchorCtr="0"/>
                      </wps:wsp>
                      <wps:wsp>
                        <wps:cNvPr id="26" name="矩形 26"/>
                        <wps:cNvSpPr/>
                        <wps:spPr>
                          <a:xfrm>
                            <a:off x="7230505" y="4887613"/>
                            <a:ext cx="4335707" cy="936935"/>
                          </a:xfrm>
                          <a:prstGeom prst="rect">
                            <a:avLst/>
                          </a:prstGeom>
                          <a:solidFill>
                            <a:sysClr val="window" lastClr="FFFFFF"/>
                          </a:solidFill>
                          <a:ln w="12700" cap="flat" cmpd="sng" algn="ctr">
                            <a:solidFill>
                              <a:sysClr val="windowText" lastClr="000000">
                                <a:lumMod val="85000"/>
                                <a:lumOff val="15000"/>
                              </a:sysClr>
                            </a:solidFill>
                            <a:prstDash val="solid"/>
                            <a:miter lim="800000"/>
                          </a:ln>
                          <a:effectLst/>
                        </wps:spPr>
                        <wps:txbx>
                          <w:txbxContent>
                            <w:p>
                              <w:pPr>
                                <w:numPr>
                                  <w:ilvl w:val="0"/>
                                  <w:numId w:val="4"/>
                                </w:numPr>
                                <w:spacing w:line="260" w:lineRule="exact"/>
                                <w:rPr>
                                  <w:rFonts w:hint="eastAsia" w:ascii="楷体" w:hAnsi="楷体" w:eastAsia="楷体"/>
                                  <w:color w:val="252525"/>
                                  <w:sz w:val="22"/>
                                  <w:szCs w:val="22"/>
                                </w:rPr>
                              </w:pPr>
                              <w:r>
                                <w:rPr>
                                  <w:rFonts w:hint="eastAsia" w:ascii="楷体" w:hAnsi="楷体" w:eastAsia="楷体"/>
                                  <w:color w:val="252525"/>
                                  <w:sz w:val="22"/>
                                  <w:szCs w:val="22"/>
                                </w:rPr>
                                <w:t>建立全省中医处方实时监测指标体系和驾驶舱</w:t>
                              </w:r>
                            </w:p>
                            <w:p>
                              <w:pPr>
                                <w:numPr>
                                  <w:ilvl w:val="0"/>
                                  <w:numId w:val="4"/>
                                </w:numPr>
                                <w:spacing w:line="260" w:lineRule="exact"/>
                                <w:rPr>
                                  <w:rFonts w:ascii="楷体" w:hAnsi="楷体" w:eastAsia="楷体"/>
                                  <w:color w:val="252525"/>
                                  <w:sz w:val="22"/>
                                  <w:szCs w:val="22"/>
                                </w:rPr>
                              </w:pPr>
                              <w:r>
                                <w:rPr>
                                  <w:rFonts w:hint="eastAsia" w:ascii="楷体" w:hAnsi="楷体" w:eastAsia="楷体"/>
                                  <w:color w:val="252525"/>
                                  <w:sz w:val="22"/>
                                  <w:szCs w:val="22"/>
                                </w:rPr>
                                <w:t>建立中医药综合监管平台，开展在线监管与绩效评价。</w:t>
                              </w:r>
                            </w:p>
                          </w:txbxContent>
                        </wps:txbx>
                        <wps:bodyPr rtlCol="0" anchor="ctr" anchorCtr="0"/>
                      </wps:wsp>
                      <wps:wsp>
                        <wps:cNvPr id="27" name="直接连接符 27"/>
                        <wps:cNvCnPr/>
                        <wps:spPr>
                          <a:xfrm flipV="1">
                            <a:off x="6863012" y="1618612"/>
                            <a:ext cx="360001" cy="3"/>
                          </a:xfrm>
                          <a:prstGeom prst="line">
                            <a:avLst/>
                          </a:prstGeom>
                          <a:noFill/>
                          <a:ln w="15875" cap="flat" cmpd="sng" algn="ctr">
                            <a:solidFill>
                              <a:sysClr val="windowText" lastClr="000000">
                                <a:lumMod val="85000"/>
                                <a:lumOff val="15000"/>
                              </a:sysClr>
                            </a:solidFill>
                            <a:prstDash val="solid"/>
                            <a:miter lim="800000"/>
                          </a:ln>
                          <a:effectLst/>
                        </wps:spPr>
                        <wps:bodyPr/>
                      </wps:wsp>
                      <wps:wsp>
                        <wps:cNvPr id="28" name="直接连接符 28"/>
                        <wps:cNvCnPr/>
                        <wps:spPr>
                          <a:xfrm flipV="1">
                            <a:off x="6863012" y="2793023"/>
                            <a:ext cx="360001" cy="3"/>
                          </a:xfrm>
                          <a:prstGeom prst="line">
                            <a:avLst/>
                          </a:prstGeom>
                          <a:noFill/>
                          <a:ln w="15875" cap="flat" cmpd="sng" algn="ctr">
                            <a:solidFill>
                              <a:sysClr val="windowText" lastClr="000000">
                                <a:lumMod val="85000"/>
                                <a:lumOff val="15000"/>
                              </a:sysClr>
                            </a:solidFill>
                            <a:prstDash val="solid"/>
                            <a:miter lim="800000"/>
                          </a:ln>
                          <a:effectLst/>
                        </wps:spPr>
                        <wps:bodyPr/>
                      </wps:wsp>
                      <wps:wsp>
                        <wps:cNvPr id="29" name="直接连接符 29"/>
                        <wps:cNvCnPr/>
                        <wps:spPr>
                          <a:xfrm flipV="1">
                            <a:off x="6863012" y="4059453"/>
                            <a:ext cx="360001" cy="3"/>
                          </a:xfrm>
                          <a:prstGeom prst="line">
                            <a:avLst/>
                          </a:prstGeom>
                          <a:noFill/>
                          <a:ln w="15875" cap="flat" cmpd="sng" algn="ctr">
                            <a:solidFill>
                              <a:sysClr val="windowText" lastClr="000000">
                                <a:lumMod val="85000"/>
                                <a:lumOff val="15000"/>
                              </a:sysClr>
                            </a:solidFill>
                            <a:prstDash val="solid"/>
                            <a:miter lim="800000"/>
                          </a:ln>
                          <a:effectLst/>
                        </wps:spPr>
                        <wps:bodyPr/>
                      </wps:wsp>
                      <wps:wsp>
                        <wps:cNvPr id="30" name="直接连接符 30"/>
                        <wps:cNvCnPr/>
                        <wps:spPr>
                          <a:xfrm flipV="1">
                            <a:off x="6863012" y="5325888"/>
                            <a:ext cx="360001" cy="3"/>
                          </a:xfrm>
                          <a:prstGeom prst="line">
                            <a:avLst/>
                          </a:prstGeom>
                          <a:noFill/>
                          <a:ln w="15875" cap="flat" cmpd="sng" algn="ctr">
                            <a:solidFill>
                              <a:sysClr val="windowText" lastClr="000000">
                                <a:lumMod val="85000"/>
                                <a:lumOff val="15000"/>
                              </a:sysClr>
                            </a:solidFill>
                            <a:prstDash val="solid"/>
                            <a:miter lim="800000"/>
                          </a:ln>
                          <a:effectLst/>
                        </wps:spPr>
                        <wps:bodyPr/>
                      </wps:wsp>
                    </wpg:wgp>
                  </a:graphicData>
                </a:graphic>
              </wp:anchor>
            </w:drawing>
          </mc:Choice>
          <mc:Fallback>
            <w:pict>
              <v:group id="_x0000_s1026" o:spid="_x0000_s1026" o:spt="203" style="position:absolute;left:0pt;margin-left:-5.05pt;margin-top:8.8pt;height:365.95pt;width:706pt;mso-position-horizontal-relative:margin;z-index:251663360;mso-width-relative:page;mso-height-relative:page;" coordorigin="-26435,0" coordsize="11617330,5826843" o:gfxdata="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">
                <o:lock v:ext="edit" aspectratio="t"/>
                <v:shape id="_x0000_s1026" o:spid="_x0000_s1026" o:spt="116" type="#_x0000_t116" style="position:absolute;left:-26435;top:21261;height:612001;width:1587921;v-text-anchor:middle;" fillcolor="#FFFFFF" filled="t" stroked="t" coordsize="21600,21600" o:gfxdata="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Ki8bsy1AAAA2gAAAA8AAAAAAAAAAQAgAAAAOAAAAGRycy9kb3ducmV2LnhtbFBLAQIU&#10;ABQAAAAIAIdO4kAzLwWeOwAAADkAAAAQAAAAAAAAAAEAIAAAABoBAABkcnMvc2hhcGV4bWwueG1s&#10;UEsFBgAAAAAGAAYAWwEAAMQDAAAAAA==&#10;">
                  <v:fill on="t" focussize="0,0"/>
                  <v:stroke weight="1.5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工作流程</w:t>
                        </w:r>
                      </w:p>
                    </w:txbxContent>
                  </v:textbox>
                </v:shape>
                <v:shape id="_x0000_s1026" o:spid="_x0000_s1026" o:spt="116" type="#_x0000_t116" style="position:absolute;left:3652475;top:35440;height:612000;width:1637414;v-text-anchor:middle;" fillcolor="#FFFFFF" filled="t" stroked="t" coordsize="21600,21600" o:gfxdata="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Mfwy1e1AAAA2gAAAA8AAAAAAAAAAQAgAAAAOAAAAGRycy9kb3ducmV2LnhtbFBLAQIU&#10;ABQAAAAIAIdO4kAzLwWeOwAAADkAAAAQAAAAAAAAAAEAIAAAABoBAABkcnMvc2hhcGV4bWwueG1s&#10;UEsFBgAAAAAGAAYAWwEAAMQDAAAAAA==&#10;">
                  <v:fill on="t" focussize="0,0"/>
                  <v:stroke weight="1.5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工作标准</w:t>
                        </w:r>
                      </w:p>
                    </w:txbxContent>
                  </v:textbox>
                </v:shape>
                <v:shape id="_x0000_s1026" o:spid="_x0000_s1026" o:spt="116" type="#_x0000_t116" style="position:absolute;left:8832733;top:0;height:628152;width:1638000;v-text-anchor:middle;" fillcolor="#FFFFFF" filled="t" stroked="t" coordsize="21600,21600" o:gfxdata="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EgZUyO1AAAA2gAAAA8AAAAAAAAAAQAgAAAAOAAAAGRycy9kb3ducmV2LnhtbFBLAQIU&#10;ABQAAAAIAIdO4kAzLwWeOwAAADkAAAAQAAAAAAAAAAEAIAAAABoBAABkcnMvc2hhcGV4bWwueG1s&#10;UEsFBgAAAAAGAAYAWwEAAMQDAAAAAA==&#10;">
                  <v:fill on="t" focussize="0,0"/>
                  <v:stroke weight="1.5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考核内容</w:t>
                        </w:r>
                      </w:p>
                    </w:txbxContent>
                  </v:textbox>
                </v:shape>
                <v:line id="_x0000_s1026" o:spid="_x0000_s1026" o:spt="20" style="position:absolute;left:792157;top:629149;flip:x;height:432000;width:408;" filled="f" stroked="t" coordsize="21600,21600" o:gfxdata="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a9v7yroAAADaAAAADwAAAAAAAAABACAAAAA4AAAAZHJzL2Rvd25yZXYueG1s&#10;UEsBAhQAFAAAAAgAh07iQDMvBZ47AAAAOQAAABAAAAAAAAAAAQAgAAAAHwEAAGRycy9zaGFwZXht&#10;bC54bWxQSwUGAAAAAAYABgBbAQAAyQMAAAAA&#10;">
                  <v:fill on="f" focussize="0,0"/>
                  <v:stroke weight="1pt" color="#262626" miterlimit="8" joinstyle="miter"/>
                  <v:imagedata o:title=""/>
                  <o:lock v:ext="edit" aspectratio="f"/>
                </v:line>
                <v:rect id="_x0000_s1026" o:spid="_x0000_s1026" o:spt="1" style="position:absolute;left:-2;top:1068317;height:860610;width:1586171;v-text-anchor:middle;" fillcolor="#FFFFFF" filled="t" stroked="t" coordsize="21600,21600" o:gfxdata="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O1crh7cAAADaAAAADwAAAAAAAAABACAAAAA4AAAAZHJzL2Rvd25yZXYueG1sUEsB&#10;AhQAFAAAAAgAh07iQDMvBZ47AAAAOQAAABAAAAAAAAAAAQAgAAAAHAEAAGRycy9zaGFwZXhtbC54&#10;bWxQSwUGAAAAAAYABgBbAQAAxgMAAAAA&#10;">
                  <v:fill on="t" focussize="0,0"/>
                  <v:stroke weight="1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建立处方标准体系</w:t>
                        </w:r>
                      </w:p>
                    </w:txbxContent>
                  </v:textbox>
                </v:rect>
                <v:rect id="_x0000_s1026" o:spid="_x0000_s1026" o:spt="1" style="position:absolute;left:-1;top:2368642;height:860610;width:1586062;v-text-anchor:middle;" fillcolor="#FFFFFF" filled="t" stroked="t" coordsize="21600,21600" o:gfxdata="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UG44cuQAAANoAAAAPAAAAAAAAAAEAIAAAADgAAABkcnMvZG93bnJldi54bWxQ&#10;SwECFAAUAAAACACHTuJAMy8FnjsAAAA5AAAAEAAAAAAAAAABACAAAAAeAQAAZHJzL3NoYXBleG1s&#10;LnhtbFBLBQYAAAAABgAGAFsBAADIAwAAAAA=&#10;">
                  <v:fill on="t" focussize="0,0"/>
                  <v:stroke weight="1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建立处方数据体系</w:t>
                        </w:r>
                      </w:p>
                    </w:txbxContent>
                  </v:textbox>
                </v:rect>
                <v:line id="_x0000_s1026" o:spid="_x0000_s1026" o:spt="20" style="position:absolute;left:932434;top:1925162;flip:x;height:432000;width:1;" filled="f" stroked="t" coordsize="21600,21600" o:gfxdata="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hdpUVLcAAADaAAAADwAAAAAAAAABACAAAAA4AAAAZHJzL2Rvd25yZXYueG1sUEsB&#10;AhQAFAAAAAgAh07iQDMvBZ47AAAAOQAAABAAAAAAAAAAAQAgAAAAHAEAAGRycy9zaGFwZXhtbC54&#10;bWxQSwUGAAAAAAYABgBbAQAAxgMAAAAA&#10;">
                  <v:fill on="f" focussize="0,0"/>
                  <v:stroke weight="1pt" color="#262626" miterlimit="8" joinstyle="miter"/>
                  <v:imagedata o:title=""/>
                  <o:lock v:ext="edit" aspectratio="f"/>
                </v:line>
                <v:rect id="_x0000_s1026" o:spid="_x0000_s1026" o:spt="1" style="position:absolute;left:-1;top:3650844;height:860610;width:1585913;v-text-anchor:middle;" fillcolor="#FFFFFF" filled="t" stroked="t" coordsize="21600,21600" o:gfxdata="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KyL/1uQAAANoAAAAPAAAAAAAAAAEAIAAAADgAAABkcnMvZG93bnJldi54bWxQ&#10;SwECFAAUAAAACACHTuJAMy8FnjsAAAA5AAAAEAAAAAAAAAABACAAAAAeAQAAZHJzL3NoYXBleG1s&#10;LnhtbFBLBQYAAAAABgAGAFsBAADIAwAAAAA=&#10;">
                  <v:fill on="t" focussize="0,0"/>
                  <v:stroke weight="1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建立处方应用体系</w:t>
                        </w:r>
                      </w:p>
                    </w:txbxContent>
                  </v:textbox>
                </v:rect>
                <v:rect id="_x0000_s1026" o:spid="_x0000_s1026" o:spt="1" style="position:absolute;left:-3;top:4934857;height:860610;width:1585913;v-text-anchor:middle;" fillcolor="#FFFFFF" filled="t" stroked="t" coordsize="21600,21600" o:gfxdata="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hcxE67AAAA2wAAAA8AAAAAAAAAAQAgAAAAOAAAAGRycy9kb3ducmV2Lnht&#10;bFBLAQIUABQAAAAIAIdO4kAzLwWeOwAAADkAAAAQAAAAAAAAAAEAIAAAACABAABkcnMvc2hhcGV4&#10;bWwueG1sUEsFBgAAAAAGAAYAWwEAAMoDAAAAAA==&#10;">
                  <v:fill on="t" focussize="0,0"/>
                  <v:stroke weight="1pt" color="#262626" miterlimit="8" joinstyle="miter"/>
                  <v:imagedata o:title=""/>
                  <o:lock v:ext="edit" aspectratio="f"/>
                  <v:textbox>
                    <w:txbxContent>
                      <w:p>
                        <w:pPr>
                          <w:jc w:val="center"/>
                          <w:rPr>
                            <w:rFonts w:ascii="黑体" w:hAnsi="黑体" w:eastAsia="黑体"/>
                            <w:color w:val="252525"/>
                            <w:kern w:val="24"/>
                            <w:sz w:val="18"/>
                            <w:szCs w:val="18"/>
                          </w:rPr>
                        </w:pPr>
                        <w:r>
                          <w:rPr>
                            <w:rFonts w:hint="eastAsia" w:ascii="黑体" w:hAnsi="黑体" w:eastAsia="黑体"/>
                            <w:color w:val="252525"/>
                            <w:kern w:val="24"/>
                            <w:sz w:val="18"/>
                            <w:szCs w:val="18"/>
                          </w:rPr>
                          <w:t>建立处方监管体系</w:t>
                        </w:r>
                      </w:p>
                    </w:txbxContent>
                  </v:textbox>
                </v:rect>
                <v:line id="_x0000_s1026" o:spid="_x0000_s1026" o:spt="20" style="position:absolute;left:932434;top:3223549;flip:x;height:432000;width:1;" filled="f" stroked="t" coordsize="21600,21600" o:gfxdata="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Qf2NA7cAAADbAAAADwAAAAAAAAABACAAAAA4AAAAZHJzL2Rvd25yZXYueG1sUEsB&#10;AhQAFAAAAAgAh07iQDMvBZ47AAAAOQAAABAAAAAAAAAAAQAgAAAAHAEAAGRycy9zaGFwZXhtbC54&#10;bWxQSwUGAAAAAAYABgBbAQAAxgMAAAAA&#10;">
                  <v:fill on="f" focussize="0,0"/>
                  <v:stroke weight="1pt" color="#262626" miterlimit="8" joinstyle="miter"/>
                  <v:imagedata o:title=""/>
                  <o:lock v:ext="edit" aspectratio="f"/>
                </v:line>
                <v:line id="_x0000_s1026" o:spid="_x0000_s1026" o:spt="20" style="position:absolute;left:932434;top:4501410;flip:x;height:432000;width:1;" filled="f" stroked="t" coordsize="21600,21600" o:gfxdata="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sS8TdLcAAADbAAAADwAAAAAAAAABACAAAAA4AAAAZHJzL2Rvd25yZXYueG1sUEsB&#10;AhQAFAAAAAgAh07iQDMvBZ47AAAAOQAAABAAAAAAAAAAAQAgAAAAHAEAAGRycy9zaGFwZXhtbC54&#10;bWxQSwUGAAAAAAYABgBbAQAAxgMAAAAA&#10;">
                  <v:fill on="f" focussize="0,0"/>
                  <v:stroke weight="1pt" color="#262626" miterlimit="8" joinstyle="miter"/>
                  <v:imagedata o:title=""/>
                  <o:lock v:ext="edit" aspectratio="f"/>
                </v:line>
                <v:shape id="_x0000_s1026" o:spid="_x0000_s1026" o:spt="32" type="#_x0000_t32" style="position:absolute;left:1584464;top:1499056;height:0;width:699668;" filled="f" stroked="t" coordsize="21600,21600" o:gfxdata="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DqYR2dtgAAANsAAAAPAAAAAAAAAAEAIAAAADgAAABkcnMvZG93bnJldi54bWxQSwEC&#10;FAAUAAAACACHTuJAMy8FnjsAAAA5AAAAEAAAAAAAAAABACAAAAAbAQAAZHJzL3NoYXBleG1sLnht&#10;bFBLBQYAAAAABgAGAFsBAADFAwAAAAA=&#10;">
                  <v:fill on="f" focussize="0,0"/>
                  <v:stroke weight="1.25pt" color="#262626" miterlimit="8" joinstyle="miter" endarrow="block"/>
                  <v:imagedata o:title=""/>
                  <o:lock v:ext="edit" aspectratio="f"/>
                </v:shape>
                <v:line id="_x0000_s1026" o:spid="_x0000_s1026" o:spt="20" style="position:absolute;left:4488797;top:657171;flip:x;height:432000;width:1;" filled="f" stroked="t" coordsize="21600,21600" o:gfxdata="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Rii6buQAAANsAAAAPAAAAAAAAAAEAIAAAADgAAABkcnMvZG93bnJldi54bWxQ&#10;SwECFAAUAAAACACHTuJAMy8FnjsAAAA5AAAAEAAAAAAAAAABACAAAAAeAQAAZHJzL3NoYXBleG1s&#10;LnhtbFBLBQYAAAAABgAGAFsBAADIAwAAAAA=&#10;">
                  <v:fill on="f" focussize="0,0"/>
                  <v:stroke weight="1pt" color="#262626" miterlimit="8" joinstyle="miter"/>
                  <v:imagedata o:title=""/>
                  <o:lock v:ext="edit" aspectratio="f"/>
                </v:line>
                <v:rect id="_x0000_s1026" o:spid="_x0000_s1026" o:spt="1" style="position:absolute;left:2285030;top:1068243;height:1137041;width:4571162;v-text-anchor:middle;" fillcolor="#FFFFFF" filled="t" stroked="t" coordsize="21600,21600" o:gfxdata="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iCtn1rcAAADbAAAADwAAAAAAAAABACAAAAA4AAAAZHJzL2Rvd25yZXYueG1sUEsB&#10;AhQAFAAAAAgAh07iQDMvBZ47AAAAOQAAABAAAAAAAAAAAQAgAAAAHAEAAGRycy9zaGFwZXhtbC54&#10;bWxQSwUGAAAAAAYABgBbAQAAxgMAAAAA&#10;">
                  <v:fill on="t" focussize="0,0"/>
                  <v:stroke weight="1pt" color="#262626" miterlimit="8" joinstyle="miter"/>
                  <v:imagedata o:title=""/>
                  <o:lock v:ext="edit" aspectratio="f"/>
                  <v:textbox>
                    <w:txbxContent>
                      <w:p>
                        <w:pPr>
                          <w:spacing w:line="260" w:lineRule="exact"/>
                          <w:rPr>
                            <w:rFonts w:hint="eastAsia" w:ascii="楷体" w:hAnsi="楷体" w:eastAsia="楷体"/>
                            <w:color w:val="252525"/>
                            <w:sz w:val="22"/>
                            <w:szCs w:val="22"/>
                          </w:rPr>
                        </w:pPr>
                        <w:r>
                          <w:rPr>
                            <w:rFonts w:hint="eastAsia" w:ascii="楷体" w:hAnsi="楷体" w:eastAsia="楷体"/>
                            <w:color w:val="252525"/>
                            <w:sz w:val="22"/>
                            <w:szCs w:val="22"/>
                          </w:rPr>
                          <w:t>依据国家和浙江省相关标准要求，制定中医处方、门诊病历、中药编码、非药物疗法编码、饮片等级等标准；形成标准化中医处方、门诊病历，中药数字编码、非药物疗法编码目录和饮片规格等级推荐指南。</w:t>
                        </w:r>
                      </w:p>
                    </w:txbxContent>
                  </v:textbox>
                </v:rect>
                <v:rect id="_x0000_s1026" o:spid="_x0000_s1026" o:spt="1" style="position:absolute;left:2285729;top:2368578;height:871676;width:4571162;v-text-anchor:middle;" fillcolor="#FFFFFF" filled="t" stroked="t" coordsize="21600,21600" o:gfxdata="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B4+fmhtgAAANsAAAAPAAAAAAAAAAEAIAAAADgAAABkcnMvZG93bnJldi54bWxQSwEC&#10;FAAUAAAACACHTuJAMy8FnjsAAAA5AAAAEAAAAAAAAAABACAAAAAbAQAAZHJzL3NoYXBleG1sLnht&#10;bFBLBQYAAAAABgAGAFsBAADFAwAAAAA=&#10;">
                  <v:fill on="t" focussize="0,0"/>
                  <v:stroke weight="1pt" color="#262626" miterlimit="8" joinstyle="miter"/>
                  <v:imagedata o:title=""/>
                  <o:lock v:ext="edit" aspectratio="f"/>
                  <v:textbox>
                    <w:txbxContent>
                      <w:p>
                        <w:pPr>
                          <w:spacing w:line="260" w:lineRule="exact"/>
                          <w:rPr>
                            <w:rFonts w:ascii="楷体" w:hAnsi="楷体" w:eastAsia="楷体"/>
                            <w:color w:val="252525"/>
                            <w:sz w:val="22"/>
                            <w:szCs w:val="22"/>
                          </w:rPr>
                        </w:pPr>
                        <w:r>
                          <w:rPr>
                            <w:rFonts w:hint="eastAsia" w:ascii="楷体" w:hAnsi="楷体" w:eastAsia="楷体"/>
                            <w:color w:val="252525"/>
                            <w:sz w:val="22"/>
                            <w:szCs w:val="22"/>
                          </w:rPr>
                          <w:t>制定和发布中医门诊病历和中医处方数据传输规范，升级改造医院信息系统，实现区域内联用互通；建立中医处方数据中心，进行数据归集、质控、共享。</w:t>
                        </w:r>
                      </w:p>
                    </w:txbxContent>
                  </v:textbox>
                </v:rect>
                <v:shape id="_x0000_s1026" o:spid="_x0000_s1026" o:spt="32" type="#_x0000_t32" style="position:absolute;left:1586062;top:2798890;height:0;width:699668;" filled="f" stroked="t" coordsize="21600,21600" o:gfxdata="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CVWhuetgAAANsAAAAPAAAAAAAAAAEAIAAAADgAAABkcnMvZG93bnJldi54bWxQSwEC&#10;FAAUAAAACACHTuJAMy8FnjsAAAA5AAAAEAAAAAAAAAABACAAAAAbAQAAZHJzL3NoYXBleG1sLnht&#10;bFBLBQYAAAAABgAGAFsBAADFAwAAAAA=&#10;">
                  <v:fill on="f" focussize="0,0"/>
                  <v:stroke weight="1.25pt" color="#262626" miterlimit="8" joinstyle="miter" endarrow="block"/>
                  <v:imagedata o:title=""/>
                  <o:lock v:ext="edit" aspectratio="f"/>
                </v:shape>
                <v:shape id="_x0000_s1026" o:spid="_x0000_s1026" o:spt="32" type="#_x0000_t32" style="position:absolute;left:1584464;top:4081653;height:0;width:699668;" filled="f" stroked="t" coordsize="21600,21600" o:gfxdata="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kxY/svAAAANsAAAAPAAAAAAAAAAEAIAAAADgAAABkcnMvZG93bnJldi54&#10;bWxQSwECFAAUAAAACACHTuJAMy8FnjsAAAA5AAAAEAAAAAAAAAABACAAAAAhAQAAZHJzL3NoYXBl&#10;eG1sLnhtbFBLBQYAAAAABgAGAFsBAADLAwAAAAA=&#10;">
                  <v:fill on="f" focussize="0,0"/>
                  <v:stroke weight="1.25pt" color="#262626" miterlimit="8" joinstyle="miter" endarrow="block"/>
                  <v:imagedata o:title=""/>
                  <o:lock v:ext="edit" aspectratio="f"/>
                </v:shape>
                <v:rect id="_x0000_s1026" o:spid="_x0000_s1026" o:spt="1" style="position:absolute;left:2293575;top:3654412;height:939266;width:4571162;v-text-anchor:middle;" fillcolor="#FFFFFF" filled="t" stroked="t" coordsize="21600,21600" o:gfxdata="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&#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AlmbdO4AAAA2wAAAA8AAAAAAAAAAQAgAAAAOAAAAGRycy9kb3ducmV2LnhtbFBL&#10;AQIUABQAAAAIAIdO4kAzLwWeOwAAADkAAAAQAAAAAAAAAAEAIAAAAB0BAABkcnMvc2hhcGV4bWwu&#10;eG1sUEsFBgAAAAAGAAYAWwEAAMcDAAAAAA==&#10;">
                  <v:fill on="t" focussize="0,0"/>
                  <v:stroke weight="1pt" color="#262626" miterlimit="8" joinstyle="miter"/>
                  <v:imagedata o:title=""/>
                  <o:lock v:ext="edit" aspectratio="f"/>
                  <v:textbox>
                    <w:txbxContent>
                      <w:p>
                        <w:pPr>
                          <w:spacing w:line="260" w:lineRule="exact"/>
                          <w:rPr>
                            <w:rFonts w:hint="eastAsia" w:ascii="楷体" w:hAnsi="楷体" w:eastAsia="楷体"/>
                            <w:color w:val="252525"/>
                            <w:sz w:val="22"/>
                            <w:szCs w:val="22"/>
                          </w:rPr>
                        </w:pPr>
                        <w:r>
                          <w:rPr>
                            <w:rFonts w:hint="eastAsia" w:ascii="楷体" w:hAnsi="楷体" w:eastAsia="楷体"/>
                            <w:color w:val="252525"/>
                            <w:sz w:val="22"/>
                            <w:szCs w:val="22"/>
                          </w:rPr>
                          <w:t>建设中医云处方健康服务平台，实现处方流转、在线查询、在线调用等多项功能；并以此为基础打造中医云服务、饮片溯源、共享药房、健康管理等多项创新应用场景。</w:t>
                        </w:r>
                      </w:p>
                      <w:p>
                        <w:pPr>
                          <w:spacing w:line="260" w:lineRule="exact"/>
                          <w:rPr>
                            <w:rFonts w:ascii="楷体" w:hAnsi="楷体" w:eastAsia="楷体"/>
                            <w:color w:val="252525"/>
                            <w:sz w:val="22"/>
                            <w:szCs w:val="22"/>
                          </w:rPr>
                        </w:pPr>
                      </w:p>
                    </w:txbxContent>
                  </v:textbox>
                </v:rect>
                <v:shape id="_x0000_s1026" o:spid="_x0000_s1026" o:spt="32" type="#_x0000_t32" style="position:absolute;left:1584464;top:5364255;height:0;width:699668;" filled="f" stroked="t" coordsize="21600,21600" o:gfxdata="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DU30lXtgAAANsAAAAPAAAAAAAAAAEAIAAAADgAAABkcnMvZG93bnJldi54bWxQSwEC&#10;FAAUAAAACACHTuJAMy8FnjsAAAA5AAAAEAAAAAAAAAABACAAAAAbAQAAZHJzL3NoYXBleG1sLnht&#10;bFBLBQYAAAAABgAGAFsBAADFAwAAAAA=&#10;">
                  <v:fill on="f" focussize="0,0"/>
                  <v:stroke weight="1.25pt" color="#262626" miterlimit="8" joinstyle="miter" endarrow="block"/>
                  <v:imagedata o:title=""/>
                  <o:lock v:ext="edit" aspectratio="f"/>
                </v:shape>
                <v:rect id="_x0000_s1026" o:spid="_x0000_s1026" o:spt="1" style="position:absolute;left:2293577;top:4879008;height:947835;width:4571162;v-text-anchor:middle;" fillcolor="#FFFFFF" filled="t" stroked="t" coordsize="21600,21600" o:gfxdata="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Dl8q2i7AAAA2wAAAA8AAAAAAAAAAQAgAAAAOAAAAGRycy9kb3ducmV2Lnht&#10;bFBLAQIUABQAAAAIAIdO4kAzLwWeOwAAADkAAAAQAAAAAAAAAAEAIAAAACABAABkcnMvc2hhcGV4&#10;bWwueG1sUEsFBgAAAAAGAAYAWwEAAMoDAAAAAA==&#10;">
                  <v:fill on="t" focussize="0,0"/>
                  <v:stroke weight="1pt" color="#262626" miterlimit="8" joinstyle="miter"/>
                  <v:imagedata o:title=""/>
                  <o:lock v:ext="edit" aspectratio="f"/>
                  <v:textbox>
                    <w:txbxContent>
                      <w:p>
                        <w:pPr>
                          <w:spacing w:line="260" w:lineRule="exact"/>
                          <w:rPr>
                            <w:rFonts w:ascii="楷体" w:hAnsi="楷体" w:eastAsia="楷体"/>
                            <w:color w:val="252525"/>
                            <w:sz w:val="22"/>
                            <w:szCs w:val="22"/>
                          </w:rPr>
                        </w:pPr>
                        <w:r>
                          <w:rPr>
                            <w:rFonts w:hint="eastAsia" w:ascii="楷体" w:hAnsi="楷体" w:eastAsia="楷体"/>
                            <w:color w:val="252525"/>
                            <w:sz w:val="22"/>
                            <w:szCs w:val="22"/>
                          </w:rPr>
                          <w:t>深入开发利用标准化中医处方数据，结合现有已报送的各系统数据，形成全覆盖的实时监测指标体系；构建中医处方一件事数字化监管平台，开展在线综合监管与绩效评价。</w:t>
                        </w:r>
                      </w:p>
                      <w:p>
                        <w:pPr>
                          <w:spacing w:line="260" w:lineRule="exact"/>
                          <w:rPr>
                            <w:rFonts w:ascii="楷体" w:hAnsi="楷体" w:eastAsia="楷体"/>
                            <w:color w:val="252525"/>
                            <w:sz w:val="22"/>
                            <w:szCs w:val="22"/>
                          </w:rPr>
                        </w:pPr>
                      </w:p>
                    </w:txbxContent>
                  </v:textbox>
                </v:rect>
                <v:rect id="_x0000_s1026" o:spid="_x0000_s1026" o:spt="1" style="position:absolute;left:7222021;top:1068377;height:1144731;width:4360646;v-text-anchor:middle;" fillcolor="#FFFFFF" filled="t" stroked="t" coordsize="21600,21600" o:gfxdata="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ya41H7oAAADbAAAADwAAAAAAAAABACAAAAA4AAAAZHJzL2Rvd25yZXYueG1s&#10;UEsBAhQAFAAAAAgAh07iQDMvBZ47AAAAOQAAABAAAAAAAAAAAQAgAAAAHwEAAGRycy9zaGFwZXht&#10;bC54bWxQSwUGAAAAAAYABgBbAQAAyQMAAAAA&#10;">
                  <v:fill on="t" focussize="0,0"/>
                  <v:stroke weight="1pt" color="#262626" miterlimit="8" joinstyle="miter"/>
                  <v:imagedata o:title=""/>
                  <o:lock v:ext="edit" aspectratio="f"/>
                  <v:textbox>
                    <w:txbxContent>
                      <w:p>
                        <w:pPr>
                          <w:numPr>
                            <w:ilvl w:val="0"/>
                            <w:numId w:val="1"/>
                          </w:numPr>
                          <w:spacing w:line="260" w:lineRule="exact"/>
                          <w:rPr>
                            <w:rFonts w:ascii="楷体" w:hAnsi="楷体" w:eastAsia="楷体"/>
                            <w:color w:val="252525"/>
                            <w:sz w:val="22"/>
                            <w:szCs w:val="22"/>
                          </w:rPr>
                        </w:pPr>
                        <w:r>
                          <w:rPr>
                            <w:rFonts w:hint="eastAsia" w:ascii="楷体" w:hAnsi="楷体" w:eastAsia="楷体"/>
                            <w:color w:val="252525"/>
                            <w:sz w:val="22"/>
                            <w:szCs w:val="22"/>
                          </w:rPr>
                          <w:t>建立标准化中医处方、门诊病历，制定2000种以上中药编码目录、300种以上饮片规格等级和非药物疗法编码</w:t>
                        </w:r>
                      </w:p>
                      <w:p>
                        <w:pPr>
                          <w:numPr>
                            <w:ilvl w:val="0"/>
                            <w:numId w:val="1"/>
                          </w:numPr>
                          <w:spacing w:line="260" w:lineRule="exact"/>
                          <w:rPr>
                            <w:rFonts w:ascii="楷体" w:hAnsi="楷体" w:eastAsia="楷体"/>
                            <w:color w:val="252525"/>
                            <w:sz w:val="22"/>
                            <w:szCs w:val="22"/>
                          </w:rPr>
                        </w:pPr>
                        <w:r>
                          <w:rPr>
                            <w:rFonts w:hint="eastAsia" w:ascii="楷体" w:hAnsi="楷体" w:eastAsia="楷体"/>
                            <w:color w:val="252525"/>
                            <w:sz w:val="22"/>
                            <w:szCs w:val="22"/>
                          </w:rPr>
                          <w:t>实现5大标准体系在省市主要医疗机构全面应用</w:t>
                        </w:r>
                      </w:p>
                      <w:p>
                        <w:pPr>
                          <w:spacing w:line="260" w:lineRule="exact"/>
                          <w:rPr>
                            <w:rFonts w:ascii="楷体" w:hAnsi="楷体" w:eastAsia="楷体"/>
                            <w:color w:val="252525"/>
                            <w:sz w:val="22"/>
                            <w:szCs w:val="22"/>
                          </w:rPr>
                        </w:pPr>
                      </w:p>
                    </w:txbxContent>
                  </v:textbox>
                </v:rect>
                <v:line id="_x0000_s1026" o:spid="_x0000_s1026" o:spt="20" style="position:absolute;left:9651733;top:628152;flip:x;height:432000;width:1;" filled="f" stroked="t" coordsize="21600,21600" o:gfxdata="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EA98UroAAADbAAAADwAAAAAAAAABACAAAAA4AAAAZHJzL2Rvd25yZXYueG1s&#10;UEsBAhQAFAAAAAgAh07iQDMvBZ47AAAAOQAAABAAAAAAAAAAAQAgAAAAHwEAAGRycy9zaGFwZXht&#10;bC54bWxQSwUGAAAAAAYABgBbAQAAyQMAAAAA&#10;">
                  <v:fill on="f" focussize="0,0"/>
                  <v:stroke weight="1pt" color="#262626" miterlimit="8" joinstyle="miter"/>
                  <v:imagedata o:title=""/>
                  <o:lock v:ext="edit" aspectratio="f"/>
                </v:line>
                <v:rect id="_x0000_s1026" o:spid="_x0000_s1026" o:spt="1" style="position:absolute;left:7221768;top:2367107;height:952453;width:4369127;v-text-anchor:middle;" fillcolor="#FFFFFF" filled="t" stroked="t" coordsize="21600,21600" o:gfxdata="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CkLCPC7AAAA2wAAAA8AAAAAAAAAAQAgAAAAOAAAAGRycy9kb3ducmV2Lnht&#10;bFBLAQIUABQAAAAIAIdO4kAzLwWeOwAAADkAAAAQAAAAAAAAAAEAIAAAACABAABkcnMvc2hhcGV4&#10;bWwueG1sUEsFBgAAAAAGAAYAWwEAAMoDAAAAAA==&#10;">
                  <v:fill on="t" focussize="0,0"/>
                  <v:stroke weight="1pt" color="#262626" miterlimit="8" joinstyle="miter"/>
                  <v:imagedata o:title=""/>
                  <o:lock v:ext="edit" aspectratio="f"/>
                  <v:textbox>
                    <w:txbxContent>
                      <w:p>
                        <w:pPr>
                          <w:numPr>
                            <w:ilvl w:val="0"/>
                            <w:numId w:val="2"/>
                          </w:numPr>
                          <w:spacing w:line="260" w:lineRule="exact"/>
                          <w:rPr>
                            <w:rFonts w:hint="eastAsia" w:ascii="楷体" w:hAnsi="楷体" w:eastAsia="楷体"/>
                            <w:color w:val="252525"/>
                            <w:sz w:val="22"/>
                            <w:szCs w:val="22"/>
                          </w:rPr>
                        </w:pPr>
                        <w:r>
                          <w:rPr>
                            <w:rFonts w:hint="eastAsia" w:ascii="楷体" w:hAnsi="楷体" w:eastAsia="楷体"/>
                            <w:color w:val="252525"/>
                            <w:sz w:val="22"/>
                            <w:szCs w:val="22"/>
                          </w:rPr>
                          <w:t>制定完成中医电子病历数据传输规范；建立省、市两级数据传输平台</w:t>
                        </w:r>
                      </w:p>
                      <w:p>
                        <w:pPr>
                          <w:numPr>
                            <w:ilvl w:val="0"/>
                            <w:numId w:val="2"/>
                          </w:numPr>
                          <w:spacing w:line="260" w:lineRule="exact"/>
                          <w:rPr>
                            <w:rFonts w:ascii="楷体" w:hAnsi="楷体" w:eastAsia="楷体"/>
                            <w:color w:val="252525"/>
                            <w:sz w:val="22"/>
                            <w:szCs w:val="22"/>
                          </w:rPr>
                        </w:pPr>
                        <w:r>
                          <w:rPr>
                            <w:rFonts w:hint="eastAsia" w:ascii="楷体" w:hAnsi="楷体" w:eastAsia="楷体"/>
                            <w:color w:val="252525"/>
                            <w:sz w:val="22"/>
                            <w:szCs w:val="22"/>
                          </w:rPr>
                          <w:t>省市主要医疗机构完成中医处方数据传输接口改造；</w:t>
                        </w:r>
                      </w:p>
                      <w:p>
                        <w:pPr>
                          <w:spacing w:line="260" w:lineRule="exact"/>
                          <w:rPr>
                            <w:rFonts w:ascii="楷体" w:hAnsi="楷体" w:eastAsia="楷体"/>
                            <w:color w:val="252525"/>
                            <w:sz w:val="22"/>
                            <w:szCs w:val="22"/>
                          </w:rPr>
                        </w:pPr>
                      </w:p>
                    </w:txbxContent>
                  </v:textbox>
                </v:rect>
                <v:rect id="_x0000_s1026" o:spid="_x0000_s1026" o:spt="1" style="position:absolute;left:7212622;top:3649425;height:918829;width:4370045;v-text-anchor:middle;" fillcolor="#FFFFFF" filled="t" stroked="t" coordsize="21600,21600" o:gfxdata="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EZHrWu7AAAA2wAAAA8AAAAAAAAAAQAgAAAAOAAAAGRycy9kb3ducmV2Lnht&#10;bFBLAQIUABQAAAAIAIdO4kAzLwWeOwAAADkAAAAQAAAAAAAAAAEAIAAAACABAABkcnMvc2hhcGV4&#10;bWwueG1sUEsFBgAAAAAGAAYAWwEAAMoDAAAAAA==&#10;">
                  <v:fill on="t" focussize="0,0"/>
                  <v:stroke weight="1pt" color="#262626" miterlimit="8" joinstyle="miter"/>
                  <v:imagedata o:title=""/>
                  <o:lock v:ext="edit" aspectratio="f"/>
                  <v:textbox>
                    <w:txbxContent>
                      <w:p>
                        <w:pPr>
                          <w:numPr>
                            <w:ilvl w:val="0"/>
                            <w:numId w:val="3"/>
                          </w:numPr>
                          <w:spacing w:line="260" w:lineRule="exact"/>
                          <w:rPr>
                            <w:rFonts w:hint="eastAsia" w:ascii="楷体" w:hAnsi="楷体" w:eastAsia="楷体"/>
                            <w:color w:val="252525"/>
                            <w:sz w:val="22"/>
                            <w:szCs w:val="22"/>
                          </w:rPr>
                        </w:pPr>
                        <w:r>
                          <w:rPr>
                            <w:rFonts w:hint="eastAsia" w:ascii="楷体" w:hAnsi="楷体" w:eastAsia="楷体"/>
                            <w:color w:val="252525"/>
                            <w:sz w:val="22"/>
                            <w:szCs w:val="22"/>
                          </w:rPr>
                          <w:t>建设区域医疗机构处方平台、提供云处方服务；</w:t>
                        </w:r>
                      </w:p>
                      <w:p>
                        <w:pPr>
                          <w:numPr>
                            <w:ilvl w:val="0"/>
                            <w:numId w:val="3"/>
                          </w:numPr>
                          <w:spacing w:line="260" w:lineRule="exact"/>
                          <w:rPr>
                            <w:rFonts w:ascii="楷体" w:hAnsi="楷体" w:eastAsia="楷体"/>
                            <w:color w:val="252525"/>
                            <w:sz w:val="22"/>
                            <w:szCs w:val="22"/>
                          </w:rPr>
                        </w:pPr>
                        <w:r>
                          <w:rPr>
                            <w:rFonts w:hint="eastAsia" w:ascii="楷体" w:hAnsi="楷体" w:eastAsia="楷体"/>
                            <w:color w:val="252525"/>
                            <w:sz w:val="22"/>
                            <w:szCs w:val="22"/>
                          </w:rPr>
                          <w:t>在全省开展改革试点，建设</w:t>
                        </w:r>
                        <w:r>
                          <w:rPr>
                            <w:rFonts w:ascii="楷体" w:hAnsi="楷体" w:eastAsia="楷体"/>
                            <w:color w:val="252525"/>
                            <w:sz w:val="22"/>
                            <w:szCs w:val="22"/>
                          </w:rPr>
                          <w:t>30</w:t>
                        </w:r>
                        <w:r>
                          <w:rPr>
                            <w:rFonts w:hint="eastAsia" w:ascii="楷体" w:hAnsi="楷体" w:eastAsia="楷体"/>
                            <w:color w:val="252525"/>
                            <w:sz w:val="22"/>
                            <w:szCs w:val="22"/>
                          </w:rPr>
                          <w:t>个创新应用场景</w:t>
                        </w:r>
                      </w:p>
                    </w:txbxContent>
                  </v:textbox>
                </v:rect>
                <v:rect id="_x0000_s1026" o:spid="_x0000_s1026" o:spt="1" style="position:absolute;left:7230505;top:4887613;height:936935;width:4335707;v-text-anchor:middle;" fillcolor="#FFFFFF" filled="t" stroked="t" coordsize="21600,21600" o:gfxdata="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2lTMcvAAAANsAAAAPAAAAAAAAAAEAIAAAADgAAABkcnMvZG93bnJldi54&#10;bWxQSwECFAAUAAAACACHTuJAMy8FnjsAAAA5AAAAEAAAAAAAAAABACAAAAAhAQAAZHJzL3NoYXBl&#10;eG1sLnhtbFBLBQYAAAAABgAGAFsBAADLAwAAAAA=&#10;">
                  <v:fill on="t" focussize="0,0"/>
                  <v:stroke weight="1pt" color="#262626" miterlimit="8" joinstyle="miter"/>
                  <v:imagedata o:title=""/>
                  <o:lock v:ext="edit" aspectratio="f"/>
                  <v:textbox>
                    <w:txbxContent>
                      <w:p>
                        <w:pPr>
                          <w:numPr>
                            <w:ilvl w:val="0"/>
                            <w:numId w:val="4"/>
                          </w:numPr>
                          <w:spacing w:line="260" w:lineRule="exact"/>
                          <w:rPr>
                            <w:rFonts w:hint="eastAsia" w:ascii="楷体" w:hAnsi="楷体" w:eastAsia="楷体"/>
                            <w:color w:val="252525"/>
                            <w:sz w:val="22"/>
                            <w:szCs w:val="22"/>
                          </w:rPr>
                        </w:pPr>
                        <w:r>
                          <w:rPr>
                            <w:rFonts w:hint="eastAsia" w:ascii="楷体" w:hAnsi="楷体" w:eastAsia="楷体"/>
                            <w:color w:val="252525"/>
                            <w:sz w:val="22"/>
                            <w:szCs w:val="22"/>
                          </w:rPr>
                          <w:t>建立全省中医处方实时监测指标体系和驾驶舱</w:t>
                        </w:r>
                      </w:p>
                      <w:p>
                        <w:pPr>
                          <w:numPr>
                            <w:ilvl w:val="0"/>
                            <w:numId w:val="4"/>
                          </w:numPr>
                          <w:spacing w:line="260" w:lineRule="exact"/>
                          <w:rPr>
                            <w:rFonts w:ascii="楷体" w:hAnsi="楷体" w:eastAsia="楷体"/>
                            <w:color w:val="252525"/>
                            <w:sz w:val="22"/>
                            <w:szCs w:val="22"/>
                          </w:rPr>
                        </w:pPr>
                        <w:r>
                          <w:rPr>
                            <w:rFonts w:hint="eastAsia" w:ascii="楷体" w:hAnsi="楷体" w:eastAsia="楷体"/>
                            <w:color w:val="252525"/>
                            <w:sz w:val="22"/>
                            <w:szCs w:val="22"/>
                          </w:rPr>
                          <w:t>建立中医药综合监管平台，开展在线监管与绩效评价。</w:t>
                        </w:r>
                      </w:p>
                    </w:txbxContent>
                  </v:textbox>
                </v:rect>
                <v:line id="_x0000_s1026" o:spid="_x0000_s1026" o:spt="20" style="position:absolute;left:6863012;top:1618612;flip:y;height:3;width:360001;" filled="f" stroked="t" coordsize="21600,21600" o:gfxdata="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5+aUZr0AAADbAAAADwAAAAAAAAABACAAAAA4AAAAZHJzL2Rvd25yZXYu&#10;eG1sUEsBAhQAFAAAAAgAh07iQDMvBZ47AAAAOQAAABAAAAAAAAAAAQAgAAAAIgEAAGRycy9zaGFw&#10;ZXhtbC54bWxQSwUGAAAAAAYABgBbAQAAzAMAAAAA&#10;">
                  <v:fill on="f" focussize="0,0"/>
                  <v:stroke weight="1.25pt" color="#262626" miterlimit="8" joinstyle="miter"/>
                  <v:imagedata o:title=""/>
                  <o:lock v:ext="edit" aspectratio="f"/>
                </v:line>
                <v:line id="_x0000_s1026" o:spid="_x0000_s1026" o:spt="20" style="position:absolute;left:6863012;top:2793023;flip:y;height:3;width:360001;" filled="f" stroked="t" coordsize="21600,21600" o:gfxdata="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lnkAFLoAAADbAAAADwAAAAAAAAABACAAAAA4AAAAZHJzL2Rvd25yZXYueG1s&#10;UEsBAhQAFAAAAAgAh07iQDMvBZ47AAAAOQAAABAAAAAAAAAAAQAgAAAAHwEAAGRycy9zaGFwZXht&#10;bC54bWxQSwUGAAAAAAYABgBbAQAAyQMAAAAA&#10;">
                  <v:fill on="f" focussize="0,0"/>
                  <v:stroke weight="1.25pt" color="#262626" miterlimit="8" joinstyle="miter"/>
                  <v:imagedata o:title=""/>
                  <o:lock v:ext="edit" aspectratio="f"/>
                </v:line>
                <v:line id="_x0000_s1026" o:spid="_x0000_s1026" o:spt="20" style="position:absolute;left:6863012;top:4059453;flip:y;height:3;width:360001;" filled="f" stroked="t" coordsize="21600,21600" o:gfxdata="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Wlj70AAADbAAAADwAAAAAAAAABACAAAAA4AAAAZHJzL2Rvd25yZXYu&#10;eG1sUEsBAhQAFAAAAAgAh07iQDMvBZ47AAAAOQAAABAAAAAAAAAAAQAgAAAAIgEAAGRycy9zaGFw&#10;ZXhtbC54bWxQSwUGAAAAAAYABgBbAQAAzAMAAAAA&#10;">
                  <v:fill on="f" focussize="0,0"/>
                  <v:stroke weight="1.25pt" color="#262626" miterlimit="8" joinstyle="miter"/>
                  <v:imagedata o:title=""/>
                  <o:lock v:ext="edit" aspectratio="f"/>
                </v:line>
                <v:line id="_x0000_s1026" o:spid="_x0000_s1026" o:spt="20" style="position:absolute;left:6863012;top:5325888;flip:y;height:3;width:360001;" filled="f" stroked="t" coordsize="21600,21600" o:gfxdata="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7daaz7oAAADbAAAADwAAAAAAAAABACAAAAA4AAAAZHJzL2Rvd25yZXYueG1s&#10;UEsBAhQAFAAAAAgAh07iQDMvBZ47AAAAOQAAABAAAAAAAAAAAQAgAAAAHwEAAGRycy9zaGFwZXht&#10;bC54bWxQSwUGAAAAAAYABgBbAQAAyQMAAAAA&#10;">
                  <v:fill on="f" focussize="0,0"/>
                  <v:stroke weight="1.25pt" color="#262626" miterlimit="8" joinstyle="miter"/>
                  <v:imagedata o:title=""/>
                  <o:lock v:ext="edit" aspectratio="f"/>
                </v:line>
              </v:group>
            </w:pict>
          </mc:Fallback>
        </mc:AlternateContent>
      </w:r>
    </w:p>
    <w:p>
      <w:pPr>
        <w:rPr>
          <w:rFonts w:eastAsia="方正仿宋_GBK"/>
          <w:sz w:val="32"/>
          <w:szCs w:val="32"/>
        </w:rPr>
        <w:sectPr>
          <w:pgSz w:w="16838" w:h="11906" w:orient="landscape"/>
          <w:pgMar w:top="1800" w:right="1440" w:bottom="1800" w:left="1440" w:header="851" w:footer="992" w:gutter="0"/>
          <w:cols w:space="720" w:num="1"/>
          <w:docGrid w:type="lines" w:linePitch="312" w:charSpace="0"/>
        </w:sect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sz w:val="18"/>
        <w:szCs w:val="18"/>
      </w:rPr>
    </w:pPr>
    <w:r>
      <w:rPr>
        <w:rStyle w:val="7"/>
        <w:rFonts w:hint="eastAsia" w:ascii="仿宋_GB2312" w:hAnsi="仿宋_GB2312" w:eastAsia="仿宋_GB2312" w:cs="仿宋_GB2312"/>
        <w:sz w:val="28"/>
        <w:szCs w:val="28"/>
      </w:rPr>
      <w:t>—</w:t>
    </w:r>
    <w:r>
      <w:rPr>
        <w:rStyle w:val="7"/>
        <w:rFonts w:ascii="宋体"/>
        <w:sz w:val="28"/>
        <w:szCs w:val="28"/>
      </w:rPr>
      <w:t xml:space="preserve"> </w:t>
    </w:r>
    <w:r>
      <w:rPr>
        <w:rStyle w:val="7"/>
        <w:rFonts w:ascii="宋体"/>
        <w:sz w:val="28"/>
        <w:szCs w:val="28"/>
      </w:rPr>
      <w:fldChar w:fldCharType="begin"/>
    </w:r>
    <w:r>
      <w:rPr>
        <w:rStyle w:val="7"/>
        <w:rFonts w:ascii="宋体"/>
        <w:sz w:val="28"/>
        <w:szCs w:val="28"/>
      </w:rPr>
      <w:instrText xml:space="preserve">PAGE  </w:instrText>
    </w:r>
    <w:r>
      <w:rPr>
        <w:rStyle w:val="7"/>
        <w:rFonts w:ascii="宋体"/>
        <w:sz w:val="28"/>
        <w:szCs w:val="28"/>
      </w:rPr>
      <w:fldChar w:fldCharType="separate"/>
    </w:r>
    <w:r>
      <w:rPr>
        <w:rStyle w:val="7"/>
        <w:rFonts w:ascii="宋体"/>
        <w:sz w:val="28"/>
        <w:szCs w:val="28"/>
      </w:rPr>
      <w:t>1</w:t>
    </w:r>
    <w:r>
      <w:rPr>
        <w:rStyle w:val="7"/>
        <w:rFonts w:ascii="宋体"/>
        <w:sz w:val="28"/>
        <w:szCs w:val="28"/>
      </w:rPr>
      <w:fldChar w:fldCharType="end"/>
    </w:r>
    <w:r>
      <w:rPr>
        <w:rStyle w:val="7"/>
        <w:rFonts w:ascii="宋体"/>
        <w:sz w:val="28"/>
        <w:szCs w:val="28"/>
      </w:rPr>
      <w:t xml:space="preserve"> </w:t>
    </w:r>
    <w:r>
      <w:rPr>
        <w:rStyle w:val="7"/>
        <w:rFonts w:hint="eastAsia" w:ascii="仿宋_GB2312" w:hAnsi="仿宋_GB2312" w:eastAsia="仿宋_GB2312" w:cs="仿宋_GB2312"/>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Style w:val="7"/>
        <w:rFonts w:hint="eastAsia" w:ascii="仿宋_GB2312" w:hAnsi="仿宋_GB2312" w:eastAsia="仿宋_GB2312" w:cs="仿宋_GB2312"/>
        <w:sz w:val="28"/>
        <w:szCs w:val="28"/>
      </w:rPr>
      <w:t>—</w:t>
    </w:r>
    <w:r>
      <w:rPr>
        <w:rStyle w:val="7"/>
        <w:rFonts w:ascii="宋体"/>
        <w:sz w:val="28"/>
        <w:szCs w:val="28"/>
      </w:rPr>
      <w:t xml:space="preserve"> </w:t>
    </w:r>
    <w:r>
      <w:rPr>
        <w:rStyle w:val="7"/>
        <w:rFonts w:ascii="宋体"/>
        <w:sz w:val="28"/>
        <w:szCs w:val="28"/>
      </w:rPr>
      <w:fldChar w:fldCharType="begin"/>
    </w:r>
    <w:r>
      <w:rPr>
        <w:rStyle w:val="7"/>
        <w:rFonts w:ascii="宋体"/>
        <w:sz w:val="28"/>
        <w:szCs w:val="28"/>
      </w:rPr>
      <w:instrText xml:space="preserve">PAGE  </w:instrText>
    </w:r>
    <w:r>
      <w:rPr>
        <w:rStyle w:val="7"/>
        <w:rFonts w:ascii="宋体"/>
        <w:sz w:val="28"/>
        <w:szCs w:val="28"/>
      </w:rPr>
      <w:fldChar w:fldCharType="separate"/>
    </w:r>
    <w:r>
      <w:rPr>
        <w:rStyle w:val="7"/>
        <w:rFonts w:ascii="宋体"/>
        <w:sz w:val="28"/>
        <w:szCs w:val="28"/>
      </w:rPr>
      <w:t>1</w:t>
    </w:r>
    <w:r>
      <w:rPr>
        <w:rStyle w:val="7"/>
        <w:rFonts w:ascii="宋体"/>
        <w:sz w:val="28"/>
        <w:szCs w:val="28"/>
      </w:rPr>
      <w:fldChar w:fldCharType="end"/>
    </w:r>
    <w:r>
      <w:rPr>
        <w:rStyle w:val="7"/>
        <w:rFonts w:ascii="宋体"/>
        <w:sz w:val="28"/>
        <w:szCs w:val="28"/>
      </w:rPr>
      <w:t xml:space="preserve"> </w:t>
    </w:r>
    <w:r>
      <w:rPr>
        <w:rStyle w:val="7"/>
        <w:rFonts w:hint="eastAsia" w:ascii="仿宋_GB2312" w:hAnsi="仿宋_GB2312" w:eastAsia="仿宋_GB2312" w:cs="仿宋_GB2312"/>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38D8335"/>
    <w:multiLevelType w:val="singleLevel"/>
    <w:tmpl w:val="A38D8335"/>
    <w:lvl w:ilvl="0" w:tentative="0">
      <w:start w:val="1"/>
      <w:numFmt w:val="decimal"/>
      <w:lvlText w:val="%1."/>
      <w:lvlJc w:val="left"/>
      <w:pPr>
        <w:tabs>
          <w:tab w:val="left" w:pos="312"/>
        </w:tabs>
      </w:pPr>
    </w:lvl>
  </w:abstractNum>
  <w:abstractNum w:abstractNumId="1">
    <w:nsid w:val="D7FF0FDC"/>
    <w:multiLevelType w:val="singleLevel"/>
    <w:tmpl w:val="D7FF0FDC"/>
    <w:lvl w:ilvl="0" w:tentative="0">
      <w:start w:val="1"/>
      <w:numFmt w:val="decimal"/>
      <w:lvlText w:val="%1."/>
      <w:lvlJc w:val="left"/>
      <w:pPr>
        <w:tabs>
          <w:tab w:val="left" w:pos="312"/>
        </w:tabs>
      </w:pPr>
    </w:lvl>
  </w:abstractNum>
  <w:abstractNum w:abstractNumId="2">
    <w:nsid w:val="DFFEF8C1"/>
    <w:multiLevelType w:val="singleLevel"/>
    <w:tmpl w:val="DFFEF8C1"/>
    <w:lvl w:ilvl="0" w:tentative="0">
      <w:start w:val="1"/>
      <w:numFmt w:val="decimal"/>
      <w:lvlText w:val="%1."/>
      <w:lvlJc w:val="left"/>
      <w:pPr>
        <w:tabs>
          <w:tab w:val="left" w:pos="312"/>
        </w:tabs>
      </w:pPr>
    </w:lvl>
  </w:abstractNum>
  <w:abstractNum w:abstractNumId="3">
    <w:nsid w:val="FFFFC5DF"/>
    <w:multiLevelType w:val="singleLevel"/>
    <w:tmpl w:val="FFFFC5DF"/>
    <w:lvl w:ilvl="0" w:tentative="0">
      <w:start w:val="1"/>
      <w:numFmt w:val="decimal"/>
      <w:suff w:val="space"/>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904722"/>
    <w:rsid w:val="3A9047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qFormat="1"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caption"/>
    <w:basedOn w:val="1"/>
    <w:next w:val="1"/>
    <w:qFormat/>
    <w:uiPriority w:val="0"/>
    <w:pPr>
      <w:widowControl w:val="0"/>
      <w:jc w:val="both"/>
    </w:pPr>
    <w:rPr>
      <w:rFonts w:ascii="Arial" w:hAnsi="Arial" w:eastAsia="黑体" w:cs="Arial"/>
      <w:kern w:val="2"/>
      <w:sz w:val="20"/>
      <w:szCs w:val="18"/>
      <w:lang w:val="en-US" w:eastAsia="zh-CN" w:bidi="ar-SA"/>
    </w:r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header"/>
    <w:basedOn w:val="1"/>
    <w:unhideWhenUsed/>
    <w:uiPriority w:val="99"/>
    <w:pPr>
      <w:pBdr>
        <w:bottom w:val="single" w:color="auto" w:sz="6" w:space="1"/>
      </w:pBdr>
      <w:tabs>
        <w:tab w:val="center" w:pos="4153"/>
        <w:tab w:val="right" w:pos="8306"/>
      </w:tabs>
      <w:snapToGrid w:val="0"/>
      <w:jc w:val="center"/>
    </w:pPr>
    <w:rPr>
      <w:sz w:val="18"/>
      <w:szCs w:val="18"/>
    </w:rPr>
  </w:style>
  <w:style w:type="character" w:styleId="7">
    <w:name w:val="page number"/>
    <w:qFormat/>
    <w:uiPriority w:val="0"/>
  </w:style>
  <w:style w:type="paragraph" w:styleId="8">
    <w:name w:val="List Paragraph"/>
    <w:qFormat/>
    <w:uiPriority w:val="99"/>
    <w:pPr>
      <w:widowControl w:val="0"/>
      <w:ind w:firstLine="420" w:firstLineChars="200"/>
      <w:jc w:val="both"/>
    </w:pPr>
    <w:rPr>
      <w:rFonts w:ascii="Times New Roman" w:hAnsi="Times New Roman" w:eastAsia="宋体" w:cs="Times New Roman"/>
      <w:kern w:val="2"/>
      <w:sz w:val="18"/>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2022-06-30T01:27:00Z</dcterms:created>
  <dc:creator>admin</dc:creator>
  <cp:lastModifiedBy>admin</cp:lastModifiedBy>
  <dcterms:modified xsi:type="dcterms:W3CDTF">2022-06-30T01:28:30Z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