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580" w:lineRule="exact"/>
        <w:rPr>
          <w:rFonts w:eastAsia="黑体"/>
          <w:bCs/>
          <w:sz w:val="32"/>
          <w:szCs w:val="32"/>
        </w:rPr>
      </w:pPr>
      <w:r>
        <w:rPr>
          <w:rFonts w:eastAsia="黑体"/>
          <w:bCs/>
          <w:sz w:val="32"/>
          <w:szCs w:val="32"/>
        </w:rPr>
        <w:t>附件2</w:t>
      </w:r>
    </w:p>
    <w:p>
      <w:pPr>
        <w:jc w:val="center"/>
        <w:rPr>
          <w:rFonts w:eastAsia="方正小标宋简体"/>
          <w:sz w:val="44"/>
          <w:szCs w:val="44"/>
        </w:rPr>
      </w:pPr>
    </w:p>
    <w:p>
      <w:pPr>
        <w:jc w:val="center"/>
        <w:rPr>
          <w:rFonts w:eastAsia="方正小标宋简体"/>
          <w:sz w:val="44"/>
          <w:szCs w:val="44"/>
        </w:rPr>
      </w:pPr>
      <w:r>
        <w:rPr>
          <w:rFonts w:eastAsia="方正小标宋简体"/>
          <w:sz w:val="44"/>
          <w:szCs w:val="44"/>
        </w:rPr>
        <w:t>用人单位职业病危害暴露风险分级方法</w:t>
      </w:r>
    </w:p>
    <w:p>
      <w:pPr>
        <w:jc w:val="center"/>
        <w:rPr>
          <w:rFonts w:eastAsia="方正小标宋简体"/>
          <w:sz w:val="44"/>
          <w:szCs w:val="44"/>
        </w:rPr>
      </w:pPr>
    </w:p>
    <w:p>
      <w:pPr>
        <w:adjustRightInd w:val="0"/>
        <w:snapToGrid w:val="0"/>
        <w:spacing w:line="580" w:lineRule="exact"/>
        <w:ind w:firstLine="640" w:firstLineChars="200"/>
        <w:rPr>
          <w:rFonts w:eastAsia="仿宋_GB2312"/>
          <w:bCs/>
          <w:spacing w:val="-6"/>
          <w:sz w:val="32"/>
          <w:szCs w:val="32"/>
        </w:rPr>
      </w:pPr>
      <w:r>
        <w:rPr>
          <w:rFonts w:eastAsia="仿宋_GB2312"/>
          <w:bCs/>
          <w:sz w:val="32"/>
          <w:szCs w:val="32"/>
        </w:rPr>
        <w:t>用人单位职业病危害暴露风险根据劳动者接触职业病</w:t>
      </w:r>
      <w:r>
        <w:rPr>
          <w:rFonts w:eastAsia="仿宋_GB2312"/>
          <w:bCs/>
          <w:spacing w:val="-6"/>
          <w:sz w:val="32"/>
          <w:szCs w:val="32"/>
        </w:rPr>
        <w:t>危害因素的性质、暴露水平、暴露人群大小3个指标进行判定。</w:t>
      </w:r>
    </w:p>
    <w:p>
      <w:pPr>
        <w:adjustRightInd w:val="0"/>
        <w:snapToGrid w:val="0"/>
        <w:spacing w:line="580" w:lineRule="exact"/>
        <w:ind w:firstLine="640" w:firstLineChars="200"/>
        <w:rPr>
          <w:rFonts w:eastAsia="黑体"/>
          <w:bCs/>
          <w:sz w:val="32"/>
          <w:szCs w:val="32"/>
        </w:rPr>
      </w:pPr>
      <w:r>
        <w:rPr>
          <w:rFonts w:eastAsia="黑体"/>
          <w:bCs/>
          <w:sz w:val="32"/>
          <w:szCs w:val="32"/>
        </w:rPr>
        <w:t>一、指标界定</w:t>
      </w:r>
    </w:p>
    <w:p>
      <w:pPr>
        <w:adjustRightInd w:val="0"/>
        <w:snapToGrid w:val="0"/>
        <w:spacing w:line="580" w:lineRule="exact"/>
        <w:ind w:firstLine="640" w:firstLineChars="200"/>
        <w:rPr>
          <w:rFonts w:eastAsia="仿宋_GB2312"/>
          <w:bCs/>
          <w:sz w:val="32"/>
          <w:szCs w:val="32"/>
        </w:rPr>
      </w:pPr>
      <w:r>
        <w:rPr>
          <w:rFonts w:eastAsia="仿宋_GB2312"/>
          <w:bCs/>
          <w:sz w:val="32"/>
          <w:szCs w:val="32"/>
        </w:rPr>
        <w:t>1.职业病危害因素的性质分为严重职业病危害因素和一般职业病危害因素。</w:t>
      </w:r>
    </w:p>
    <w:p>
      <w:pPr>
        <w:adjustRightInd w:val="0"/>
        <w:snapToGrid w:val="0"/>
        <w:spacing w:line="580" w:lineRule="exact"/>
        <w:ind w:firstLine="640" w:firstLineChars="200"/>
        <w:rPr>
          <w:rFonts w:eastAsia="仿宋_GB2312"/>
          <w:bCs/>
          <w:sz w:val="32"/>
          <w:szCs w:val="32"/>
        </w:rPr>
      </w:pPr>
      <w:r>
        <w:rPr>
          <w:rFonts w:eastAsia="仿宋_GB2312"/>
          <w:bCs/>
          <w:sz w:val="32"/>
          <w:szCs w:val="32"/>
        </w:rPr>
        <w:t>严重职业病危害因素包括以下内容：</w:t>
      </w:r>
    </w:p>
    <w:p>
      <w:pPr>
        <w:adjustRightInd w:val="0"/>
        <w:snapToGrid w:val="0"/>
        <w:spacing w:line="580" w:lineRule="exact"/>
        <w:ind w:firstLine="640" w:firstLineChars="200"/>
        <w:rPr>
          <w:rFonts w:eastAsia="仿宋_GB2312"/>
          <w:bCs/>
          <w:sz w:val="32"/>
          <w:szCs w:val="32"/>
        </w:rPr>
      </w:pPr>
      <w:r>
        <w:rPr>
          <w:rFonts w:eastAsia="仿宋_GB2312"/>
          <w:bCs/>
          <w:sz w:val="32"/>
          <w:szCs w:val="32"/>
        </w:rPr>
        <w:t>①《高毒物品目录》所列职业病危害因素；</w:t>
      </w:r>
    </w:p>
    <w:p>
      <w:pPr>
        <w:adjustRightInd w:val="0"/>
        <w:snapToGrid w:val="0"/>
        <w:spacing w:line="580" w:lineRule="exact"/>
        <w:ind w:firstLine="640" w:firstLineChars="200"/>
        <w:rPr>
          <w:rFonts w:eastAsia="仿宋_GB2312"/>
          <w:bCs/>
          <w:sz w:val="32"/>
          <w:szCs w:val="32"/>
        </w:rPr>
      </w:pPr>
      <w:r>
        <w:rPr>
          <w:rFonts w:eastAsia="仿宋_GB2312"/>
          <w:bCs/>
          <w:sz w:val="32"/>
          <w:szCs w:val="32"/>
        </w:rPr>
        <w:t>②石棉纤维粉尘、游离二氧化硅含量10%以上粉尘；</w:t>
      </w:r>
    </w:p>
    <w:p>
      <w:pPr>
        <w:adjustRightInd w:val="0"/>
        <w:snapToGrid w:val="0"/>
        <w:spacing w:line="580" w:lineRule="exact"/>
        <w:ind w:firstLine="640" w:firstLineChars="200"/>
        <w:rPr>
          <w:rFonts w:eastAsia="仿宋_GB2312"/>
          <w:bCs/>
          <w:sz w:val="32"/>
          <w:szCs w:val="32"/>
        </w:rPr>
      </w:pPr>
      <w:r>
        <w:rPr>
          <w:rFonts w:eastAsia="仿宋_GB2312"/>
          <w:bCs/>
          <w:sz w:val="32"/>
          <w:szCs w:val="32"/>
        </w:rPr>
        <w:t>③确认人类致癌物；</w:t>
      </w:r>
    </w:p>
    <w:p>
      <w:pPr>
        <w:adjustRightInd w:val="0"/>
        <w:snapToGrid w:val="0"/>
        <w:spacing w:line="580" w:lineRule="exact"/>
        <w:ind w:firstLine="640" w:firstLineChars="200"/>
        <w:rPr>
          <w:rFonts w:eastAsia="仿宋_GB2312"/>
          <w:bCs/>
          <w:sz w:val="32"/>
          <w:szCs w:val="32"/>
        </w:rPr>
      </w:pPr>
      <w:r>
        <w:rPr>
          <w:rFonts w:eastAsia="仿宋_GB2312"/>
          <w:bCs/>
          <w:sz w:val="32"/>
          <w:szCs w:val="32"/>
        </w:rPr>
        <w:t>④电离辐射（除外Ⅲ类射线装置、Ⅳ类和Ⅴ类密封源、丙级非密封源工作场所及予以豁免的实践或源）；</w:t>
      </w:r>
    </w:p>
    <w:p>
      <w:pPr>
        <w:adjustRightInd w:val="0"/>
        <w:snapToGrid w:val="0"/>
        <w:spacing w:line="580" w:lineRule="exact"/>
        <w:ind w:firstLine="640" w:firstLineChars="200"/>
        <w:rPr>
          <w:rFonts w:eastAsia="仿宋_GB2312"/>
          <w:bCs/>
          <w:sz w:val="32"/>
          <w:szCs w:val="32"/>
        </w:rPr>
      </w:pPr>
      <w:r>
        <w:rPr>
          <w:rFonts w:eastAsia="仿宋_GB2312"/>
          <w:bCs/>
          <w:sz w:val="32"/>
          <w:szCs w:val="32"/>
        </w:rPr>
        <w:t>⑤卫生健康主管部门规定的其他应列入严重职业病危害因素范围的。</w:t>
      </w:r>
    </w:p>
    <w:p>
      <w:pPr>
        <w:adjustRightInd w:val="0"/>
        <w:snapToGrid w:val="0"/>
        <w:spacing w:line="580" w:lineRule="exact"/>
        <w:ind w:firstLine="640" w:firstLineChars="200"/>
        <w:rPr>
          <w:rFonts w:eastAsia="仿宋_GB2312"/>
          <w:bCs/>
          <w:sz w:val="32"/>
          <w:szCs w:val="32"/>
        </w:rPr>
      </w:pPr>
      <w:r>
        <w:rPr>
          <w:rFonts w:eastAsia="仿宋_GB2312"/>
          <w:bCs/>
          <w:sz w:val="32"/>
          <w:szCs w:val="32"/>
        </w:rPr>
        <w:t>上述严重职业病危害因素以外的其他职业病危害因素为一般职业病危害因素。</w:t>
      </w:r>
    </w:p>
    <w:p>
      <w:pPr>
        <w:adjustRightInd w:val="0"/>
        <w:snapToGrid w:val="0"/>
        <w:spacing w:line="580" w:lineRule="exact"/>
        <w:ind w:firstLine="640" w:firstLineChars="200"/>
        <w:rPr>
          <w:rFonts w:eastAsia="仿宋_GB2312"/>
          <w:bCs/>
          <w:sz w:val="32"/>
          <w:szCs w:val="32"/>
        </w:rPr>
      </w:pPr>
      <w:r>
        <w:rPr>
          <w:rFonts w:eastAsia="仿宋_GB2312"/>
          <w:bCs/>
          <w:sz w:val="32"/>
          <w:szCs w:val="32"/>
        </w:rPr>
        <w:t>2.职业病危害因素暴露水平分为超标和不超标。</w:t>
      </w:r>
    </w:p>
    <w:p>
      <w:pPr>
        <w:adjustRightInd w:val="0"/>
        <w:snapToGrid w:val="0"/>
        <w:spacing w:line="580" w:lineRule="exact"/>
        <w:ind w:firstLine="640" w:firstLineChars="200"/>
        <w:rPr>
          <w:rFonts w:eastAsia="仿宋_GB2312"/>
          <w:bCs/>
          <w:sz w:val="32"/>
          <w:szCs w:val="32"/>
        </w:rPr>
      </w:pPr>
      <w:r>
        <w:rPr>
          <w:rFonts w:eastAsia="仿宋_GB2312"/>
          <w:bCs/>
          <w:sz w:val="32"/>
          <w:szCs w:val="32"/>
        </w:rPr>
        <w:t>3.职业病危害暴露人群分三类，分别为接触人数9人及以下、10-49人和50人及以上。</w:t>
      </w:r>
    </w:p>
    <w:p>
      <w:pPr>
        <w:adjustRightInd w:val="0"/>
        <w:snapToGrid w:val="0"/>
        <w:spacing w:line="580" w:lineRule="exact"/>
        <w:ind w:firstLine="640" w:firstLineChars="200"/>
        <w:rPr>
          <w:rFonts w:eastAsia="黑体"/>
          <w:bCs/>
          <w:sz w:val="32"/>
          <w:szCs w:val="32"/>
        </w:rPr>
      </w:pPr>
      <w:r>
        <w:rPr>
          <w:rFonts w:eastAsia="黑体"/>
          <w:bCs/>
          <w:sz w:val="32"/>
          <w:szCs w:val="32"/>
        </w:rPr>
        <w:t>二、暴露风险分级</w:t>
      </w:r>
    </w:p>
    <w:p>
      <w:pPr>
        <w:adjustRightInd w:val="0"/>
        <w:snapToGrid w:val="0"/>
        <w:spacing w:line="580" w:lineRule="exact"/>
        <w:ind w:firstLine="640" w:firstLineChars="200"/>
        <w:rPr>
          <w:rFonts w:eastAsia="仿宋"/>
          <w:bCs/>
          <w:sz w:val="32"/>
          <w:szCs w:val="32"/>
        </w:rPr>
      </w:pPr>
      <w:r>
        <w:rPr>
          <w:rFonts w:eastAsia="仿宋"/>
          <w:bCs/>
          <w:sz w:val="32"/>
          <w:szCs w:val="32"/>
        </w:rPr>
        <w:t>用人单位按照《用人单位职业病危害暴露风险分级》（见附表），将用人单位职业病危害暴露风险分Ⅰ级、Ⅱ级、Ⅲ级，Ⅰ级风险最低，Ⅲ级风险最高。</w:t>
      </w:r>
    </w:p>
    <w:p>
      <w:pPr>
        <w:spacing w:line="540" w:lineRule="exact"/>
        <w:jc w:val="center"/>
        <w:rPr>
          <w:rFonts w:hint="eastAsia" w:ascii="黑体" w:hAnsi="黑体" w:eastAsia="黑体" w:cs="黑体"/>
          <w:b/>
          <w:bCs/>
          <w:sz w:val="28"/>
          <w:szCs w:val="28"/>
        </w:rPr>
      </w:pPr>
      <w:r>
        <w:rPr>
          <w:rFonts w:hint="eastAsia" w:ascii="黑体" w:hAnsi="黑体" w:eastAsia="黑体" w:cs="黑体"/>
          <w:sz w:val="28"/>
          <w:szCs w:val="28"/>
        </w:rPr>
        <w:t>附表2-1 用人单位职业病危害暴露风险分级</w:t>
      </w:r>
    </w:p>
    <w:tbl>
      <w:tblPr>
        <w:tblStyle w:val="4"/>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215"/>
        <w:gridCol w:w="1756"/>
        <w:gridCol w:w="1754"/>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1859" w:type="dxa"/>
            <w:vMerge w:val="restart"/>
            <w:noWrap w:val="0"/>
            <w:vAlign w:val="center"/>
          </w:tcPr>
          <w:p>
            <w:pPr>
              <w:jc w:val="center"/>
              <w:rPr>
                <w:rFonts w:hint="eastAsia" w:ascii="黑体" w:hAnsi="黑体" w:eastAsia="黑体" w:cs="黑体"/>
                <w:bCs/>
                <w:sz w:val="24"/>
                <w:lang w:bidi="ar"/>
              </w:rPr>
            </w:pPr>
            <w:r>
              <w:rPr>
                <w:rFonts w:hint="eastAsia" w:ascii="黑体" w:hAnsi="黑体" w:eastAsia="黑体" w:cs="黑体"/>
                <w:bCs/>
                <w:sz w:val="24"/>
                <w:lang w:bidi="ar"/>
              </w:rPr>
              <w:t>职业病危害</w:t>
            </w:r>
          </w:p>
          <w:p>
            <w:pPr>
              <w:jc w:val="center"/>
              <w:rPr>
                <w:rFonts w:hint="eastAsia" w:ascii="黑体" w:hAnsi="黑体" w:eastAsia="黑体" w:cs="黑体"/>
                <w:bCs/>
                <w:sz w:val="24"/>
              </w:rPr>
            </w:pPr>
            <w:r>
              <w:rPr>
                <w:rFonts w:hint="eastAsia" w:ascii="黑体" w:hAnsi="黑体" w:eastAsia="黑体" w:cs="黑体"/>
                <w:bCs/>
                <w:sz w:val="24"/>
                <w:lang w:bidi="ar"/>
              </w:rPr>
              <w:t>因素性质</w:t>
            </w:r>
          </w:p>
        </w:tc>
        <w:tc>
          <w:tcPr>
            <w:tcW w:w="1215" w:type="dxa"/>
            <w:vMerge w:val="restart"/>
            <w:noWrap w:val="0"/>
            <w:vAlign w:val="center"/>
          </w:tcPr>
          <w:p>
            <w:pPr>
              <w:jc w:val="center"/>
              <w:rPr>
                <w:rFonts w:hint="eastAsia" w:ascii="黑体" w:hAnsi="黑体" w:eastAsia="黑体" w:cs="黑体"/>
                <w:bCs/>
                <w:sz w:val="24"/>
              </w:rPr>
            </w:pPr>
            <w:r>
              <w:rPr>
                <w:rFonts w:hint="eastAsia" w:ascii="黑体" w:hAnsi="黑体" w:eastAsia="黑体" w:cs="黑体"/>
                <w:bCs/>
                <w:sz w:val="24"/>
                <w:lang w:bidi="ar"/>
              </w:rPr>
              <w:t>暴露水平</w:t>
            </w:r>
          </w:p>
        </w:tc>
        <w:tc>
          <w:tcPr>
            <w:tcW w:w="5448" w:type="dxa"/>
            <w:gridSpan w:val="3"/>
            <w:noWrap w:val="0"/>
            <w:vAlign w:val="center"/>
          </w:tcPr>
          <w:p>
            <w:pPr>
              <w:jc w:val="center"/>
              <w:rPr>
                <w:rFonts w:hint="eastAsia" w:ascii="黑体" w:hAnsi="黑体" w:eastAsia="黑体" w:cs="黑体"/>
                <w:bCs/>
                <w:sz w:val="24"/>
              </w:rPr>
            </w:pPr>
            <w:r>
              <w:rPr>
                <w:rFonts w:hint="eastAsia" w:ascii="黑体" w:hAnsi="黑体" w:eastAsia="黑体" w:cs="黑体"/>
                <w:bCs/>
                <w:sz w:val="24"/>
                <w:lang w:bidi="ar"/>
              </w:rPr>
              <w:t>暴露人数（人）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1859" w:type="dxa"/>
            <w:vMerge w:val="continue"/>
            <w:noWrap w:val="0"/>
            <w:vAlign w:val="center"/>
          </w:tcPr>
          <w:p>
            <w:pPr>
              <w:rPr>
                <w:rFonts w:hint="eastAsia" w:ascii="黑体" w:hAnsi="黑体" w:eastAsia="黑体" w:cs="黑体"/>
                <w:bCs/>
                <w:sz w:val="24"/>
              </w:rPr>
            </w:pPr>
          </w:p>
        </w:tc>
        <w:tc>
          <w:tcPr>
            <w:tcW w:w="1215" w:type="dxa"/>
            <w:vMerge w:val="continue"/>
            <w:noWrap w:val="0"/>
            <w:vAlign w:val="center"/>
          </w:tcPr>
          <w:p>
            <w:pPr>
              <w:rPr>
                <w:rFonts w:hint="eastAsia" w:ascii="黑体" w:hAnsi="黑体" w:eastAsia="黑体" w:cs="黑体"/>
                <w:bCs/>
                <w:sz w:val="24"/>
              </w:rPr>
            </w:pPr>
          </w:p>
        </w:tc>
        <w:tc>
          <w:tcPr>
            <w:tcW w:w="1756" w:type="dxa"/>
            <w:noWrap w:val="0"/>
            <w:vAlign w:val="center"/>
          </w:tcPr>
          <w:p>
            <w:pPr>
              <w:jc w:val="center"/>
              <w:rPr>
                <w:rFonts w:hint="eastAsia" w:ascii="黑体" w:hAnsi="黑体" w:eastAsia="黑体" w:cs="黑体"/>
                <w:bCs/>
                <w:sz w:val="24"/>
              </w:rPr>
            </w:pPr>
            <w:r>
              <w:rPr>
                <w:rFonts w:hint="eastAsia" w:ascii="黑体" w:hAnsi="黑体" w:eastAsia="黑体" w:cs="黑体"/>
                <w:bCs/>
                <w:sz w:val="24"/>
                <w:lang w:bidi="ar"/>
              </w:rPr>
              <w:t>≤9</w:t>
            </w:r>
          </w:p>
        </w:tc>
        <w:tc>
          <w:tcPr>
            <w:tcW w:w="1754" w:type="dxa"/>
            <w:noWrap w:val="0"/>
            <w:vAlign w:val="center"/>
          </w:tcPr>
          <w:p>
            <w:pPr>
              <w:jc w:val="center"/>
              <w:rPr>
                <w:rFonts w:hint="eastAsia" w:ascii="黑体" w:hAnsi="黑体" w:eastAsia="黑体" w:cs="黑体"/>
                <w:bCs/>
                <w:sz w:val="24"/>
              </w:rPr>
            </w:pPr>
            <w:r>
              <w:rPr>
                <w:rFonts w:hint="eastAsia" w:ascii="黑体" w:hAnsi="黑体" w:eastAsia="黑体" w:cs="黑体"/>
                <w:bCs/>
                <w:sz w:val="24"/>
                <w:lang w:bidi="ar"/>
              </w:rPr>
              <w:t>10~49</w:t>
            </w:r>
          </w:p>
        </w:tc>
        <w:tc>
          <w:tcPr>
            <w:tcW w:w="1938" w:type="dxa"/>
            <w:noWrap w:val="0"/>
            <w:vAlign w:val="center"/>
          </w:tcPr>
          <w:p>
            <w:pPr>
              <w:jc w:val="center"/>
              <w:rPr>
                <w:rFonts w:hint="eastAsia" w:ascii="黑体" w:hAnsi="黑体" w:eastAsia="黑体" w:cs="黑体"/>
                <w:bCs/>
                <w:sz w:val="24"/>
              </w:rPr>
            </w:pPr>
            <w:r>
              <w:rPr>
                <w:rFonts w:hint="eastAsia" w:ascii="黑体" w:hAnsi="黑体" w:eastAsia="黑体" w:cs="黑体"/>
                <w:bCs/>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59" w:type="dxa"/>
            <w:vMerge w:val="restart"/>
            <w:shd w:val="clear" w:color="auto" w:fill="auto"/>
            <w:noWrap w:val="0"/>
            <w:vAlign w:val="center"/>
          </w:tcPr>
          <w:p>
            <w:pPr>
              <w:jc w:val="center"/>
              <w:rPr>
                <w:rFonts w:eastAsia="仿宋_GB2312"/>
                <w:sz w:val="24"/>
              </w:rPr>
            </w:pPr>
            <w:r>
              <w:rPr>
                <w:rFonts w:eastAsia="仿宋_GB2312"/>
                <w:sz w:val="24"/>
                <w:lang w:bidi="ar"/>
              </w:rPr>
              <w:t>一般职业病</w:t>
            </w:r>
          </w:p>
          <w:p>
            <w:pPr>
              <w:jc w:val="center"/>
              <w:rPr>
                <w:rFonts w:eastAsia="仿宋_GB2312"/>
                <w:sz w:val="24"/>
              </w:rPr>
            </w:pPr>
            <w:r>
              <w:rPr>
                <w:rFonts w:eastAsia="仿宋_GB2312"/>
                <w:sz w:val="24"/>
                <w:lang w:bidi="ar"/>
              </w:rPr>
              <w:t>危害因素</w:t>
            </w:r>
          </w:p>
        </w:tc>
        <w:tc>
          <w:tcPr>
            <w:tcW w:w="1215" w:type="dxa"/>
            <w:shd w:val="clear" w:color="auto" w:fill="auto"/>
            <w:noWrap w:val="0"/>
            <w:vAlign w:val="center"/>
          </w:tcPr>
          <w:p>
            <w:pPr>
              <w:jc w:val="center"/>
              <w:rPr>
                <w:rFonts w:eastAsia="仿宋_GB2312"/>
                <w:sz w:val="24"/>
              </w:rPr>
            </w:pPr>
            <w:r>
              <w:rPr>
                <w:rFonts w:eastAsia="仿宋_GB2312"/>
                <w:sz w:val="24"/>
                <w:lang w:bidi="ar"/>
              </w:rPr>
              <w:t>不超标</w:t>
            </w:r>
          </w:p>
        </w:tc>
        <w:tc>
          <w:tcPr>
            <w:tcW w:w="1756" w:type="dxa"/>
            <w:shd w:val="clear" w:color="auto" w:fill="92D050"/>
            <w:noWrap w:val="0"/>
            <w:vAlign w:val="center"/>
          </w:tcPr>
          <w:p>
            <w:pPr>
              <w:jc w:val="center"/>
              <w:rPr>
                <w:rFonts w:eastAsia="仿宋_GB2312"/>
                <w:sz w:val="24"/>
              </w:rPr>
            </w:pPr>
            <w:r>
              <w:rPr>
                <w:rFonts w:eastAsia="仿宋_GB2312"/>
                <w:sz w:val="24"/>
                <w:lang w:bidi="ar"/>
              </w:rPr>
              <w:t>Ⅰ级</w:t>
            </w:r>
          </w:p>
        </w:tc>
        <w:tc>
          <w:tcPr>
            <w:tcW w:w="1754" w:type="dxa"/>
            <w:shd w:val="clear" w:color="auto" w:fill="92D050"/>
            <w:noWrap w:val="0"/>
            <w:vAlign w:val="center"/>
          </w:tcPr>
          <w:p>
            <w:pPr>
              <w:jc w:val="center"/>
              <w:rPr>
                <w:rFonts w:eastAsia="仿宋_GB2312"/>
                <w:sz w:val="24"/>
              </w:rPr>
            </w:pPr>
            <w:r>
              <w:rPr>
                <w:rFonts w:eastAsia="仿宋_GB2312"/>
                <w:sz w:val="24"/>
                <w:lang w:bidi="ar"/>
              </w:rPr>
              <w:t>Ⅰ级</w:t>
            </w:r>
          </w:p>
        </w:tc>
        <w:tc>
          <w:tcPr>
            <w:tcW w:w="1938" w:type="dxa"/>
            <w:shd w:val="clear" w:color="auto" w:fill="92D050"/>
            <w:noWrap w:val="0"/>
            <w:vAlign w:val="center"/>
          </w:tcPr>
          <w:p>
            <w:pPr>
              <w:jc w:val="center"/>
              <w:rPr>
                <w:rFonts w:eastAsia="仿宋_GB2312"/>
                <w:sz w:val="24"/>
              </w:rPr>
            </w:pPr>
            <w:r>
              <w:rPr>
                <w:rFonts w:eastAsia="仿宋_GB2312"/>
                <w:sz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59" w:type="dxa"/>
            <w:vMerge w:val="continue"/>
            <w:shd w:val="clear" w:color="auto" w:fill="auto"/>
            <w:noWrap w:val="0"/>
            <w:vAlign w:val="center"/>
          </w:tcPr>
          <w:p>
            <w:pPr>
              <w:rPr>
                <w:rFonts w:eastAsia="仿宋_GB2312"/>
                <w:sz w:val="24"/>
              </w:rPr>
            </w:pPr>
          </w:p>
        </w:tc>
        <w:tc>
          <w:tcPr>
            <w:tcW w:w="1215" w:type="dxa"/>
            <w:shd w:val="clear" w:color="auto" w:fill="auto"/>
            <w:noWrap w:val="0"/>
            <w:vAlign w:val="center"/>
          </w:tcPr>
          <w:p>
            <w:pPr>
              <w:jc w:val="center"/>
              <w:rPr>
                <w:rFonts w:eastAsia="仿宋_GB2312"/>
                <w:sz w:val="24"/>
              </w:rPr>
            </w:pPr>
            <w:r>
              <w:rPr>
                <w:rFonts w:eastAsia="仿宋_GB2312"/>
                <w:sz w:val="24"/>
                <w:lang w:bidi="ar"/>
              </w:rPr>
              <w:t>超标</w:t>
            </w:r>
          </w:p>
        </w:tc>
        <w:tc>
          <w:tcPr>
            <w:tcW w:w="1756" w:type="dxa"/>
            <w:shd w:val="clear" w:color="auto" w:fill="92D050"/>
            <w:noWrap w:val="0"/>
            <w:vAlign w:val="center"/>
          </w:tcPr>
          <w:p>
            <w:pPr>
              <w:jc w:val="center"/>
              <w:rPr>
                <w:rFonts w:eastAsia="仿宋_GB2312"/>
                <w:sz w:val="24"/>
              </w:rPr>
            </w:pPr>
            <w:r>
              <w:rPr>
                <w:rFonts w:eastAsia="仿宋_GB2312"/>
                <w:sz w:val="24"/>
                <w:lang w:bidi="ar"/>
              </w:rPr>
              <w:t>Ⅰ级</w:t>
            </w:r>
          </w:p>
        </w:tc>
        <w:tc>
          <w:tcPr>
            <w:tcW w:w="1754" w:type="dxa"/>
            <w:shd w:val="clear" w:color="auto" w:fill="FFC000"/>
            <w:noWrap w:val="0"/>
            <w:vAlign w:val="center"/>
          </w:tcPr>
          <w:p>
            <w:pPr>
              <w:jc w:val="center"/>
              <w:rPr>
                <w:rFonts w:eastAsia="仿宋_GB2312"/>
                <w:sz w:val="24"/>
              </w:rPr>
            </w:pPr>
            <w:r>
              <w:rPr>
                <w:rFonts w:eastAsia="仿宋_GB2312"/>
                <w:sz w:val="24"/>
              </w:rPr>
              <w:t>Ⅱ级</w:t>
            </w:r>
          </w:p>
        </w:tc>
        <w:tc>
          <w:tcPr>
            <w:tcW w:w="1938" w:type="dxa"/>
            <w:shd w:val="clear" w:color="auto" w:fill="FF0000"/>
            <w:noWrap w:val="0"/>
            <w:vAlign w:val="center"/>
          </w:tcPr>
          <w:p>
            <w:pPr>
              <w:jc w:val="center"/>
              <w:rPr>
                <w:rFonts w:eastAsia="仿宋_GB2312"/>
                <w:sz w:val="24"/>
              </w:rPr>
            </w:pPr>
            <w:r>
              <w:rPr>
                <w:rFonts w:eastAsia="仿宋_GB2312"/>
                <w:sz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59" w:type="dxa"/>
            <w:vMerge w:val="restart"/>
            <w:shd w:val="clear" w:color="auto" w:fill="auto"/>
            <w:noWrap w:val="0"/>
            <w:vAlign w:val="center"/>
          </w:tcPr>
          <w:p>
            <w:pPr>
              <w:jc w:val="center"/>
              <w:rPr>
                <w:rFonts w:eastAsia="仿宋_GB2312"/>
                <w:sz w:val="24"/>
              </w:rPr>
            </w:pPr>
            <w:r>
              <w:rPr>
                <w:rFonts w:eastAsia="仿宋_GB2312"/>
                <w:sz w:val="24"/>
                <w:lang w:bidi="ar"/>
              </w:rPr>
              <w:t>严重职业病</w:t>
            </w:r>
          </w:p>
          <w:p>
            <w:pPr>
              <w:jc w:val="center"/>
              <w:rPr>
                <w:rFonts w:eastAsia="仿宋_GB2312"/>
                <w:sz w:val="24"/>
              </w:rPr>
            </w:pPr>
            <w:r>
              <w:rPr>
                <w:rFonts w:eastAsia="仿宋_GB2312"/>
                <w:sz w:val="24"/>
                <w:lang w:bidi="ar"/>
              </w:rPr>
              <w:t>危害因素</w:t>
            </w:r>
          </w:p>
        </w:tc>
        <w:tc>
          <w:tcPr>
            <w:tcW w:w="1215" w:type="dxa"/>
            <w:shd w:val="clear" w:color="auto" w:fill="auto"/>
            <w:noWrap w:val="0"/>
            <w:vAlign w:val="center"/>
          </w:tcPr>
          <w:p>
            <w:pPr>
              <w:jc w:val="center"/>
              <w:rPr>
                <w:rFonts w:eastAsia="仿宋_GB2312"/>
                <w:sz w:val="24"/>
              </w:rPr>
            </w:pPr>
            <w:r>
              <w:rPr>
                <w:rFonts w:eastAsia="仿宋_GB2312"/>
                <w:sz w:val="24"/>
                <w:lang w:bidi="ar"/>
              </w:rPr>
              <w:t>不超标</w:t>
            </w:r>
          </w:p>
        </w:tc>
        <w:tc>
          <w:tcPr>
            <w:tcW w:w="1756" w:type="dxa"/>
            <w:shd w:val="clear" w:color="auto" w:fill="FFC000"/>
            <w:noWrap w:val="0"/>
            <w:vAlign w:val="center"/>
          </w:tcPr>
          <w:p>
            <w:pPr>
              <w:jc w:val="center"/>
              <w:rPr>
                <w:rFonts w:eastAsia="仿宋_GB2312"/>
                <w:sz w:val="24"/>
              </w:rPr>
            </w:pPr>
            <w:r>
              <w:rPr>
                <w:rFonts w:eastAsia="仿宋_GB2312"/>
                <w:sz w:val="24"/>
              </w:rPr>
              <w:t>Ⅱ级</w:t>
            </w:r>
          </w:p>
        </w:tc>
        <w:tc>
          <w:tcPr>
            <w:tcW w:w="1754" w:type="dxa"/>
            <w:shd w:val="clear" w:color="auto" w:fill="FFC000"/>
            <w:noWrap w:val="0"/>
            <w:vAlign w:val="center"/>
          </w:tcPr>
          <w:p>
            <w:pPr>
              <w:jc w:val="center"/>
              <w:rPr>
                <w:rFonts w:eastAsia="仿宋_GB2312"/>
                <w:sz w:val="24"/>
              </w:rPr>
            </w:pPr>
            <w:r>
              <w:rPr>
                <w:rFonts w:eastAsia="仿宋_GB2312"/>
                <w:sz w:val="24"/>
              </w:rPr>
              <w:t>Ⅱ级</w:t>
            </w:r>
          </w:p>
        </w:tc>
        <w:tc>
          <w:tcPr>
            <w:tcW w:w="1938" w:type="dxa"/>
            <w:shd w:val="clear" w:color="auto" w:fill="FF0000"/>
            <w:noWrap w:val="0"/>
            <w:vAlign w:val="center"/>
          </w:tcPr>
          <w:p>
            <w:pPr>
              <w:jc w:val="center"/>
              <w:rPr>
                <w:rFonts w:eastAsia="仿宋_GB2312"/>
                <w:sz w:val="24"/>
              </w:rPr>
            </w:pPr>
            <w:r>
              <w:rPr>
                <w:rFonts w:eastAsia="仿宋_GB2312"/>
                <w:sz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59" w:type="dxa"/>
            <w:vMerge w:val="continue"/>
            <w:shd w:val="clear" w:color="auto" w:fill="auto"/>
            <w:noWrap w:val="0"/>
            <w:vAlign w:val="center"/>
          </w:tcPr>
          <w:p>
            <w:pPr>
              <w:rPr>
                <w:rFonts w:eastAsia="仿宋_GB2312"/>
                <w:sz w:val="24"/>
              </w:rPr>
            </w:pPr>
          </w:p>
        </w:tc>
        <w:tc>
          <w:tcPr>
            <w:tcW w:w="1215" w:type="dxa"/>
            <w:shd w:val="clear" w:color="auto" w:fill="auto"/>
            <w:noWrap w:val="0"/>
            <w:vAlign w:val="center"/>
          </w:tcPr>
          <w:p>
            <w:pPr>
              <w:jc w:val="center"/>
              <w:rPr>
                <w:rFonts w:eastAsia="仿宋_GB2312"/>
                <w:sz w:val="24"/>
              </w:rPr>
            </w:pPr>
            <w:r>
              <w:rPr>
                <w:rFonts w:eastAsia="仿宋_GB2312"/>
                <w:sz w:val="24"/>
                <w:lang w:bidi="ar"/>
              </w:rPr>
              <w:t>超标</w:t>
            </w:r>
          </w:p>
        </w:tc>
        <w:tc>
          <w:tcPr>
            <w:tcW w:w="1756" w:type="dxa"/>
            <w:shd w:val="clear" w:color="auto" w:fill="FFC000"/>
            <w:noWrap w:val="0"/>
            <w:vAlign w:val="center"/>
          </w:tcPr>
          <w:p>
            <w:pPr>
              <w:jc w:val="center"/>
              <w:rPr>
                <w:rFonts w:eastAsia="仿宋_GB2312"/>
                <w:sz w:val="24"/>
              </w:rPr>
            </w:pPr>
            <w:r>
              <w:rPr>
                <w:rFonts w:eastAsia="仿宋_GB2312"/>
                <w:sz w:val="24"/>
              </w:rPr>
              <w:t>Ⅱ级</w:t>
            </w:r>
          </w:p>
        </w:tc>
        <w:tc>
          <w:tcPr>
            <w:tcW w:w="1754" w:type="dxa"/>
            <w:shd w:val="clear" w:color="auto" w:fill="FF0000"/>
            <w:noWrap w:val="0"/>
            <w:vAlign w:val="center"/>
          </w:tcPr>
          <w:p>
            <w:pPr>
              <w:jc w:val="center"/>
              <w:rPr>
                <w:rFonts w:eastAsia="仿宋_GB2312"/>
                <w:sz w:val="24"/>
              </w:rPr>
            </w:pPr>
            <w:r>
              <w:rPr>
                <w:rFonts w:eastAsia="仿宋_GB2312"/>
                <w:sz w:val="24"/>
                <w:lang w:bidi="ar"/>
              </w:rPr>
              <w:t>Ⅲ级</w:t>
            </w:r>
          </w:p>
        </w:tc>
        <w:tc>
          <w:tcPr>
            <w:tcW w:w="1938" w:type="dxa"/>
            <w:shd w:val="clear" w:color="auto" w:fill="FF0000"/>
            <w:noWrap w:val="0"/>
            <w:vAlign w:val="center"/>
          </w:tcPr>
          <w:p>
            <w:pPr>
              <w:jc w:val="center"/>
              <w:rPr>
                <w:rFonts w:eastAsia="仿宋_GB2312"/>
                <w:sz w:val="24"/>
              </w:rPr>
            </w:pPr>
            <w:r>
              <w:rPr>
                <w:rFonts w:eastAsia="仿宋_GB2312"/>
                <w:sz w:val="24"/>
                <w:lang w:bidi="ar"/>
              </w:rPr>
              <w:t>Ⅲ级</w:t>
            </w:r>
          </w:p>
        </w:tc>
      </w:tr>
    </w:tbl>
    <w:p>
      <w:pPr>
        <w:pStyle w:val="3"/>
        <w:spacing w:after="0" w:line="480" w:lineRule="exact"/>
        <w:ind w:left="560" w:hanging="560" w:hangingChars="200"/>
        <w:rPr>
          <w:rFonts w:eastAsia="仿宋_GB2312"/>
          <w:sz w:val="28"/>
          <w:szCs w:val="28"/>
        </w:rPr>
      </w:pPr>
      <w:r>
        <w:rPr>
          <w:rFonts w:eastAsia="仿宋_GB2312"/>
          <w:sz w:val="28"/>
          <w:szCs w:val="28"/>
        </w:rPr>
        <w:t>注：用人单位同时存在一般职业病危害因素和严重职业病危害因素时，依风险高者判定。</w:t>
      </w:r>
    </w:p>
    <w:p>
      <w:pPr>
        <w:adjustRightInd w:val="0"/>
        <w:snapToGrid w:val="0"/>
        <w:spacing w:line="580" w:lineRule="exact"/>
        <w:ind w:firstLine="640" w:firstLineChars="200"/>
        <w:rPr>
          <w:rFonts w:eastAsia="黑体"/>
          <w:bCs/>
          <w:sz w:val="32"/>
          <w:szCs w:val="32"/>
        </w:rPr>
      </w:pPr>
      <w:r>
        <w:rPr>
          <w:rFonts w:eastAsia="黑体"/>
          <w:bCs/>
          <w:sz w:val="32"/>
          <w:szCs w:val="32"/>
        </w:rPr>
        <w:t>三、分级步骤</w:t>
      </w:r>
    </w:p>
    <w:p>
      <w:pPr>
        <w:adjustRightInd w:val="0"/>
        <w:snapToGrid w:val="0"/>
        <w:spacing w:line="580" w:lineRule="exact"/>
        <w:ind w:firstLine="640" w:firstLineChars="200"/>
        <w:rPr>
          <w:rFonts w:eastAsia="仿宋_GB2312"/>
          <w:bCs/>
          <w:sz w:val="32"/>
          <w:szCs w:val="32"/>
        </w:rPr>
      </w:pPr>
      <w:r>
        <w:rPr>
          <w:rFonts w:eastAsia="仿宋_GB2312"/>
          <w:bCs/>
          <w:sz w:val="32"/>
          <w:szCs w:val="32"/>
        </w:rPr>
        <w:t>1.根据工作场所职业病危害因素的特点以及检测报告，开展职业病危害暴露情况调查。</w:t>
      </w:r>
    </w:p>
    <w:p>
      <w:pPr>
        <w:adjustRightInd w:val="0"/>
        <w:snapToGrid w:val="0"/>
        <w:spacing w:line="580" w:lineRule="exact"/>
        <w:ind w:firstLine="640" w:firstLineChars="200"/>
        <w:rPr>
          <w:rFonts w:eastAsia="仿宋_GB2312"/>
          <w:bCs/>
          <w:sz w:val="32"/>
          <w:szCs w:val="32"/>
        </w:rPr>
        <w:sectPr>
          <w:pgSz w:w="11906" w:h="16838" w:orient="landscape"/>
          <w:pgMar w:top="1440" w:right="1800" w:bottom="1440" w:left="1800" w:header="851" w:footer="992" w:gutter="0"/>
          <w:cols w:space="720" w:num="1"/>
          <w:docGrid w:type="lines" w:linePitch="312" w:charSpace="0"/>
        </w:sectPr>
      </w:pPr>
      <w:r>
        <w:rPr>
          <w:rFonts w:eastAsia="仿宋_GB2312"/>
          <w:bCs/>
          <w:sz w:val="32"/>
          <w:szCs w:val="32"/>
        </w:rPr>
        <w:t>2.根据用人单位职业病危害暴露风险分级方法分别对一般和严重职业病危害因素的暴露风险分级进行判定。具体见附表。</w:t>
      </w:r>
    </w:p>
    <w:p>
      <w:pPr>
        <w:adjustRightInd w:val="0"/>
        <w:snapToGrid w:val="0"/>
        <w:spacing w:line="580" w:lineRule="exact"/>
        <w:jc w:val="left"/>
        <w:rPr>
          <w:rFonts w:eastAsia="黑体"/>
          <w:bCs/>
          <w:sz w:val="32"/>
          <w:szCs w:val="32"/>
        </w:rPr>
      </w:pPr>
      <w:r>
        <w:rPr>
          <w:rFonts w:eastAsia="黑体"/>
          <w:bCs/>
          <w:sz w:val="32"/>
          <w:szCs w:val="32"/>
        </w:rPr>
        <w:t>附表</w:t>
      </w:r>
    </w:p>
    <w:p>
      <w:pPr>
        <w:jc w:val="center"/>
        <w:rPr>
          <w:rFonts w:eastAsia="方正小标宋简体"/>
          <w:sz w:val="44"/>
          <w:szCs w:val="44"/>
        </w:rPr>
      </w:pPr>
      <w:r>
        <w:rPr>
          <w:rFonts w:eastAsia="方正小标宋简体"/>
          <w:sz w:val="44"/>
          <w:szCs w:val="44"/>
        </w:rPr>
        <w:t>用人单位职业病危害暴露情况调查和风险分级表</w:t>
      </w:r>
    </w:p>
    <w:tbl>
      <w:tblPr>
        <w:tblStyle w:val="4"/>
        <w:tblW w:w="13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134"/>
        <w:gridCol w:w="850"/>
        <w:gridCol w:w="1134"/>
        <w:gridCol w:w="992"/>
        <w:gridCol w:w="993"/>
        <w:gridCol w:w="992"/>
        <w:gridCol w:w="1559"/>
        <w:gridCol w:w="1134"/>
        <w:gridCol w:w="1276"/>
        <w:gridCol w:w="99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4" w:type="dxa"/>
            <w:vMerge w:val="restart"/>
            <w:noWrap w:val="0"/>
            <w:vAlign w:val="center"/>
          </w:tcPr>
          <w:p>
            <w:pPr>
              <w:adjustRightInd w:val="0"/>
              <w:snapToGrid w:val="0"/>
              <w:ind w:left="-105" w:leftChars="-50" w:right="-105" w:rightChars="-5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序号</w:t>
            </w:r>
          </w:p>
        </w:tc>
        <w:tc>
          <w:tcPr>
            <w:tcW w:w="851" w:type="dxa"/>
            <w:vMerge w:val="restart"/>
            <w:noWrap w:val="0"/>
            <w:vAlign w:val="center"/>
          </w:tcPr>
          <w:p>
            <w:pPr>
              <w:adjustRightInd w:val="0"/>
              <w:snapToGrid w:val="0"/>
              <w:ind w:left="-105" w:leftChars="-50" w:right="-105" w:rightChars="-5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车间</w:t>
            </w:r>
          </w:p>
        </w:tc>
        <w:tc>
          <w:tcPr>
            <w:tcW w:w="1134" w:type="dxa"/>
            <w:vMerge w:val="restart"/>
            <w:noWrap w:val="0"/>
            <w:vAlign w:val="center"/>
          </w:tcPr>
          <w:p>
            <w:pPr>
              <w:adjustRightInd w:val="0"/>
              <w:snapToGrid w:val="0"/>
              <w:ind w:left="-105" w:leftChars="-50" w:right="-105" w:rightChars="-5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工种/岗位</w:t>
            </w:r>
          </w:p>
        </w:tc>
        <w:tc>
          <w:tcPr>
            <w:tcW w:w="850" w:type="dxa"/>
            <w:vMerge w:val="restart"/>
            <w:noWrap w:val="0"/>
            <w:vAlign w:val="center"/>
          </w:tcPr>
          <w:p>
            <w:pPr>
              <w:adjustRightInd w:val="0"/>
              <w:snapToGrid w:val="0"/>
              <w:ind w:left="-105" w:leftChars="-50" w:right="-105" w:rightChars="-5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定员</w:t>
            </w:r>
          </w:p>
        </w:tc>
        <w:tc>
          <w:tcPr>
            <w:tcW w:w="1134" w:type="dxa"/>
            <w:vMerge w:val="restart"/>
            <w:noWrap w:val="0"/>
            <w:vAlign w:val="center"/>
          </w:tcPr>
          <w:p>
            <w:pPr>
              <w:adjustRightInd w:val="0"/>
              <w:snapToGrid w:val="0"/>
              <w:ind w:left="-105" w:leftChars="-50" w:right="-105" w:rightChars="-5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职业病危害因素名称</w:t>
            </w:r>
          </w:p>
        </w:tc>
        <w:tc>
          <w:tcPr>
            <w:tcW w:w="6946" w:type="dxa"/>
            <w:gridSpan w:val="6"/>
            <w:noWrap w:val="0"/>
            <w:vAlign w:val="center"/>
          </w:tcPr>
          <w:p>
            <w:pPr>
              <w:adjustRightInd w:val="0"/>
              <w:snapToGrid w:val="0"/>
              <w:ind w:left="-105" w:leftChars="-50" w:right="-105" w:rightChars="-5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职业病危害因素检测结果</w:t>
            </w:r>
          </w:p>
        </w:tc>
        <w:tc>
          <w:tcPr>
            <w:tcW w:w="992" w:type="dxa"/>
            <w:vMerge w:val="restart"/>
            <w:noWrap w:val="0"/>
            <w:vAlign w:val="center"/>
          </w:tcPr>
          <w:p>
            <w:pPr>
              <w:adjustRightInd w:val="0"/>
              <w:snapToGrid w:val="0"/>
              <w:ind w:left="-105" w:leftChars="-50" w:right="-105" w:rightChars="-5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暴露水平</w:t>
            </w:r>
          </w:p>
        </w:tc>
        <w:tc>
          <w:tcPr>
            <w:tcW w:w="1385" w:type="dxa"/>
            <w:vMerge w:val="restart"/>
            <w:noWrap w:val="0"/>
            <w:vAlign w:val="center"/>
          </w:tcPr>
          <w:p>
            <w:pPr>
              <w:adjustRightInd w:val="0"/>
              <w:snapToGrid w:val="0"/>
              <w:ind w:left="-105" w:leftChars="-50" w:right="-105" w:rightChars="-5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职业病危害</w:t>
            </w:r>
          </w:p>
          <w:p>
            <w:pPr>
              <w:adjustRightInd w:val="0"/>
              <w:snapToGrid w:val="0"/>
              <w:ind w:left="-105" w:leftChars="-50" w:right="-105" w:rightChars="-5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因素性质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4" w:type="dxa"/>
            <w:vMerge w:val="continue"/>
            <w:noWrap w:val="0"/>
            <w:vAlign w:val="center"/>
          </w:tcPr>
          <w:p>
            <w:pPr>
              <w:adjustRightInd w:val="0"/>
              <w:snapToGrid w:val="0"/>
              <w:jc w:val="center"/>
              <w:rPr>
                <w:rFonts w:hint="eastAsia" w:ascii="黑体" w:hAnsi="黑体" w:eastAsia="黑体" w:cs="黑体"/>
                <w:bCs/>
                <w:snapToGrid w:val="0"/>
                <w:kern w:val="0"/>
                <w:sz w:val="22"/>
                <w:szCs w:val="22"/>
              </w:rPr>
            </w:pPr>
          </w:p>
        </w:tc>
        <w:tc>
          <w:tcPr>
            <w:tcW w:w="851" w:type="dxa"/>
            <w:vMerge w:val="continue"/>
            <w:noWrap w:val="0"/>
            <w:vAlign w:val="center"/>
          </w:tcPr>
          <w:p>
            <w:pPr>
              <w:adjustRightInd w:val="0"/>
              <w:snapToGrid w:val="0"/>
              <w:jc w:val="center"/>
              <w:rPr>
                <w:rFonts w:hint="eastAsia" w:ascii="黑体" w:hAnsi="黑体" w:eastAsia="黑体" w:cs="黑体"/>
                <w:bCs/>
                <w:snapToGrid w:val="0"/>
                <w:kern w:val="0"/>
                <w:sz w:val="22"/>
                <w:szCs w:val="22"/>
              </w:rPr>
            </w:pPr>
          </w:p>
        </w:tc>
        <w:tc>
          <w:tcPr>
            <w:tcW w:w="1134" w:type="dxa"/>
            <w:vMerge w:val="continue"/>
            <w:noWrap w:val="0"/>
            <w:vAlign w:val="center"/>
          </w:tcPr>
          <w:p>
            <w:pPr>
              <w:adjustRightInd w:val="0"/>
              <w:snapToGrid w:val="0"/>
              <w:jc w:val="center"/>
              <w:rPr>
                <w:rFonts w:hint="eastAsia" w:ascii="黑体" w:hAnsi="黑体" w:eastAsia="黑体" w:cs="黑体"/>
                <w:bCs/>
                <w:snapToGrid w:val="0"/>
                <w:kern w:val="0"/>
                <w:sz w:val="22"/>
                <w:szCs w:val="22"/>
              </w:rPr>
            </w:pPr>
          </w:p>
        </w:tc>
        <w:tc>
          <w:tcPr>
            <w:tcW w:w="850" w:type="dxa"/>
            <w:vMerge w:val="continue"/>
            <w:noWrap w:val="0"/>
            <w:vAlign w:val="center"/>
          </w:tcPr>
          <w:p>
            <w:pPr>
              <w:adjustRightInd w:val="0"/>
              <w:snapToGrid w:val="0"/>
              <w:jc w:val="center"/>
              <w:rPr>
                <w:rFonts w:hint="eastAsia" w:ascii="黑体" w:hAnsi="黑体" w:eastAsia="黑体" w:cs="黑体"/>
                <w:bCs/>
                <w:snapToGrid w:val="0"/>
                <w:kern w:val="0"/>
                <w:sz w:val="22"/>
                <w:szCs w:val="22"/>
              </w:rPr>
            </w:pPr>
          </w:p>
        </w:tc>
        <w:tc>
          <w:tcPr>
            <w:tcW w:w="1134" w:type="dxa"/>
            <w:vMerge w:val="continue"/>
            <w:noWrap w:val="0"/>
            <w:vAlign w:val="center"/>
          </w:tcPr>
          <w:p>
            <w:pPr>
              <w:adjustRightInd w:val="0"/>
              <w:snapToGrid w:val="0"/>
              <w:jc w:val="center"/>
              <w:rPr>
                <w:rFonts w:hint="eastAsia" w:ascii="黑体" w:hAnsi="黑体" w:eastAsia="黑体" w:cs="黑体"/>
                <w:bCs/>
                <w:snapToGrid w:val="0"/>
                <w:kern w:val="0"/>
                <w:sz w:val="22"/>
                <w:szCs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C</w:t>
            </w:r>
            <w:r>
              <w:rPr>
                <w:rFonts w:hint="eastAsia" w:ascii="黑体" w:hAnsi="黑体" w:eastAsia="黑体" w:cs="黑体"/>
                <w:bCs/>
                <w:snapToGrid w:val="0"/>
                <w:kern w:val="0"/>
                <w:sz w:val="22"/>
                <w:szCs w:val="22"/>
                <w:vertAlign w:val="subscript"/>
              </w:rPr>
              <w:t>TWA</w:t>
            </w:r>
          </w:p>
        </w:tc>
        <w:tc>
          <w:tcPr>
            <w:tcW w:w="993" w:type="dxa"/>
            <w:noWrap w:val="0"/>
            <w:vAlign w:val="center"/>
          </w:tcPr>
          <w:p>
            <w:pPr>
              <w:adjustRightInd w:val="0"/>
              <w:snapToGrid w:val="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C</w:t>
            </w:r>
            <w:r>
              <w:rPr>
                <w:rFonts w:hint="eastAsia" w:ascii="黑体" w:hAnsi="黑体" w:eastAsia="黑体" w:cs="黑体"/>
                <w:bCs/>
                <w:snapToGrid w:val="0"/>
                <w:kern w:val="0"/>
                <w:sz w:val="22"/>
                <w:szCs w:val="22"/>
                <w:vertAlign w:val="subscript"/>
              </w:rPr>
              <w:t>STE</w:t>
            </w:r>
          </w:p>
        </w:tc>
        <w:tc>
          <w:tcPr>
            <w:tcW w:w="992" w:type="dxa"/>
            <w:noWrap w:val="0"/>
            <w:vAlign w:val="center"/>
          </w:tcPr>
          <w:p>
            <w:pPr>
              <w:adjustRightInd w:val="0"/>
              <w:snapToGrid w:val="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C</w:t>
            </w:r>
            <w:r>
              <w:rPr>
                <w:rFonts w:hint="eastAsia" w:ascii="黑体" w:hAnsi="黑体" w:eastAsia="黑体" w:cs="黑体"/>
                <w:bCs/>
                <w:snapToGrid w:val="0"/>
                <w:kern w:val="0"/>
                <w:sz w:val="22"/>
                <w:szCs w:val="22"/>
                <w:vertAlign w:val="subscript"/>
              </w:rPr>
              <w:t>ME</w:t>
            </w:r>
          </w:p>
        </w:tc>
        <w:tc>
          <w:tcPr>
            <w:tcW w:w="1559" w:type="dxa"/>
            <w:noWrap w:val="0"/>
            <w:vAlign w:val="center"/>
          </w:tcPr>
          <w:p>
            <w:pPr>
              <w:adjustRightInd w:val="0"/>
              <w:snapToGrid w:val="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PE/PC-TWA</w:t>
            </w:r>
          </w:p>
        </w:tc>
        <w:tc>
          <w:tcPr>
            <w:tcW w:w="1134" w:type="dxa"/>
            <w:noWrap w:val="0"/>
            <w:vAlign w:val="center"/>
          </w:tcPr>
          <w:p>
            <w:pPr>
              <w:adjustRightInd w:val="0"/>
              <w:snapToGrid w:val="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噪声等效声级</w:t>
            </w:r>
          </w:p>
        </w:tc>
        <w:tc>
          <w:tcPr>
            <w:tcW w:w="1276" w:type="dxa"/>
            <w:noWrap w:val="0"/>
            <w:vAlign w:val="center"/>
          </w:tcPr>
          <w:p>
            <w:pPr>
              <w:adjustRightInd w:val="0"/>
              <w:snapToGrid w:val="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其他因素</w:t>
            </w:r>
          </w:p>
          <w:p>
            <w:pPr>
              <w:adjustRightInd w:val="0"/>
              <w:snapToGrid w:val="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浓度/强度</w:t>
            </w:r>
          </w:p>
        </w:tc>
        <w:tc>
          <w:tcPr>
            <w:tcW w:w="992" w:type="dxa"/>
            <w:vMerge w:val="continue"/>
            <w:noWrap w:val="0"/>
            <w:vAlign w:val="center"/>
          </w:tcPr>
          <w:p>
            <w:pPr>
              <w:adjustRightInd w:val="0"/>
              <w:snapToGrid w:val="0"/>
              <w:jc w:val="center"/>
              <w:rPr>
                <w:rFonts w:hint="eastAsia" w:ascii="黑体" w:hAnsi="黑体" w:eastAsia="黑体" w:cs="黑体"/>
                <w:bCs/>
                <w:snapToGrid w:val="0"/>
                <w:kern w:val="0"/>
                <w:sz w:val="22"/>
                <w:szCs w:val="22"/>
              </w:rPr>
            </w:pPr>
          </w:p>
        </w:tc>
        <w:tc>
          <w:tcPr>
            <w:tcW w:w="1385" w:type="dxa"/>
            <w:vMerge w:val="continue"/>
            <w:noWrap w:val="0"/>
            <w:vAlign w:val="center"/>
          </w:tcPr>
          <w:p>
            <w:pPr>
              <w:adjustRightInd w:val="0"/>
              <w:snapToGrid w:val="0"/>
              <w:jc w:val="center"/>
              <w:rPr>
                <w:rFonts w:hint="eastAsia" w:ascii="黑体" w:hAnsi="黑体" w:eastAsia="黑体" w:cs="黑体"/>
                <w:bCs/>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4" w:type="dxa"/>
            <w:noWrap w:val="0"/>
            <w:vAlign w:val="center"/>
          </w:tcPr>
          <w:p>
            <w:pPr>
              <w:adjustRightInd w:val="0"/>
              <w:snapToGrid w:val="0"/>
              <w:jc w:val="center"/>
              <w:rPr>
                <w:rFonts w:hint="eastAsia" w:ascii="黑体" w:hAnsi="黑体" w:eastAsia="黑体" w:cs="黑体"/>
                <w:bCs/>
                <w:snapToGrid w:val="0"/>
                <w:kern w:val="0"/>
                <w:sz w:val="22"/>
              </w:rPr>
            </w:pPr>
          </w:p>
        </w:tc>
        <w:tc>
          <w:tcPr>
            <w:tcW w:w="851"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850"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993"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559"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1276"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385" w:type="dxa"/>
            <w:noWrap w:val="0"/>
            <w:vAlign w:val="center"/>
          </w:tcPr>
          <w:p>
            <w:pPr>
              <w:adjustRightInd w:val="0"/>
              <w:snapToGrid w:val="0"/>
              <w:jc w:val="center"/>
              <w:rPr>
                <w:rFonts w:hint="eastAsia" w:ascii="黑体" w:hAnsi="黑体" w:eastAsia="黑体" w:cs="黑体"/>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4" w:type="dxa"/>
            <w:noWrap w:val="0"/>
            <w:vAlign w:val="center"/>
          </w:tcPr>
          <w:p>
            <w:pPr>
              <w:adjustRightInd w:val="0"/>
              <w:snapToGrid w:val="0"/>
              <w:jc w:val="center"/>
              <w:rPr>
                <w:rFonts w:hint="eastAsia" w:ascii="黑体" w:hAnsi="黑体" w:eastAsia="黑体" w:cs="黑体"/>
                <w:bCs/>
                <w:snapToGrid w:val="0"/>
                <w:kern w:val="0"/>
                <w:sz w:val="22"/>
              </w:rPr>
            </w:pPr>
          </w:p>
        </w:tc>
        <w:tc>
          <w:tcPr>
            <w:tcW w:w="851"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850"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993"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559"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1276"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385" w:type="dxa"/>
            <w:noWrap w:val="0"/>
            <w:vAlign w:val="center"/>
          </w:tcPr>
          <w:p>
            <w:pPr>
              <w:adjustRightInd w:val="0"/>
              <w:snapToGrid w:val="0"/>
              <w:jc w:val="center"/>
              <w:rPr>
                <w:rFonts w:hint="eastAsia" w:ascii="黑体" w:hAnsi="黑体" w:eastAsia="黑体" w:cs="黑体"/>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4" w:type="dxa"/>
            <w:noWrap w:val="0"/>
            <w:vAlign w:val="center"/>
          </w:tcPr>
          <w:p>
            <w:pPr>
              <w:adjustRightInd w:val="0"/>
              <w:snapToGrid w:val="0"/>
              <w:jc w:val="center"/>
              <w:rPr>
                <w:rFonts w:hint="eastAsia" w:ascii="黑体" w:hAnsi="黑体" w:eastAsia="黑体" w:cs="黑体"/>
                <w:bCs/>
                <w:snapToGrid w:val="0"/>
                <w:kern w:val="0"/>
                <w:sz w:val="22"/>
              </w:rPr>
            </w:pPr>
          </w:p>
        </w:tc>
        <w:tc>
          <w:tcPr>
            <w:tcW w:w="851"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850"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993"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559"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1276"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385" w:type="dxa"/>
            <w:noWrap w:val="0"/>
            <w:vAlign w:val="center"/>
          </w:tcPr>
          <w:p>
            <w:pPr>
              <w:adjustRightInd w:val="0"/>
              <w:snapToGrid w:val="0"/>
              <w:jc w:val="center"/>
              <w:rPr>
                <w:rFonts w:hint="eastAsia" w:ascii="黑体" w:hAnsi="黑体" w:eastAsia="黑体" w:cs="黑体"/>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4" w:type="dxa"/>
            <w:noWrap w:val="0"/>
            <w:vAlign w:val="center"/>
          </w:tcPr>
          <w:p>
            <w:pPr>
              <w:adjustRightInd w:val="0"/>
              <w:snapToGrid w:val="0"/>
              <w:jc w:val="center"/>
              <w:rPr>
                <w:rFonts w:hint="eastAsia" w:ascii="黑体" w:hAnsi="黑体" w:eastAsia="黑体" w:cs="黑体"/>
                <w:bCs/>
                <w:snapToGrid w:val="0"/>
                <w:kern w:val="0"/>
                <w:sz w:val="22"/>
              </w:rPr>
            </w:pPr>
          </w:p>
        </w:tc>
        <w:tc>
          <w:tcPr>
            <w:tcW w:w="851"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850"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993"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559"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1276"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385" w:type="dxa"/>
            <w:noWrap w:val="0"/>
            <w:vAlign w:val="center"/>
          </w:tcPr>
          <w:p>
            <w:pPr>
              <w:adjustRightInd w:val="0"/>
              <w:snapToGrid w:val="0"/>
              <w:jc w:val="center"/>
              <w:rPr>
                <w:rFonts w:hint="eastAsia" w:ascii="黑体" w:hAnsi="黑体" w:eastAsia="黑体" w:cs="黑体"/>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4" w:type="dxa"/>
            <w:noWrap w:val="0"/>
            <w:vAlign w:val="center"/>
          </w:tcPr>
          <w:p>
            <w:pPr>
              <w:adjustRightInd w:val="0"/>
              <w:snapToGrid w:val="0"/>
              <w:jc w:val="center"/>
              <w:rPr>
                <w:rFonts w:hint="eastAsia" w:ascii="黑体" w:hAnsi="黑体" w:eastAsia="黑体" w:cs="黑体"/>
                <w:bCs/>
                <w:snapToGrid w:val="0"/>
                <w:kern w:val="0"/>
                <w:sz w:val="22"/>
              </w:rPr>
            </w:pPr>
          </w:p>
        </w:tc>
        <w:tc>
          <w:tcPr>
            <w:tcW w:w="851"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850"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993"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559"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1276"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385" w:type="dxa"/>
            <w:noWrap w:val="0"/>
            <w:vAlign w:val="center"/>
          </w:tcPr>
          <w:p>
            <w:pPr>
              <w:adjustRightInd w:val="0"/>
              <w:snapToGrid w:val="0"/>
              <w:jc w:val="center"/>
              <w:rPr>
                <w:rFonts w:hint="eastAsia" w:ascii="黑体" w:hAnsi="黑体" w:eastAsia="黑体" w:cs="黑体"/>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4" w:type="dxa"/>
            <w:noWrap w:val="0"/>
            <w:vAlign w:val="center"/>
          </w:tcPr>
          <w:p>
            <w:pPr>
              <w:adjustRightInd w:val="0"/>
              <w:snapToGrid w:val="0"/>
              <w:jc w:val="center"/>
              <w:rPr>
                <w:rFonts w:hint="eastAsia" w:ascii="黑体" w:hAnsi="黑体" w:eastAsia="黑体" w:cs="黑体"/>
                <w:bCs/>
                <w:snapToGrid w:val="0"/>
                <w:kern w:val="0"/>
                <w:sz w:val="22"/>
              </w:rPr>
            </w:pPr>
          </w:p>
        </w:tc>
        <w:tc>
          <w:tcPr>
            <w:tcW w:w="851"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850"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993"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559"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1276"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385" w:type="dxa"/>
            <w:noWrap w:val="0"/>
            <w:vAlign w:val="center"/>
          </w:tcPr>
          <w:p>
            <w:pPr>
              <w:adjustRightInd w:val="0"/>
              <w:snapToGrid w:val="0"/>
              <w:jc w:val="center"/>
              <w:rPr>
                <w:rFonts w:hint="eastAsia" w:ascii="黑体" w:hAnsi="黑体" w:eastAsia="黑体" w:cs="黑体"/>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4" w:type="dxa"/>
            <w:noWrap w:val="0"/>
            <w:vAlign w:val="center"/>
          </w:tcPr>
          <w:p>
            <w:pPr>
              <w:adjustRightInd w:val="0"/>
              <w:snapToGrid w:val="0"/>
              <w:jc w:val="center"/>
              <w:rPr>
                <w:rFonts w:hint="eastAsia" w:ascii="黑体" w:hAnsi="黑体" w:eastAsia="黑体" w:cs="黑体"/>
                <w:bCs/>
                <w:snapToGrid w:val="0"/>
                <w:kern w:val="0"/>
                <w:sz w:val="22"/>
              </w:rPr>
            </w:pPr>
          </w:p>
        </w:tc>
        <w:tc>
          <w:tcPr>
            <w:tcW w:w="851"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850"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993"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559"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1276"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385" w:type="dxa"/>
            <w:noWrap w:val="0"/>
            <w:vAlign w:val="center"/>
          </w:tcPr>
          <w:p>
            <w:pPr>
              <w:adjustRightInd w:val="0"/>
              <w:snapToGrid w:val="0"/>
              <w:jc w:val="center"/>
              <w:rPr>
                <w:rFonts w:hint="eastAsia" w:ascii="黑体" w:hAnsi="黑体" w:eastAsia="黑体" w:cs="黑体"/>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4" w:type="dxa"/>
            <w:noWrap w:val="0"/>
            <w:vAlign w:val="center"/>
          </w:tcPr>
          <w:p>
            <w:pPr>
              <w:adjustRightInd w:val="0"/>
              <w:snapToGrid w:val="0"/>
              <w:jc w:val="center"/>
              <w:rPr>
                <w:rFonts w:hint="eastAsia" w:ascii="黑体" w:hAnsi="黑体" w:eastAsia="黑体" w:cs="黑体"/>
                <w:bCs/>
                <w:snapToGrid w:val="0"/>
                <w:kern w:val="0"/>
                <w:sz w:val="22"/>
              </w:rPr>
            </w:pPr>
          </w:p>
        </w:tc>
        <w:tc>
          <w:tcPr>
            <w:tcW w:w="851"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850"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993"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559"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1276"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385" w:type="dxa"/>
            <w:noWrap w:val="0"/>
            <w:vAlign w:val="center"/>
          </w:tcPr>
          <w:p>
            <w:pPr>
              <w:adjustRightInd w:val="0"/>
              <w:snapToGrid w:val="0"/>
              <w:jc w:val="center"/>
              <w:rPr>
                <w:rFonts w:hint="eastAsia" w:ascii="黑体" w:hAnsi="黑体" w:eastAsia="黑体" w:cs="黑体"/>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4" w:type="dxa"/>
            <w:noWrap w:val="0"/>
            <w:vAlign w:val="center"/>
          </w:tcPr>
          <w:p>
            <w:pPr>
              <w:adjustRightInd w:val="0"/>
              <w:snapToGrid w:val="0"/>
              <w:jc w:val="center"/>
              <w:rPr>
                <w:rFonts w:hint="eastAsia" w:ascii="黑体" w:hAnsi="黑体" w:eastAsia="黑体" w:cs="黑体"/>
                <w:bCs/>
                <w:snapToGrid w:val="0"/>
                <w:kern w:val="0"/>
                <w:sz w:val="22"/>
              </w:rPr>
            </w:pPr>
          </w:p>
        </w:tc>
        <w:tc>
          <w:tcPr>
            <w:tcW w:w="851"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850"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993"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559"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1276"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385" w:type="dxa"/>
            <w:noWrap w:val="0"/>
            <w:vAlign w:val="center"/>
          </w:tcPr>
          <w:p>
            <w:pPr>
              <w:adjustRightInd w:val="0"/>
              <w:snapToGrid w:val="0"/>
              <w:jc w:val="center"/>
              <w:rPr>
                <w:rFonts w:hint="eastAsia" w:ascii="黑体" w:hAnsi="黑体" w:eastAsia="黑体" w:cs="黑体"/>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4" w:type="dxa"/>
            <w:noWrap w:val="0"/>
            <w:vAlign w:val="center"/>
          </w:tcPr>
          <w:p>
            <w:pPr>
              <w:adjustRightInd w:val="0"/>
              <w:snapToGrid w:val="0"/>
              <w:jc w:val="center"/>
              <w:rPr>
                <w:rFonts w:hint="eastAsia" w:ascii="黑体" w:hAnsi="黑体" w:eastAsia="黑体" w:cs="黑体"/>
                <w:bCs/>
                <w:snapToGrid w:val="0"/>
                <w:kern w:val="0"/>
                <w:sz w:val="22"/>
              </w:rPr>
            </w:pPr>
          </w:p>
        </w:tc>
        <w:tc>
          <w:tcPr>
            <w:tcW w:w="851"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850"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993"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559" w:type="dxa"/>
            <w:noWrap w:val="0"/>
            <w:vAlign w:val="center"/>
          </w:tcPr>
          <w:p>
            <w:pPr>
              <w:adjustRightInd w:val="0"/>
              <w:snapToGrid w:val="0"/>
              <w:jc w:val="center"/>
              <w:rPr>
                <w:rFonts w:hint="eastAsia" w:ascii="黑体" w:hAnsi="黑体" w:eastAsia="黑体" w:cs="黑体"/>
                <w:bCs/>
                <w:snapToGrid w:val="0"/>
                <w:kern w:val="0"/>
                <w:sz w:val="22"/>
              </w:rPr>
            </w:pPr>
          </w:p>
        </w:tc>
        <w:tc>
          <w:tcPr>
            <w:tcW w:w="1134" w:type="dxa"/>
            <w:noWrap w:val="0"/>
            <w:vAlign w:val="center"/>
          </w:tcPr>
          <w:p>
            <w:pPr>
              <w:adjustRightInd w:val="0"/>
              <w:snapToGrid w:val="0"/>
              <w:jc w:val="center"/>
              <w:rPr>
                <w:rFonts w:hint="eastAsia" w:ascii="黑体" w:hAnsi="黑体" w:eastAsia="黑体" w:cs="黑体"/>
                <w:bCs/>
                <w:snapToGrid w:val="0"/>
                <w:kern w:val="0"/>
                <w:sz w:val="22"/>
              </w:rPr>
            </w:pPr>
          </w:p>
        </w:tc>
        <w:tc>
          <w:tcPr>
            <w:tcW w:w="1276" w:type="dxa"/>
            <w:noWrap w:val="0"/>
            <w:vAlign w:val="center"/>
          </w:tcPr>
          <w:p>
            <w:pPr>
              <w:adjustRightInd w:val="0"/>
              <w:snapToGrid w:val="0"/>
              <w:jc w:val="center"/>
              <w:rPr>
                <w:rFonts w:hint="eastAsia" w:ascii="黑体" w:hAnsi="黑体" w:eastAsia="黑体" w:cs="黑体"/>
                <w:bCs/>
                <w:snapToGrid w:val="0"/>
                <w:kern w:val="0"/>
                <w:sz w:val="22"/>
              </w:rPr>
            </w:pPr>
          </w:p>
        </w:tc>
        <w:tc>
          <w:tcPr>
            <w:tcW w:w="992" w:type="dxa"/>
            <w:noWrap w:val="0"/>
            <w:vAlign w:val="center"/>
          </w:tcPr>
          <w:p>
            <w:pPr>
              <w:adjustRightInd w:val="0"/>
              <w:snapToGrid w:val="0"/>
              <w:jc w:val="center"/>
              <w:rPr>
                <w:rFonts w:hint="eastAsia" w:ascii="黑体" w:hAnsi="黑体" w:eastAsia="黑体" w:cs="黑体"/>
                <w:bCs/>
                <w:snapToGrid w:val="0"/>
                <w:kern w:val="0"/>
                <w:sz w:val="22"/>
              </w:rPr>
            </w:pPr>
          </w:p>
        </w:tc>
        <w:tc>
          <w:tcPr>
            <w:tcW w:w="1385" w:type="dxa"/>
            <w:noWrap w:val="0"/>
            <w:vAlign w:val="center"/>
          </w:tcPr>
          <w:p>
            <w:pPr>
              <w:adjustRightInd w:val="0"/>
              <w:snapToGrid w:val="0"/>
              <w:jc w:val="center"/>
              <w:rPr>
                <w:rFonts w:hint="eastAsia" w:ascii="黑体" w:hAnsi="黑体" w:eastAsia="黑体" w:cs="黑体"/>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650" w:type="dxa"/>
            <w:gridSpan w:val="8"/>
            <w:noWrap w:val="0"/>
            <w:vAlign w:val="center"/>
          </w:tcPr>
          <w:p>
            <w:pPr>
              <w:adjustRightInd w:val="0"/>
              <w:snapToGrid w:val="0"/>
              <w:jc w:val="center"/>
              <w:rPr>
                <w:rFonts w:hint="eastAsia" w:ascii="黑体" w:hAnsi="黑体" w:eastAsia="黑体" w:cs="黑体"/>
                <w:bCs/>
                <w:snapToGrid w:val="0"/>
                <w:kern w:val="0"/>
                <w:sz w:val="22"/>
              </w:rPr>
            </w:pPr>
            <w:r>
              <w:rPr>
                <w:rFonts w:hint="eastAsia" w:ascii="黑体" w:hAnsi="黑体" w:eastAsia="黑体" w:cs="黑体"/>
                <w:bCs/>
                <w:snapToGrid w:val="0"/>
                <w:kern w:val="0"/>
                <w:sz w:val="22"/>
              </w:rPr>
              <w:t>用人单位职业病危害暴露风险分级</w:t>
            </w:r>
          </w:p>
          <w:tbl>
            <w:tblPr>
              <w:tblStyle w:val="4"/>
              <w:tblW w:w="7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7"/>
              <w:gridCol w:w="1631"/>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468" w:type="dxa"/>
                  <w:noWrap w:val="0"/>
                  <w:vAlign w:val="center"/>
                </w:tcPr>
                <w:p>
                  <w:pPr>
                    <w:adjustRightInd w:val="0"/>
                    <w:snapToGrid w:val="0"/>
                    <w:jc w:val="center"/>
                    <w:rPr>
                      <w:rFonts w:hint="eastAsia" w:ascii="黑体" w:hAnsi="黑体" w:eastAsia="黑体" w:cs="黑体"/>
                      <w:bCs/>
                      <w:snapToGrid w:val="0"/>
                      <w:kern w:val="0"/>
                      <w:sz w:val="22"/>
                    </w:rPr>
                  </w:pPr>
                  <w:r>
                    <w:rPr>
                      <w:rFonts w:hint="eastAsia" w:ascii="黑体" w:hAnsi="黑体" w:eastAsia="黑体" w:cs="黑体"/>
                      <w:bCs/>
                      <w:snapToGrid w:val="0"/>
                      <w:kern w:val="0"/>
                      <w:sz w:val="22"/>
                    </w:rPr>
                    <w:t>职业病危害因素性质</w:t>
                  </w:r>
                </w:p>
              </w:tc>
              <w:tc>
                <w:tcPr>
                  <w:tcW w:w="1157" w:type="dxa"/>
                  <w:noWrap w:val="0"/>
                  <w:vAlign w:val="center"/>
                </w:tcPr>
                <w:p>
                  <w:pPr>
                    <w:adjustRightInd w:val="0"/>
                    <w:snapToGrid w:val="0"/>
                    <w:jc w:val="center"/>
                    <w:rPr>
                      <w:rFonts w:hint="eastAsia" w:ascii="黑体" w:hAnsi="黑体" w:eastAsia="黑体" w:cs="黑体"/>
                      <w:bCs/>
                      <w:snapToGrid w:val="0"/>
                      <w:kern w:val="0"/>
                      <w:sz w:val="22"/>
                    </w:rPr>
                  </w:pPr>
                  <w:r>
                    <w:rPr>
                      <w:rFonts w:hint="eastAsia" w:ascii="黑体" w:hAnsi="黑体" w:eastAsia="黑体" w:cs="黑体"/>
                      <w:bCs/>
                      <w:snapToGrid w:val="0"/>
                      <w:kern w:val="0"/>
                      <w:sz w:val="22"/>
                    </w:rPr>
                    <w:t>暴露水平</w:t>
                  </w:r>
                </w:p>
              </w:tc>
              <w:tc>
                <w:tcPr>
                  <w:tcW w:w="1631" w:type="dxa"/>
                  <w:noWrap w:val="0"/>
                  <w:vAlign w:val="center"/>
                </w:tcPr>
                <w:p>
                  <w:pPr>
                    <w:adjustRightInd w:val="0"/>
                    <w:snapToGrid w:val="0"/>
                    <w:jc w:val="center"/>
                    <w:rPr>
                      <w:rFonts w:hint="eastAsia" w:ascii="黑体" w:hAnsi="黑体" w:eastAsia="黑体" w:cs="黑体"/>
                      <w:bCs/>
                      <w:snapToGrid w:val="0"/>
                      <w:kern w:val="0"/>
                      <w:sz w:val="22"/>
                    </w:rPr>
                  </w:pPr>
                  <w:r>
                    <w:rPr>
                      <w:rFonts w:hint="eastAsia" w:ascii="黑体" w:hAnsi="黑体" w:eastAsia="黑体" w:cs="黑体"/>
                      <w:bCs/>
                      <w:snapToGrid w:val="0"/>
                      <w:kern w:val="0"/>
                      <w:sz w:val="22"/>
                    </w:rPr>
                    <w:t>暴露人数</w:t>
                  </w:r>
                </w:p>
              </w:tc>
              <w:tc>
                <w:tcPr>
                  <w:tcW w:w="1417" w:type="dxa"/>
                  <w:noWrap w:val="0"/>
                  <w:vAlign w:val="center"/>
                </w:tcPr>
                <w:p>
                  <w:pPr>
                    <w:adjustRightInd w:val="0"/>
                    <w:snapToGrid w:val="0"/>
                    <w:jc w:val="center"/>
                    <w:rPr>
                      <w:rFonts w:hint="eastAsia" w:ascii="黑体" w:hAnsi="黑体" w:eastAsia="黑体" w:cs="黑体"/>
                      <w:bCs/>
                      <w:snapToGrid w:val="0"/>
                      <w:kern w:val="0"/>
                      <w:sz w:val="22"/>
                    </w:rPr>
                  </w:pPr>
                  <w:r>
                    <w:rPr>
                      <w:rFonts w:hint="eastAsia" w:ascii="黑体" w:hAnsi="黑体" w:eastAsia="黑体" w:cs="黑体"/>
                      <w:bCs/>
                      <w:snapToGrid w:val="0"/>
                      <w:kern w:val="0"/>
                      <w:sz w:val="22"/>
                    </w:rPr>
                    <w:t>风险级别</w:t>
                  </w:r>
                </w:p>
              </w:tc>
              <w:tc>
                <w:tcPr>
                  <w:tcW w:w="1701" w:type="dxa"/>
                  <w:noWrap w:val="0"/>
                  <w:vAlign w:val="center"/>
                </w:tcPr>
                <w:p>
                  <w:pPr>
                    <w:adjustRightInd w:val="0"/>
                    <w:snapToGrid w:val="0"/>
                    <w:jc w:val="center"/>
                    <w:rPr>
                      <w:rFonts w:hint="eastAsia" w:ascii="黑体" w:hAnsi="黑体" w:eastAsia="黑体" w:cs="黑体"/>
                      <w:bCs/>
                      <w:snapToGrid w:val="0"/>
                      <w:kern w:val="0"/>
                      <w:sz w:val="22"/>
                    </w:rPr>
                  </w:pPr>
                  <w:r>
                    <w:rPr>
                      <w:rFonts w:hint="eastAsia" w:ascii="黑体" w:hAnsi="黑体" w:eastAsia="黑体" w:cs="黑体"/>
                      <w:bCs/>
                      <w:snapToGrid w:val="0"/>
                      <w:kern w:val="0"/>
                      <w:sz w:val="22"/>
                    </w:rPr>
                    <w:t>判定结论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468" w:type="dxa"/>
                  <w:vMerge w:val="restart"/>
                  <w:noWrap w:val="0"/>
                  <w:vAlign w:val="center"/>
                </w:tcPr>
                <w:p>
                  <w:pPr>
                    <w:adjustRightInd w:val="0"/>
                    <w:snapToGrid w:val="0"/>
                    <w:jc w:val="center"/>
                    <w:rPr>
                      <w:rFonts w:hint="eastAsia" w:ascii="黑体" w:hAnsi="黑体" w:eastAsia="黑体" w:cs="黑体"/>
                      <w:bCs/>
                      <w:snapToGrid w:val="0"/>
                      <w:kern w:val="0"/>
                      <w:sz w:val="22"/>
                    </w:rPr>
                  </w:pPr>
                  <w:r>
                    <w:rPr>
                      <w:rFonts w:hint="eastAsia" w:ascii="黑体" w:hAnsi="黑体" w:eastAsia="黑体" w:cs="黑体"/>
                      <w:bCs/>
                      <w:snapToGrid w:val="0"/>
                      <w:kern w:val="0"/>
                      <w:sz w:val="22"/>
                    </w:rPr>
                    <w:t>一般</w:t>
                  </w:r>
                </w:p>
              </w:tc>
              <w:tc>
                <w:tcPr>
                  <w:tcW w:w="1157" w:type="dxa"/>
                  <w:noWrap w:val="0"/>
                  <w:vAlign w:val="top"/>
                </w:tcPr>
                <w:p>
                  <w:pPr>
                    <w:adjustRightInd w:val="0"/>
                    <w:snapToGrid w:val="0"/>
                    <w:jc w:val="center"/>
                    <w:rPr>
                      <w:rFonts w:hint="eastAsia" w:ascii="黑体" w:hAnsi="黑体" w:eastAsia="黑体" w:cs="黑体"/>
                      <w:bCs/>
                      <w:snapToGrid w:val="0"/>
                      <w:kern w:val="0"/>
                      <w:sz w:val="22"/>
                    </w:rPr>
                  </w:pPr>
                  <w:r>
                    <w:rPr>
                      <w:rFonts w:hint="eastAsia" w:ascii="黑体" w:hAnsi="黑体" w:eastAsia="黑体" w:cs="黑体"/>
                      <w:bCs/>
                      <w:snapToGrid w:val="0"/>
                      <w:kern w:val="0"/>
                      <w:sz w:val="22"/>
                    </w:rPr>
                    <w:t>不超标</w:t>
                  </w:r>
                </w:p>
              </w:tc>
              <w:tc>
                <w:tcPr>
                  <w:tcW w:w="1631" w:type="dxa"/>
                  <w:noWrap w:val="0"/>
                  <w:vAlign w:val="top"/>
                </w:tcPr>
                <w:p>
                  <w:pPr>
                    <w:adjustRightInd w:val="0"/>
                    <w:snapToGrid w:val="0"/>
                    <w:jc w:val="center"/>
                    <w:rPr>
                      <w:rFonts w:hint="eastAsia" w:ascii="黑体" w:hAnsi="黑体" w:eastAsia="黑体" w:cs="黑体"/>
                      <w:bCs/>
                      <w:snapToGrid w:val="0"/>
                      <w:kern w:val="0"/>
                      <w:sz w:val="22"/>
                    </w:rPr>
                  </w:pPr>
                </w:p>
              </w:tc>
              <w:tc>
                <w:tcPr>
                  <w:tcW w:w="1417" w:type="dxa"/>
                  <w:noWrap w:val="0"/>
                  <w:vAlign w:val="top"/>
                </w:tcPr>
                <w:p>
                  <w:pPr>
                    <w:adjustRightInd w:val="0"/>
                    <w:snapToGrid w:val="0"/>
                    <w:jc w:val="center"/>
                    <w:rPr>
                      <w:rFonts w:hint="eastAsia" w:ascii="黑体" w:hAnsi="黑体" w:eastAsia="黑体" w:cs="黑体"/>
                      <w:bCs/>
                      <w:snapToGrid w:val="0"/>
                      <w:kern w:val="0"/>
                      <w:sz w:val="22"/>
                    </w:rPr>
                  </w:pPr>
                </w:p>
              </w:tc>
              <w:tc>
                <w:tcPr>
                  <w:tcW w:w="1701" w:type="dxa"/>
                  <w:vMerge w:val="restart"/>
                  <w:noWrap w:val="0"/>
                  <w:vAlign w:val="center"/>
                </w:tcPr>
                <w:p>
                  <w:pPr>
                    <w:adjustRightInd w:val="0"/>
                    <w:snapToGrid w:val="0"/>
                    <w:jc w:val="center"/>
                    <w:rPr>
                      <w:rFonts w:hint="eastAsia" w:ascii="黑体" w:hAnsi="黑体" w:eastAsia="黑体" w:cs="黑体"/>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468" w:type="dxa"/>
                  <w:vMerge w:val="continue"/>
                  <w:noWrap w:val="0"/>
                  <w:vAlign w:val="center"/>
                </w:tcPr>
                <w:p>
                  <w:pPr>
                    <w:adjustRightInd w:val="0"/>
                    <w:snapToGrid w:val="0"/>
                    <w:jc w:val="center"/>
                    <w:rPr>
                      <w:rFonts w:hint="eastAsia" w:ascii="黑体" w:hAnsi="黑体" w:eastAsia="黑体" w:cs="黑体"/>
                      <w:bCs/>
                      <w:snapToGrid w:val="0"/>
                      <w:kern w:val="0"/>
                      <w:sz w:val="22"/>
                    </w:rPr>
                  </w:pPr>
                </w:p>
              </w:tc>
              <w:tc>
                <w:tcPr>
                  <w:tcW w:w="1157" w:type="dxa"/>
                  <w:noWrap w:val="0"/>
                  <w:vAlign w:val="top"/>
                </w:tcPr>
                <w:p>
                  <w:pPr>
                    <w:adjustRightInd w:val="0"/>
                    <w:snapToGrid w:val="0"/>
                    <w:jc w:val="center"/>
                    <w:rPr>
                      <w:rFonts w:hint="eastAsia" w:ascii="黑体" w:hAnsi="黑体" w:eastAsia="黑体" w:cs="黑体"/>
                      <w:bCs/>
                      <w:snapToGrid w:val="0"/>
                      <w:kern w:val="0"/>
                      <w:sz w:val="22"/>
                    </w:rPr>
                  </w:pPr>
                  <w:r>
                    <w:rPr>
                      <w:rFonts w:hint="eastAsia" w:ascii="黑体" w:hAnsi="黑体" w:eastAsia="黑体" w:cs="黑体"/>
                      <w:bCs/>
                      <w:snapToGrid w:val="0"/>
                      <w:kern w:val="0"/>
                      <w:sz w:val="22"/>
                    </w:rPr>
                    <w:t>超标</w:t>
                  </w:r>
                </w:p>
              </w:tc>
              <w:tc>
                <w:tcPr>
                  <w:tcW w:w="1631" w:type="dxa"/>
                  <w:noWrap w:val="0"/>
                  <w:vAlign w:val="top"/>
                </w:tcPr>
                <w:p>
                  <w:pPr>
                    <w:adjustRightInd w:val="0"/>
                    <w:snapToGrid w:val="0"/>
                    <w:jc w:val="center"/>
                    <w:rPr>
                      <w:rFonts w:hint="eastAsia" w:ascii="黑体" w:hAnsi="黑体" w:eastAsia="黑体" w:cs="黑体"/>
                      <w:bCs/>
                      <w:snapToGrid w:val="0"/>
                      <w:kern w:val="0"/>
                      <w:sz w:val="22"/>
                    </w:rPr>
                  </w:pPr>
                </w:p>
              </w:tc>
              <w:tc>
                <w:tcPr>
                  <w:tcW w:w="1417" w:type="dxa"/>
                  <w:noWrap w:val="0"/>
                  <w:vAlign w:val="top"/>
                </w:tcPr>
                <w:p>
                  <w:pPr>
                    <w:adjustRightInd w:val="0"/>
                    <w:snapToGrid w:val="0"/>
                    <w:jc w:val="center"/>
                    <w:rPr>
                      <w:rFonts w:hint="eastAsia" w:ascii="黑体" w:hAnsi="黑体" w:eastAsia="黑体" w:cs="黑体"/>
                      <w:bCs/>
                      <w:snapToGrid w:val="0"/>
                      <w:kern w:val="0"/>
                      <w:sz w:val="22"/>
                    </w:rPr>
                  </w:pPr>
                </w:p>
              </w:tc>
              <w:tc>
                <w:tcPr>
                  <w:tcW w:w="1701" w:type="dxa"/>
                  <w:vMerge w:val="continue"/>
                  <w:noWrap w:val="0"/>
                  <w:vAlign w:val="top"/>
                </w:tcPr>
                <w:p>
                  <w:pPr>
                    <w:adjustRightInd w:val="0"/>
                    <w:snapToGrid w:val="0"/>
                    <w:jc w:val="center"/>
                    <w:rPr>
                      <w:rFonts w:hint="eastAsia" w:ascii="黑体" w:hAnsi="黑体" w:eastAsia="黑体" w:cs="黑体"/>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468" w:type="dxa"/>
                  <w:vMerge w:val="restart"/>
                  <w:noWrap w:val="0"/>
                  <w:vAlign w:val="center"/>
                </w:tcPr>
                <w:p>
                  <w:pPr>
                    <w:adjustRightInd w:val="0"/>
                    <w:snapToGrid w:val="0"/>
                    <w:jc w:val="center"/>
                    <w:rPr>
                      <w:rFonts w:hint="eastAsia" w:ascii="黑体" w:hAnsi="黑体" w:eastAsia="黑体" w:cs="黑体"/>
                      <w:bCs/>
                      <w:snapToGrid w:val="0"/>
                      <w:kern w:val="0"/>
                      <w:sz w:val="22"/>
                    </w:rPr>
                  </w:pPr>
                  <w:r>
                    <w:rPr>
                      <w:rFonts w:hint="eastAsia" w:ascii="黑体" w:hAnsi="黑体" w:eastAsia="黑体" w:cs="黑体"/>
                      <w:bCs/>
                      <w:snapToGrid w:val="0"/>
                      <w:kern w:val="0"/>
                      <w:sz w:val="22"/>
                    </w:rPr>
                    <w:t>严重</w:t>
                  </w:r>
                </w:p>
              </w:tc>
              <w:tc>
                <w:tcPr>
                  <w:tcW w:w="1157" w:type="dxa"/>
                  <w:noWrap w:val="0"/>
                  <w:vAlign w:val="top"/>
                </w:tcPr>
                <w:p>
                  <w:pPr>
                    <w:adjustRightInd w:val="0"/>
                    <w:snapToGrid w:val="0"/>
                    <w:jc w:val="center"/>
                    <w:rPr>
                      <w:rFonts w:hint="eastAsia" w:ascii="黑体" w:hAnsi="黑体" w:eastAsia="黑体" w:cs="黑体"/>
                      <w:bCs/>
                      <w:snapToGrid w:val="0"/>
                      <w:kern w:val="0"/>
                      <w:sz w:val="22"/>
                    </w:rPr>
                  </w:pPr>
                  <w:r>
                    <w:rPr>
                      <w:rFonts w:hint="eastAsia" w:ascii="黑体" w:hAnsi="黑体" w:eastAsia="黑体" w:cs="黑体"/>
                      <w:bCs/>
                      <w:snapToGrid w:val="0"/>
                      <w:kern w:val="0"/>
                      <w:sz w:val="22"/>
                    </w:rPr>
                    <w:t>不超标</w:t>
                  </w:r>
                </w:p>
              </w:tc>
              <w:tc>
                <w:tcPr>
                  <w:tcW w:w="1631" w:type="dxa"/>
                  <w:noWrap w:val="0"/>
                  <w:vAlign w:val="top"/>
                </w:tcPr>
                <w:p>
                  <w:pPr>
                    <w:adjustRightInd w:val="0"/>
                    <w:snapToGrid w:val="0"/>
                    <w:jc w:val="center"/>
                    <w:rPr>
                      <w:rFonts w:hint="eastAsia" w:ascii="黑体" w:hAnsi="黑体" w:eastAsia="黑体" w:cs="黑体"/>
                      <w:bCs/>
                      <w:snapToGrid w:val="0"/>
                      <w:kern w:val="0"/>
                      <w:sz w:val="22"/>
                    </w:rPr>
                  </w:pPr>
                </w:p>
              </w:tc>
              <w:tc>
                <w:tcPr>
                  <w:tcW w:w="1417" w:type="dxa"/>
                  <w:noWrap w:val="0"/>
                  <w:vAlign w:val="top"/>
                </w:tcPr>
                <w:p>
                  <w:pPr>
                    <w:adjustRightInd w:val="0"/>
                    <w:snapToGrid w:val="0"/>
                    <w:jc w:val="center"/>
                    <w:rPr>
                      <w:rFonts w:hint="eastAsia" w:ascii="黑体" w:hAnsi="黑体" w:eastAsia="黑体" w:cs="黑体"/>
                      <w:bCs/>
                      <w:snapToGrid w:val="0"/>
                      <w:kern w:val="0"/>
                      <w:sz w:val="22"/>
                    </w:rPr>
                  </w:pPr>
                </w:p>
              </w:tc>
              <w:tc>
                <w:tcPr>
                  <w:tcW w:w="1701" w:type="dxa"/>
                  <w:vMerge w:val="continue"/>
                  <w:noWrap w:val="0"/>
                  <w:vAlign w:val="top"/>
                </w:tcPr>
                <w:p>
                  <w:pPr>
                    <w:adjustRightInd w:val="0"/>
                    <w:snapToGrid w:val="0"/>
                    <w:jc w:val="center"/>
                    <w:rPr>
                      <w:rFonts w:hint="eastAsia" w:ascii="黑体" w:hAnsi="黑体" w:eastAsia="黑体" w:cs="黑体"/>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468" w:type="dxa"/>
                  <w:vMerge w:val="continue"/>
                  <w:noWrap w:val="0"/>
                  <w:vAlign w:val="top"/>
                </w:tcPr>
                <w:p>
                  <w:pPr>
                    <w:adjustRightInd w:val="0"/>
                    <w:snapToGrid w:val="0"/>
                    <w:jc w:val="center"/>
                    <w:rPr>
                      <w:rFonts w:hint="eastAsia" w:ascii="黑体" w:hAnsi="黑体" w:eastAsia="黑体" w:cs="黑体"/>
                      <w:bCs/>
                      <w:snapToGrid w:val="0"/>
                      <w:kern w:val="0"/>
                      <w:sz w:val="22"/>
                    </w:rPr>
                  </w:pPr>
                </w:p>
              </w:tc>
              <w:tc>
                <w:tcPr>
                  <w:tcW w:w="1157" w:type="dxa"/>
                  <w:noWrap w:val="0"/>
                  <w:vAlign w:val="top"/>
                </w:tcPr>
                <w:p>
                  <w:pPr>
                    <w:adjustRightInd w:val="0"/>
                    <w:snapToGrid w:val="0"/>
                    <w:jc w:val="center"/>
                    <w:rPr>
                      <w:rFonts w:hint="eastAsia" w:ascii="黑体" w:hAnsi="黑体" w:eastAsia="黑体" w:cs="黑体"/>
                      <w:bCs/>
                      <w:snapToGrid w:val="0"/>
                      <w:kern w:val="0"/>
                      <w:sz w:val="22"/>
                    </w:rPr>
                  </w:pPr>
                  <w:r>
                    <w:rPr>
                      <w:rFonts w:hint="eastAsia" w:ascii="黑体" w:hAnsi="黑体" w:eastAsia="黑体" w:cs="黑体"/>
                      <w:bCs/>
                      <w:snapToGrid w:val="0"/>
                      <w:kern w:val="0"/>
                      <w:sz w:val="22"/>
                    </w:rPr>
                    <w:t>超标</w:t>
                  </w:r>
                </w:p>
              </w:tc>
              <w:tc>
                <w:tcPr>
                  <w:tcW w:w="1631" w:type="dxa"/>
                  <w:noWrap w:val="0"/>
                  <w:vAlign w:val="top"/>
                </w:tcPr>
                <w:p>
                  <w:pPr>
                    <w:adjustRightInd w:val="0"/>
                    <w:snapToGrid w:val="0"/>
                    <w:jc w:val="center"/>
                    <w:rPr>
                      <w:rFonts w:hint="eastAsia" w:ascii="黑体" w:hAnsi="黑体" w:eastAsia="黑体" w:cs="黑体"/>
                      <w:bCs/>
                      <w:snapToGrid w:val="0"/>
                      <w:kern w:val="0"/>
                      <w:sz w:val="22"/>
                    </w:rPr>
                  </w:pPr>
                </w:p>
              </w:tc>
              <w:tc>
                <w:tcPr>
                  <w:tcW w:w="1417" w:type="dxa"/>
                  <w:noWrap w:val="0"/>
                  <w:vAlign w:val="top"/>
                </w:tcPr>
                <w:p>
                  <w:pPr>
                    <w:adjustRightInd w:val="0"/>
                    <w:snapToGrid w:val="0"/>
                    <w:jc w:val="center"/>
                    <w:rPr>
                      <w:rFonts w:hint="eastAsia" w:ascii="黑体" w:hAnsi="黑体" w:eastAsia="黑体" w:cs="黑体"/>
                      <w:bCs/>
                      <w:snapToGrid w:val="0"/>
                      <w:kern w:val="0"/>
                      <w:sz w:val="22"/>
                    </w:rPr>
                  </w:pPr>
                </w:p>
              </w:tc>
              <w:tc>
                <w:tcPr>
                  <w:tcW w:w="1701" w:type="dxa"/>
                  <w:vMerge w:val="continue"/>
                  <w:noWrap w:val="0"/>
                  <w:vAlign w:val="top"/>
                </w:tcPr>
                <w:p>
                  <w:pPr>
                    <w:adjustRightInd w:val="0"/>
                    <w:snapToGrid w:val="0"/>
                    <w:jc w:val="center"/>
                    <w:rPr>
                      <w:rFonts w:hint="eastAsia" w:ascii="黑体" w:hAnsi="黑体" w:eastAsia="黑体" w:cs="黑体"/>
                      <w:bCs/>
                      <w:snapToGrid w:val="0"/>
                      <w:kern w:val="0"/>
                      <w:sz w:val="22"/>
                    </w:rPr>
                  </w:pPr>
                </w:p>
              </w:tc>
            </w:tr>
          </w:tbl>
          <w:p>
            <w:pPr>
              <w:adjustRightInd w:val="0"/>
              <w:snapToGrid w:val="0"/>
              <w:rPr>
                <w:rFonts w:hint="eastAsia" w:ascii="黑体" w:hAnsi="黑体" w:eastAsia="黑体" w:cs="黑体"/>
                <w:bCs/>
                <w:snapToGrid w:val="0"/>
                <w:kern w:val="0"/>
                <w:sz w:val="22"/>
              </w:rPr>
            </w:pPr>
          </w:p>
        </w:tc>
        <w:tc>
          <w:tcPr>
            <w:tcW w:w="6346" w:type="dxa"/>
            <w:gridSpan w:val="5"/>
            <w:noWrap w:val="0"/>
            <w:vAlign w:val="center"/>
          </w:tcPr>
          <w:p>
            <w:pPr>
              <w:adjustRightInd w:val="0"/>
              <w:snapToGrid w:val="0"/>
              <w:ind w:left="-105" w:leftChars="-50" w:right="-105" w:rightChars="-50"/>
              <w:jc w:val="left"/>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注：①职业病危害因素名称和检测结果根据有效期内的定期检测报告填写。</w:t>
            </w:r>
          </w:p>
          <w:p>
            <w:pPr>
              <w:adjustRightInd w:val="0"/>
              <w:snapToGrid w:val="0"/>
              <w:ind w:left="-105" w:leftChars="-50" w:right="-105" w:rightChars="-50"/>
              <w:jc w:val="left"/>
              <w:rPr>
                <w:rFonts w:hint="eastAsia" w:ascii="黑体" w:hAnsi="黑体" w:eastAsia="黑体" w:cs="黑体"/>
                <w:bCs/>
                <w:snapToGrid w:val="0"/>
                <w:kern w:val="0"/>
                <w:sz w:val="22"/>
              </w:rPr>
            </w:pPr>
            <w:r>
              <w:rPr>
                <w:rFonts w:hint="eastAsia" w:ascii="黑体" w:hAnsi="黑体" w:eastAsia="黑体" w:cs="黑体"/>
                <w:bCs/>
                <w:snapToGrid w:val="0"/>
                <w:kern w:val="0"/>
                <w:sz w:val="22"/>
                <w:szCs w:val="22"/>
              </w:rPr>
              <w:t xml:space="preserve">    ②CTWA为时间加权平均浓度；CSTE为短时间接触浓度；CME为最高浓度；PE/PC-TWA为峰浓度和时间加权平均容许浓度之间的比值。</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E5C47"/>
    <w:rsid w:val="76AE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Body Text"/>
    <w:basedOn w:val="1"/>
    <w:qFormat/>
    <w:uiPriority w:val="0"/>
    <w:pPr>
      <w:spacing w:after="120" w:afterLines="0" w:afterAutospacing="0"/>
    </w:pPr>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2022-06-29T09:08:00Z</dcterms:created>
  <dc:creator>admin</dc:creator>
  <cp:lastModifiedBy>admin</cp:lastModifiedBy>
  <dcterms:modified xsi:type="dcterms:W3CDTF">2022-06-29T09:09:03Z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