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CB8" w:rsidRDefault="00E05B32">
      <w:pPr>
        <w:pStyle w:val="a4"/>
        <w:ind w:firstLineChars="0" w:firstLine="0"/>
        <w:jc w:val="left"/>
        <w:rPr>
          <w:rFonts w:ascii="宋体" w:eastAsia="黑体" w:hAnsi="宋体"/>
        </w:rPr>
      </w:pPr>
      <w:r>
        <w:rPr>
          <w:rFonts w:ascii="宋体" w:eastAsia="黑体" w:hAnsi="宋体" w:hint="eastAsia"/>
        </w:rPr>
        <w:t>附</w:t>
      </w:r>
      <w:r w:rsidR="00F17250">
        <w:rPr>
          <w:rFonts w:ascii="宋体" w:eastAsia="黑体" w:hAnsi="宋体" w:hint="eastAsia"/>
        </w:rPr>
        <w:t>件</w:t>
      </w:r>
    </w:p>
    <w:p w:rsidR="00C96CB8" w:rsidRDefault="00532716">
      <w:pPr>
        <w:pStyle w:val="a4"/>
        <w:ind w:firstLineChars="0" w:firstLine="0"/>
        <w:jc w:val="center"/>
        <w:rPr>
          <w:rFonts w:ascii="宋体" w:eastAsia="黑体" w:hAnsi="宋体"/>
          <w:sz w:val="44"/>
          <w:szCs w:val="44"/>
        </w:rPr>
      </w:pPr>
      <w:r>
        <w:rPr>
          <w:rFonts w:ascii="宋体" w:eastAsia="方正小标宋简体" w:hAnsi="宋体" w:cs="宋体" w:hint="eastAsia"/>
          <w:color w:val="000000"/>
          <w:kern w:val="0"/>
          <w:sz w:val="44"/>
          <w:szCs w:val="44"/>
        </w:rPr>
        <w:t>医疗机构法治建设</w:t>
      </w:r>
      <w:bookmarkStart w:id="0" w:name="_GoBack"/>
      <w:bookmarkEnd w:id="0"/>
      <w:r w:rsidR="00F17250">
        <w:rPr>
          <w:rFonts w:ascii="宋体" w:eastAsia="方正小标宋简体" w:hAnsi="宋体" w:cs="宋体" w:hint="eastAsia"/>
          <w:color w:val="000000"/>
          <w:kern w:val="0"/>
          <w:sz w:val="44"/>
          <w:szCs w:val="44"/>
        </w:rPr>
        <w:t>评估参考指标（试行）</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2600"/>
        <w:gridCol w:w="793"/>
        <w:gridCol w:w="9497"/>
      </w:tblGrid>
      <w:tr w:rsidR="00C96CB8">
        <w:trPr>
          <w:trHeight w:val="540"/>
        </w:trPr>
        <w:tc>
          <w:tcPr>
            <w:tcW w:w="1280" w:type="dxa"/>
            <w:shd w:val="clear" w:color="auto" w:fill="auto"/>
            <w:noWrap/>
            <w:vAlign w:val="center"/>
          </w:tcPr>
          <w:p w:rsidR="00C96CB8" w:rsidRDefault="00F17250">
            <w:pPr>
              <w:widowControl/>
              <w:jc w:val="center"/>
              <w:rPr>
                <w:rFonts w:ascii="宋体" w:eastAsia="黑体" w:hAnsi="宋体" w:cs="宋体"/>
                <w:color w:val="000000"/>
                <w:kern w:val="0"/>
                <w:sz w:val="24"/>
                <w:szCs w:val="24"/>
              </w:rPr>
            </w:pPr>
            <w:r>
              <w:rPr>
                <w:rFonts w:ascii="宋体" w:eastAsia="黑体" w:hAnsi="宋体" w:cs="宋体" w:hint="eastAsia"/>
                <w:color w:val="000000"/>
                <w:kern w:val="0"/>
                <w:sz w:val="24"/>
                <w:szCs w:val="24"/>
              </w:rPr>
              <w:t>一级指标</w:t>
            </w:r>
          </w:p>
        </w:tc>
        <w:tc>
          <w:tcPr>
            <w:tcW w:w="2600" w:type="dxa"/>
            <w:shd w:val="clear" w:color="auto" w:fill="auto"/>
            <w:noWrap/>
            <w:vAlign w:val="center"/>
          </w:tcPr>
          <w:p w:rsidR="00C96CB8" w:rsidRDefault="00F17250">
            <w:pPr>
              <w:widowControl/>
              <w:jc w:val="center"/>
              <w:rPr>
                <w:rFonts w:ascii="宋体" w:eastAsia="黑体" w:hAnsi="宋体" w:cs="宋体"/>
                <w:color w:val="000000"/>
                <w:kern w:val="0"/>
                <w:sz w:val="24"/>
                <w:szCs w:val="24"/>
              </w:rPr>
            </w:pPr>
            <w:r>
              <w:rPr>
                <w:rFonts w:ascii="宋体" w:eastAsia="黑体" w:hAnsi="宋体" w:cs="宋体" w:hint="eastAsia"/>
                <w:color w:val="000000"/>
                <w:kern w:val="0"/>
                <w:sz w:val="24"/>
                <w:szCs w:val="24"/>
              </w:rPr>
              <w:t>二级指标</w:t>
            </w:r>
          </w:p>
        </w:tc>
        <w:tc>
          <w:tcPr>
            <w:tcW w:w="793" w:type="dxa"/>
            <w:shd w:val="clear" w:color="auto" w:fill="auto"/>
            <w:noWrap/>
            <w:vAlign w:val="center"/>
          </w:tcPr>
          <w:p w:rsidR="00C96CB8" w:rsidRDefault="00F17250">
            <w:pPr>
              <w:widowControl/>
              <w:jc w:val="center"/>
              <w:rPr>
                <w:rFonts w:ascii="宋体" w:eastAsia="黑体" w:hAnsi="宋体" w:cs="宋体"/>
                <w:color w:val="000000"/>
                <w:kern w:val="0"/>
                <w:sz w:val="24"/>
                <w:szCs w:val="24"/>
              </w:rPr>
            </w:pPr>
            <w:r>
              <w:rPr>
                <w:rFonts w:ascii="宋体" w:eastAsia="黑体" w:hAnsi="宋体" w:cs="宋体" w:hint="eastAsia"/>
                <w:color w:val="000000"/>
                <w:kern w:val="0"/>
                <w:sz w:val="24"/>
                <w:szCs w:val="24"/>
              </w:rPr>
              <w:t>序号</w:t>
            </w:r>
          </w:p>
        </w:tc>
        <w:tc>
          <w:tcPr>
            <w:tcW w:w="9497" w:type="dxa"/>
            <w:shd w:val="clear" w:color="auto" w:fill="auto"/>
            <w:noWrap/>
            <w:vAlign w:val="center"/>
          </w:tcPr>
          <w:p w:rsidR="00C96CB8" w:rsidRDefault="00F17250">
            <w:pPr>
              <w:widowControl/>
              <w:jc w:val="center"/>
              <w:rPr>
                <w:rFonts w:ascii="宋体" w:eastAsia="黑体" w:hAnsi="宋体" w:cs="宋体"/>
                <w:color w:val="000000"/>
                <w:kern w:val="0"/>
                <w:sz w:val="24"/>
                <w:szCs w:val="24"/>
              </w:rPr>
            </w:pPr>
            <w:r>
              <w:rPr>
                <w:rFonts w:ascii="宋体" w:eastAsia="黑体" w:hAnsi="宋体" w:cs="宋体" w:hint="eastAsia"/>
                <w:color w:val="000000"/>
                <w:kern w:val="0"/>
                <w:sz w:val="24"/>
                <w:szCs w:val="24"/>
              </w:rPr>
              <w:t>评估要点</w:t>
            </w:r>
          </w:p>
        </w:tc>
      </w:tr>
      <w:tr w:rsidR="00C96CB8">
        <w:trPr>
          <w:trHeight w:val="397"/>
        </w:trPr>
        <w:tc>
          <w:tcPr>
            <w:tcW w:w="128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组织领导</w:t>
            </w:r>
          </w:p>
        </w:tc>
        <w:tc>
          <w:tcPr>
            <w:tcW w:w="2600"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法治建设工作领导小组</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9497" w:type="dxa"/>
            <w:shd w:val="clear" w:color="auto" w:fill="auto"/>
            <w:vAlign w:val="center"/>
          </w:tcPr>
          <w:p w:rsidR="00C96CB8" w:rsidRDefault="00F17250">
            <w:pPr>
              <w:widowControl/>
              <w:jc w:val="left"/>
              <w:rPr>
                <w:rFonts w:ascii="宋体" w:eastAsia="宋体" w:hAnsi="宋体" w:cs="宋体"/>
                <w:color w:val="000000"/>
                <w:spacing w:val="-8"/>
                <w:kern w:val="0"/>
                <w:sz w:val="24"/>
                <w:szCs w:val="24"/>
              </w:rPr>
            </w:pPr>
            <w:r>
              <w:rPr>
                <w:rFonts w:ascii="宋体" w:eastAsia="宋体" w:hAnsi="宋体" w:cs="宋体" w:hint="eastAsia"/>
                <w:color w:val="000000"/>
                <w:spacing w:val="-8"/>
                <w:kern w:val="0"/>
                <w:sz w:val="24"/>
                <w:szCs w:val="24"/>
              </w:rPr>
              <w:t>成立由单位主要负责人任组长的法治建设工作领导小组，明确人员组成、主要职责和人员分工。</w:t>
            </w:r>
          </w:p>
        </w:tc>
      </w:tr>
      <w:tr w:rsidR="00C96CB8">
        <w:trPr>
          <w:trHeight w:val="397"/>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定期研究法治工作</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每年第一季度，领导小组研究制定年度法治工作计划；党政会议每年至少研究2次法治建设全面工作。</w:t>
            </w:r>
          </w:p>
        </w:tc>
      </w:tr>
      <w:tr w:rsidR="00C96CB8">
        <w:trPr>
          <w:trHeight w:val="397"/>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落实</w:t>
            </w:r>
            <w:proofErr w:type="gramStart"/>
            <w:r>
              <w:rPr>
                <w:rFonts w:ascii="宋体" w:eastAsia="宋体" w:hAnsi="宋体" w:cs="宋体" w:hint="eastAsia"/>
                <w:color w:val="000000"/>
                <w:kern w:val="0"/>
                <w:sz w:val="24"/>
                <w:szCs w:val="24"/>
              </w:rPr>
              <w:t>述职述法制度</w:t>
            </w:r>
            <w:proofErr w:type="gramEnd"/>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严格落实述职</w:t>
            </w:r>
            <w:proofErr w:type="gramStart"/>
            <w:r>
              <w:rPr>
                <w:rFonts w:ascii="宋体" w:eastAsia="宋体" w:hAnsi="宋体" w:cs="宋体" w:hint="eastAsia"/>
                <w:color w:val="000000"/>
                <w:kern w:val="0"/>
                <w:sz w:val="24"/>
                <w:szCs w:val="24"/>
              </w:rPr>
              <w:t>必述法</w:t>
            </w:r>
            <w:proofErr w:type="gramEnd"/>
            <w:r>
              <w:rPr>
                <w:rFonts w:ascii="宋体" w:eastAsia="宋体" w:hAnsi="宋体" w:cs="宋体" w:hint="eastAsia"/>
                <w:color w:val="000000"/>
                <w:kern w:val="0"/>
                <w:sz w:val="24"/>
                <w:szCs w:val="24"/>
              </w:rPr>
              <w:t>制度，</w:t>
            </w:r>
            <w:proofErr w:type="gramStart"/>
            <w:r>
              <w:rPr>
                <w:rFonts w:ascii="宋体" w:eastAsia="宋体" w:hAnsi="宋体" w:cs="宋体" w:hint="eastAsia"/>
                <w:color w:val="000000"/>
                <w:kern w:val="0"/>
                <w:sz w:val="24"/>
                <w:szCs w:val="24"/>
              </w:rPr>
              <w:t>推动述法工作</w:t>
            </w:r>
            <w:proofErr w:type="gramEnd"/>
            <w:r>
              <w:rPr>
                <w:rFonts w:ascii="宋体" w:eastAsia="宋体" w:hAnsi="宋体" w:cs="宋体" w:hint="eastAsia"/>
                <w:color w:val="000000"/>
                <w:kern w:val="0"/>
                <w:sz w:val="24"/>
                <w:szCs w:val="24"/>
              </w:rPr>
              <w:t>与年终述职相融合，逐级开展好党政主要负责人、其他班子成员、中层</w:t>
            </w:r>
            <w:proofErr w:type="gramStart"/>
            <w:r>
              <w:rPr>
                <w:rFonts w:ascii="宋体" w:eastAsia="宋体" w:hAnsi="宋体" w:cs="宋体" w:hint="eastAsia"/>
                <w:color w:val="000000"/>
                <w:kern w:val="0"/>
                <w:sz w:val="24"/>
                <w:szCs w:val="24"/>
              </w:rPr>
              <w:t>骨干述法工作</w:t>
            </w:r>
            <w:proofErr w:type="gramEnd"/>
            <w:r>
              <w:rPr>
                <w:rFonts w:ascii="宋体" w:eastAsia="宋体" w:hAnsi="宋体" w:cs="宋体" w:hint="eastAsia"/>
                <w:color w:val="000000"/>
                <w:kern w:val="0"/>
                <w:sz w:val="24"/>
                <w:szCs w:val="24"/>
              </w:rPr>
              <w:t>。其中，党政主要负责人将履行推进法治建设第一责任人职责情况列入年终述职报告，并作为报告的重要内容。</w:t>
            </w:r>
          </w:p>
        </w:tc>
      </w:tr>
      <w:tr w:rsidR="00C96CB8">
        <w:trPr>
          <w:trHeight w:val="397"/>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加强法治建设工作保障</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将法治工作所需经费纳入单位年度预算。</w:t>
            </w:r>
          </w:p>
        </w:tc>
      </w:tr>
      <w:tr w:rsidR="00C96CB8">
        <w:trPr>
          <w:trHeight w:val="397"/>
        </w:trPr>
        <w:tc>
          <w:tcPr>
            <w:tcW w:w="128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工作力量</w:t>
            </w:r>
          </w:p>
        </w:tc>
        <w:tc>
          <w:tcPr>
            <w:tcW w:w="2600"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工作机构</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9497" w:type="dxa"/>
            <w:shd w:val="clear" w:color="auto" w:fill="auto"/>
            <w:vAlign w:val="center"/>
          </w:tcPr>
          <w:p w:rsidR="00C96CB8" w:rsidRDefault="00F17250">
            <w:pPr>
              <w:widowControl/>
              <w:jc w:val="left"/>
              <w:rPr>
                <w:rFonts w:ascii="宋体" w:eastAsia="宋体" w:hAnsi="宋体" w:cs="宋体"/>
                <w:color w:val="000000"/>
                <w:spacing w:val="-8"/>
                <w:kern w:val="0"/>
                <w:sz w:val="24"/>
                <w:szCs w:val="24"/>
              </w:rPr>
            </w:pPr>
            <w:r>
              <w:rPr>
                <w:rFonts w:ascii="宋体" w:eastAsia="宋体" w:hAnsi="宋体" w:cs="宋体" w:hint="eastAsia"/>
                <w:color w:val="000000"/>
                <w:spacing w:val="-8"/>
                <w:kern w:val="0"/>
                <w:sz w:val="24"/>
                <w:szCs w:val="24"/>
              </w:rPr>
              <w:t>设立或明确法治工作机构，三级公立医院设立法治工作机构，其他医疗机构明确法治工作机构。建立健全工作制度，配备必要的场所及设备。</w:t>
            </w:r>
          </w:p>
        </w:tc>
      </w:tr>
      <w:tr w:rsidR="00C96CB8">
        <w:trPr>
          <w:trHeight w:val="397"/>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工作人员</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明确法治工作联络员，畅通法治工作信息渠道。</w:t>
            </w:r>
          </w:p>
        </w:tc>
      </w:tr>
      <w:tr w:rsidR="00C96CB8">
        <w:trPr>
          <w:trHeight w:val="397"/>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法治工作机构配备专、兼职法</w:t>
            </w:r>
            <w:proofErr w:type="gramStart"/>
            <w:r>
              <w:rPr>
                <w:rFonts w:ascii="宋体" w:eastAsia="宋体" w:hAnsi="宋体" w:cs="宋体" w:hint="eastAsia"/>
                <w:color w:val="000000"/>
                <w:kern w:val="0"/>
                <w:sz w:val="24"/>
                <w:szCs w:val="24"/>
              </w:rPr>
              <w:t>务</w:t>
            </w:r>
            <w:proofErr w:type="gramEnd"/>
            <w:r>
              <w:rPr>
                <w:rFonts w:ascii="宋体" w:eastAsia="宋体" w:hAnsi="宋体" w:cs="宋体" w:hint="eastAsia"/>
                <w:color w:val="000000"/>
                <w:kern w:val="0"/>
                <w:sz w:val="24"/>
                <w:szCs w:val="24"/>
              </w:rPr>
              <w:t>工作人员，人员数量应满足工作需求。其中，三级公立医院至少配备1名具有法律专业知识和能力的专职法</w:t>
            </w:r>
            <w:proofErr w:type="gramStart"/>
            <w:r>
              <w:rPr>
                <w:rFonts w:ascii="宋体" w:eastAsia="宋体" w:hAnsi="宋体" w:cs="宋体" w:hint="eastAsia"/>
                <w:color w:val="000000"/>
                <w:kern w:val="0"/>
                <w:sz w:val="24"/>
                <w:szCs w:val="24"/>
              </w:rPr>
              <w:t>务</w:t>
            </w:r>
            <w:proofErr w:type="gramEnd"/>
            <w:r>
              <w:rPr>
                <w:rFonts w:ascii="宋体" w:eastAsia="宋体" w:hAnsi="宋体" w:cs="宋体" w:hint="eastAsia"/>
                <w:color w:val="000000"/>
                <w:kern w:val="0"/>
                <w:sz w:val="24"/>
                <w:szCs w:val="24"/>
              </w:rPr>
              <w:t>工作人员；其他医疗机构按需求配备专职或兼职法</w:t>
            </w:r>
            <w:proofErr w:type="gramStart"/>
            <w:r>
              <w:rPr>
                <w:rFonts w:ascii="宋体" w:eastAsia="宋体" w:hAnsi="宋体" w:cs="宋体" w:hint="eastAsia"/>
                <w:color w:val="000000"/>
                <w:kern w:val="0"/>
                <w:sz w:val="24"/>
                <w:szCs w:val="24"/>
              </w:rPr>
              <w:t>务</w:t>
            </w:r>
            <w:proofErr w:type="gramEnd"/>
            <w:r>
              <w:rPr>
                <w:rFonts w:ascii="宋体" w:eastAsia="宋体" w:hAnsi="宋体" w:cs="宋体" w:hint="eastAsia"/>
                <w:color w:val="000000"/>
                <w:kern w:val="0"/>
                <w:sz w:val="24"/>
                <w:szCs w:val="24"/>
              </w:rPr>
              <w:t>工作人员。</w:t>
            </w:r>
          </w:p>
        </w:tc>
      </w:tr>
      <w:tr w:rsidR="00C96CB8">
        <w:trPr>
          <w:trHeight w:val="397"/>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部门协作</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明确法治工作机构与党委办公室、院务办公室、医务科（处）及后勤、保卫等职能部门的权责分工，加强部门沟通协作。</w:t>
            </w:r>
          </w:p>
        </w:tc>
      </w:tr>
      <w:tr w:rsidR="00C96CB8">
        <w:trPr>
          <w:trHeight w:val="379"/>
        </w:trPr>
        <w:tc>
          <w:tcPr>
            <w:tcW w:w="128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制度建设</w:t>
            </w:r>
          </w:p>
        </w:tc>
        <w:tc>
          <w:tcPr>
            <w:tcW w:w="260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日常管理制度</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制定医疗机构章程，内容符合法律法规要求。</w:t>
            </w:r>
          </w:p>
        </w:tc>
      </w:tr>
      <w:tr w:rsidR="00C96CB8">
        <w:trPr>
          <w:trHeight w:val="342"/>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制定符合法定要求和工作需要的规章制度、技术操作规范、岗位职责，并严格遵守。</w:t>
            </w:r>
          </w:p>
        </w:tc>
      </w:tr>
      <w:tr w:rsidR="00C96CB8">
        <w:trPr>
          <w:trHeight w:val="420"/>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依法决策制度</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制定依法决策制度，明确重大决策事项的范围和程序。</w:t>
            </w:r>
          </w:p>
        </w:tc>
      </w:tr>
      <w:tr w:rsidR="00C96CB8">
        <w:trPr>
          <w:trHeight w:val="702"/>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落实公众参与、专家论证、风险评估、合法性审查、集体讨论决定等重大决策程序，并做好记录。</w:t>
            </w:r>
          </w:p>
        </w:tc>
      </w:tr>
      <w:tr w:rsidR="00C96CB8">
        <w:trPr>
          <w:trHeight w:val="439"/>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法治工作机构负责人列席重大事项决策会议。</w:t>
            </w:r>
          </w:p>
        </w:tc>
      </w:tr>
      <w:tr w:rsidR="00C96CB8">
        <w:trPr>
          <w:trHeight w:val="420"/>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合法性审核制度</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建立合法性审核制度，明确审核内容、责任主体、工作流程。</w:t>
            </w:r>
          </w:p>
        </w:tc>
      </w:tr>
      <w:tr w:rsidR="00C96CB8">
        <w:trPr>
          <w:trHeight w:val="660"/>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严格落实合法性审核程序，并做好审核记录。未经合法性审核的决策、事项、文件、合同协议等不得提交会议讨论，不得发布实施或签署。         </w:t>
            </w:r>
          </w:p>
        </w:tc>
      </w:tr>
      <w:tr w:rsidR="00C96CB8">
        <w:trPr>
          <w:trHeight w:val="522"/>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法律顾问制度</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制定法律顾问工作制度，外聘或从内部选任法律顾问，明确工作职责和工作程序。</w:t>
            </w:r>
          </w:p>
        </w:tc>
      </w:tr>
      <w:tr w:rsidR="00C96CB8">
        <w:trPr>
          <w:trHeight w:val="660"/>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法律顾问充分开展工作，对涉法事项、仲裁诉讼、合同项目等提供法律服务，参与医疗机构法治教育。</w:t>
            </w:r>
          </w:p>
        </w:tc>
      </w:tr>
      <w:tr w:rsidR="00C96CB8">
        <w:trPr>
          <w:trHeight w:val="660"/>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涉法纠纷处置制度</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严格落实《医疗机构投诉管理办法》，建立投诉、举报事项办理制度，做好投诉举报的受理、调查、答复、调处等工作。</w:t>
            </w:r>
          </w:p>
        </w:tc>
      </w:tr>
      <w:tr w:rsidR="00C96CB8">
        <w:trPr>
          <w:trHeight w:val="859"/>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设立调解室、投诉室、监控室、警务室（“四室”），与综治、公安、司法、保险等相关部门合作，落实医疗纠纷“三调解</w:t>
            </w:r>
            <w:proofErr w:type="gramStart"/>
            <w:r>
              <w:rPr>
                <w:rFonts w:ascii="宋体" w:eastAsia="宋体" w:hAnsi="宋体" w:cs="宋体" w:hint="eastAsia"/>
                <w:color w:val="000000"/>
                <w:kern w:val="0"/>
                <w:sz w:val="24"/>
                <w:szCs w:val="24"/>
              </w:rPr>
              <w:t>一</w:t>
            </w:r>
            <w:proofErr w:type="gramEnd"/>
            <w:r>
              <w:rPr>
                <w:rFonts w:ascii="宋体" w:eastAsia="宋体" w:hAnsi="宋体" w:cs="宋体" w:hint="eastAsia"/>
                <w:color w:val="000000"/>
                <w:kern w:val="0"/>
                <w:sz w:val="24"/>
                <w:szCs w:val="24"/>
              </w:rPr>
              <w:t>保险”制度，配合有关部门严厉打击涉</w:t>
            </w:r>
            <w:proofErr w:type="gramStart"/>
            <w:r>
              <w:rPr>
                <w:rFonts w:ascii="宋体" w:eastAsia="宋体" w:hAnsi="宋体" w:cs="宋体" w:hint="eastAsia"/>
                <w:color w:val="000000"/>
                <w:kern w:val="0"/>
                <w:sz w:val="24"/>
                <w:szCs w:val="24"/>
              </w:rPr>
              <w:t>医</w:t>
            </w:r>
            <w:proofErr w:type="gramEnd"/>
            <w:r>
              <w:rPr>
                <w:rFonts w:ascii="宋体" w:eastAsia="宋体" w:hAnsi="宋体" w:cs="宋体" w:hint="eastAsia"/>
                <w:color w:val="000000"/>
                <w:kern w:val="0"/>
                <w:sz w:val="24"/>
                <w:szCs w:val="24"/>
              </w:rPr>
              <w:t>违法犯罪活动。</w:t>
            </w:r>
          </w:p>
        </w:tc>
      </w:tr>
      <w:tr w:rsidR="00C96CB8">
        <w:trPr>
          <w:trHeight w:val="536"/>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落实待遇职称政策，保障医务人员合法权益，依法解决劳动人事争议。</w:t>
            </w:r>
          </w:p>
        </w:tc>
      </w:tr>
      <w:tr w:rsidR="00C96CB8">
        <w:trPr>
          <w:trHeight w:val="480"/>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依法执业管理制度</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严格落实《医疗机构依法执业自查管理办法》，制定依法执业自查管理制度。</w:t>
            </w:r>
          </w:p>
        </w:tc>
      </w:tr>
      <w:tr w:rsidR="00C96CB8">
        <w:trPr>
          <w:trHeight w:val="660"/>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二级以上医疗机构明确依法执业管理部门，配备专职依法执业管理人员；其他医疗机构配备专职或兼职依法执业管理人员。</w:t>
            </w:r>
          </w:p>
        </w:tc>
      </w:tr>
      <w:tr w:rsidR="00C96CB8">
        <w:trPr>
          <w:trHeight w:val="780"/>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医疗机构每年至少开展1次全面自查，并根据依法执业风险隐患、医疗纠纷或者相关部门要求等开展好专项检查。医疗机构各部门每季度至少开展1次日常自查。</w:t>
            </w:r>
          </w:p>
        </w:tc>
      </w:tr>
      <w:tr w:rsidR="00C96CB8">
        <w:trPr>
          <w:trHeight w:val="529"/>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建立依法执业自查信用承诺制度、内部公示制度、依法执业奖惩机制，并严格落实。</w:t>
            </w:r>
          </w:p>
        </w:tc>
      </w:tr>
      <w:tr w:rsidR="00C96CB8">
        <w:trPr>
          <w:trHeight w:val="479"/>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建立医疗机构依法执业档案，每年一档。</w:t>
            </w:r>
          </w:p>
        </w:tc>
      </w:tr>
      <w:tr w:rsidR="00C96CB8">
        <w:trPr>
          <w:trHeight w:val="432"/>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26</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严格落实《医疗机构工作人员廉洁从业九项准则》，建立医护人员医德医风档案。</w:t>
            </w:r>
          </w:p>
        </w:tc>
      </w:tr>
      <w:tr w:rsidR="00C96CB8">
        <w:trPr>
          <w:trHeight w:val="492"/>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法治监督制度</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建立法治工作检查考核制度，将内设各科（处）室法治工作情况纳入单位综合绩效考核。</w:t>
            </w:r>
          </w:p>
        </w:tc>
      </w:tr>
      <w:tr w:rsidR="00C96CB8">
        <w:trPr>
          <w:trHeight w:val="805"/>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建立典型案例评析制度，针对投诉举报、仲裁诉讼、行政处罚等典型案件，每年至少开展2次评析、案例总数不少于4个，对案例反映出的问题及时进行整改。</w:t>
            </w:r>
          </w:p>
        </w:tc>
      </w:tr>
      <w:tr w:rsidR="00C96CB8">
        <w:trPr>
          <w:trHeight w:val="498"/>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29</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严格执行行政处罚决定、行政处理决定以及法院生效判决。</w:t>
            </w:r>
          </w:p>
        </w:tc>
      </w:tr>
      <w:tr w:rsidR="00C96CB8">
        <w:trPr>
          <w:trHeight w:val="425"/>
        </w:trPr>
        <w:tc>
          <w:tcPr>
            <w:tcW w:w="128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依法执业</w:t>
            </w:r>
            <w:r>
              <w:rPr>
                <w:rFonts w:ascii="宋体" w:eastAsia="宋体" w:hAnsi="宋体" w:cs="宋体" w:hint="eastAsia"/>
                <w:color w:val="000000"/>
                <w:kern w:val="0"/>
                <w:sz w:val="18"/>
                <w:szCs w:val="18"/>
              </w:rPr>
              <w:t>（具体要求参照国家</w:t>
            </w:r>
            <w:proofErr w:type="gramStart"/>
            <w:r>
              <w:rPr>
                <w:rFonts w:ascii="宋体" w:eastAsia="宋体" w:hAnsi="宋体" w:cs="宋体" w:hint="eastAsia"/>
                <w:color w:val="000000"/>
                <w:kern w:val="0"/>
                <w:sz w:val="18"/>
                <w:szCs w:val="18"/>
              </w:rPr>
              <w:t>卫健委印发</w:t>
            </w:r>
            <w:proofErr w:type="gramEnd"/>
            <w:r>
              <w:rPr>
                <w:rFonts w:ascii="宋体" w:eastAsia="宋体" w:hAnsi="宋体" w:cs="宋体" w:hint="eastAsia"/>
                <w:color w:val="000000"/>
                <w:kern w:val="0"/>
                <w:sz w:val="18"/>
                <w:szCs w:val="18"/>
              </w:rPr>
              <w:t>的《医疗机构依法执业指引》）</w:t>
            </w:r>
          </w:p>
        </w:tc>
        <w:tc>
          <w:tcPr>
            <w:tcW w:w="2600"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机构资质</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机构许可、专项许可、登记备案、证件管理、许可公示、人员公示等符合法定要求。</w:t>
            </w:r>
          </w:p>
        </w:tc>
      </w:tr>
      <w:tr w:rsidR="00C96CB8">
        <w:trPr>
          <w:trHeight w:val="712"/>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机构执业</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执业范围、人员使用、医疗技术、医疗质量、医疗文书、转诊会诊、传染病防治、放射诊疗、药品器械及血液使用管理、医疗服务信息公开等符合法定要求。</w:t>
            </w:r>
          </w:p>
        </w:tc>
      </w:tr>
      <w:tr w:rsidR="00C96CB8">
        <w:trPr>
          <w:trHeight w:val="480"/>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人员执业</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医</w:t>
            </w:r>
            <w:proofErr w:type="gramEnd"/>
            <w:r>
              <w:rPr>
                <w:rFonts w:ascii="宋体" w:eastAsia="宋体" w:hAnsi="宋体" w:cs="宋体" w:hint="eastAsia"/>
                <w:color w:val="000000"/>
                <w:kern w:val="0"/>
                <w:sz w:val="24"/>
                <w:szCs w:val="24"/>
              </w:rPr>
              <w:t>、护、药、技人员的执业资格、执业行为符合法定要求。</w:t>
            </w:r>
          </w:p>
        </w:tc>
      </w:tr>
      <w:tr w:rsidR="00C96CB8">
        <w:trPr>
          <w:trHeight w:val="439"/>
        </w:trPr>
        <w:tc>
          <w:tcPr>
            <w:tcW w:w="128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法治意识</w:t>
            </w:r>
          </w:p>
        </w:tc>
        <w:tc>
          <w:tcPr>
            <w:tcW w:w="260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学法培训</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33</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制定学法培训制度、年度学法计划，将法治培训纳入单位年度培训方案。</w:t>
            </w:r>
          </w:p>
        </w:tc>
      </w:tr>
      <w:tr w:rsidR="00C96CB8">
        <w:trPr>
          <w:trHeight w:val="716"/>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34</w:t>
            </w:r>
          </w:p>
        </w:tc>
        <w:tc>
          <w:tcPr>
            <w:tcW w:w="9497" w:type="dxa"/>
            <w:shd w:val="clear" w:color="auto" w:fill="auto"/>
            <w:vAlign w:val="center"/>
          </w:tcPr>
          <w:p w:rsidR="00C96CB8" w:rsidRDefault="00F17250">
            <w:pPr>
              <w:widowControl/>
              <w:jc w:val="left"/>
              <w:rPr>
                <w:rFonts w:ascii="宋体" w:eastAsia="宋体" w:hAnsi="宋体" w:cs="宋体"/>
                <w:kern w:val="0"/>
                <w:sz w:val="24"/>
                <w:szCs w:val="24"/>
              </w:rPr>
            </w:pPr>
            <w:r>
              <w:rPr>
                <w:rFonts w:ascii="宋体" w:eastAsia="宋体" w:hAnsi="宋体" w:cs="宋体" w:hint="eastAsia"/>
                <w:kern w:val="0"/>
                <w:sz w:val="24"/>
                <w:szCs w:val="24"/>
              </w:rPr>
              <w:t>围绕深入学习贯彻习近平法治思想、传达上级法治工作会议精神以及深入学习党内法规、重点法律法规规章和规范性文件等内容，党委中心组每年至少开展1次专题学法活动。</w:t>
            </w:r>
          </w:p>
        </w:tc>
      </w:tr>
      <w:tr w:rsidR="00C96CB8">
        <w:trPr>
          <w:trHeight w:val="499"/>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35</w:t>
            </w:r>
          </w:p>
        </w:tc>
        <w:tc>
          <w:tcPr>
            <w:tcW w:w="9497" w:type="dxa"/>
            <w:shd w:val="clear" w:color="auto" w:fill="auto"/>
            <w:vAlign w:val="center"/>
          </w:tcPr>
          <w:p w:rsidR="00C96CB8" w:rsidRDefault="00F17250">
            <w:pPr>
              <w:widowControl/>
              <w:jc w:val="left"/>
              <w:rPr>
                <w:rFonts w:ascii="宋体" w:eastAsia="宋体" w:hAnsi="宋体" w:cs="宋体"/>
                <w:kern w:val="0"/>
                <w:sz w:val="24"/>
                <w:szCs w:val="24"/>
              </w:rPr>
            </w:pPr>
            <w:r>
              <w:rPr>
                <w:rFonts w:ascii="宋体" w:eastAsia="宋体" w:hAnsi="宋体" w:cs="宋体" w:hint="eastAsia"/>
                <w:kern w:val="0"/>
                <w:sz w:val="24"/>
                <w:szCs w:val="24"/>
              </w:rPr>
              <w:t>每半年至少组织单位领导、部门及科室负责人开展1次集中法治学习。</w:t>
            </w:r>
          </w:p>
        </w:tc>
      </w:tr>
      <w:tr w:rsidR="00C96CB8">
        <w:trPr>
          <w:trHeight w:val="435"/>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36</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全体医务人员每年至少接受1次集中法治培训。</w:t>
            </w:r>
          </w:p>
        </w:tc>
      </w:tr>
      <w:tr w:rsidR="00C96CB8">
        <w:trPr>
          <w:trHeight w:val="479"/>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37</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在医务人员岗前培训、住院医师</w:t>
            </w:r>
            <w:proofErr w:type="gramStart"/>
            <w:r>
              <w:rPr>
                <w:rFonts w:ascii="宋体" w:eastAsia="宋体" w:hAnsi="宋体" w:cs="宋体" w:hint="eastAsia"/>
                <w:color w:val="000000"/>
                <w:kern w:val="0"/>
                <w:sz w:val="24"/>
                <w:szCs w:val="24"/>
              </w:rPr>
              <w:t>规</w:t>
            </w:r>
            <w:proofErr w:type="gramEnd"/>
            <w:r>
              <w:rPr>
                <w:rFonts w:ascii="宋体" w:eastAsia="宋体" w:hAnsi="宋体" w:cs="宋体" w:hint="eastAsia"/>
                <w:color w:val="000000"/>
                <w:kern w:val="0"/>
                <w:sz w:val="24"/>
                <w:szCs w:val="24"/>
              </w:rPr>
              <w:t>培、在职培训中，法治培训内容不低于10%。</w:t>
            </w:r>
          </w:p>
        </w:tc>
      </w:tr>
      <w:tr w:rsidR="00C96CB8">
        <w:trPr>
          <w:trHeight w:val="485"/>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38</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每年举办卫生健康相关法律知识测试。</w:t>
            </w:r>
          </w:p>
        </w:tc>
      </w:tr>
      <w:tr w:rsidR="00C96CB8">
        <w:trPr>
          <w:trHeight w:val="420"/>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普法宣传</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39</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制定年度普法工作计划。</w:t>
            </w:r>
          </w:p>
        </w:tc>
      </w:tr>
      <w:tr w:rsidR="00C96CB8">
        <w:trPr>
          <w:trHeight w:val="462"/>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用好医疗机构线上线下宣传平台，积极开展面向患者及其家属的法治宣传。</w:t>
            </w:r>
          </w:p>
        </w:tc>
      </w:tr>
      <w:tr w:rsidR="00C96CB8">
        <w:trPr>
          <w:trHeight w:val="439"/>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采取义诊服务、新时代文明实践等形式，大力开展社会普法。</w:t>
            </w:r>
          </w:p>
        </w:tc>
      </w:tr>
      <w:tr w:rsidR="00C96CB8">
        <w:trPr>
          <w:trHeight w:val="499"/>
        </w:trPr>
        <w:tc>
          <w:tcPr>
            <w:tcW w:w="128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加分项</w:t>
            </w:r>
          </w:p>
        </w:tc>
        <w:tc>
          <w:tcPr>
            <w:tcW w:w="2600"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专题“讲法”</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42</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党政主要负责人为本单位干部职工作法治专题报告（或讲专题党课）。</w:t>
            </w:r>
          </w:p>
        </w:tc>
      </w:tr>
      <w:tr w:rsidR="00C96CB8">
        <w:trPr>
          <w:trHeight w:val="480"/>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公职律师</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43</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选任公职律师，充分发挥公职律师职能作用。</w:t>
            </w:r>
          </w:p>
        </w:tc>
      </w:tr>
      <w:tr w:rsidR="00C96CB8">
        <w:trPr>
          <w:trHeight w:val="462"/>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第三方参与</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44</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招募社工、志愿者或第三方组织参与本单位法治建设。</w:t>
            </w:r>
          </w:p>
        </w:tc>
      </w:tr>
      <w:tr w:rsidR="00C96CB8">
        <w:trPr>
          <w:trHeight w:val="660"/>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奖励表彰</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45</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法治工作获市厅级以上表彰奖励；在市厅级以上法治工作会议上作经验介绍；法治工作经验被市厅级以上媒体刊物宣传报道。</w:t>
            </w:r>
          </w:p>
        </w:tc>
      </w:tr>
      <w:tr w:rsidR="00C96CB8">
        <w:trPr>
          <w:trHeight w:val="600"/>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其他工作</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46</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法治工作富有创新性、实效性；配合、协助卫生健康行政部门，承办或积极参与法治调研、试点创建、活动开展等重点工作，出色完成工作任务。</w:t>
            </w:r>
          </w:p>
        </w:tc>
      </w:tr>
      <w:tr w:rsidR="00C96CB8">
        <w:trPr>
          <w:trHeight w:val="473"/>
        </w:trPr>
        <w:tc>
          <w:tcPr>
            <w:tcW w:w="1280" w:type="dxa"/>
            <w:vMerge w:val="restart"/>
            <w:shd w:val="clear" w:color="auto" w:fill="auto"/>
            <w:noWrap/>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负面清单</w:t>
            </w:r>
          </w:p>
        </w:tc>
        <w:tc>
          <w:tcPr>
            <w:tcW w:w="2600" w:type="dxa"/>
            <w:vMerge w:val="restart"/>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违法违规情况</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47</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年度内主要负责人违法违纪情况；其他班子成员违法违纪情况；其他干部职工违法违纪情况。</w:t>
            </w:r>
          </w:p>
        </w:tc>
      </w:tr>
      <w:tr w:rsidR="00C96CB8">
        <w:trPr>
          <w:trHeight w:val="642"/>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48</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年度内医疗机构或医务人员因违法违规执业（管理）、违反“九项准则”等受到行政处罚、行政处理情况。</w:t>
            </w:r>
          </w:p>
        </w:tc>
      </w:tr>
      <w:tr w:rsidR="00C96CB8">
        <w:trPr>
          <w:trHeight w:val="494"/>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vMerge/>
            <w:vAlign w:val="center"/>
          </w:tcPr>
          <w:p w:rsidR="00C96CB8" w:rsidRDefault="00C96CB8">
            <w:pPr>
              <w:widowControl/>
              <w:jc w:val="left"/>
              <w:rPr>
                <w:rFonts w:ascii="宋体" w:eastAsia="宋体" w:hAnsi="宋体" w:cs="宋体"/>
                <w:color w:val="000000"/>
                <w:kern w:val="0"/>
                <w:sz w:val="24"/>
                <w:szCs w:val="24"/>
              </w:rPr>
            </w:pP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49</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年度内出现重大执业违法事件情况。</w:t>
            </w:r>
          </w:p>
        </w:tc>
      </w:tr>
      <w:tr w:rsidR="00C96CB8">
        <w:trPr>
          <w:trHeight w:val="702"/>
        </w:trPr>
        <w:tc>
          <w:tcPr>
            <w:tcW w:w="1280" w:type="dxa"/>
            <w:vMerge/>
            <w:vAlign w:val="center"/>
          </w:tcPr>
          <w:p w:rsidR="00C96CB8" w:rsidRDefault="00C96CB8">
            <w:pPr>
              <w:widowControl/>
              <w:jc w:val="left"/>
              <w:rPr>
                <w:rFonts w:ascii="宋体" w:eastAsia="宋体" w:hAnsi="宋体" w:cs="宋体"/>
                <w:color w:val="000000"/>
                <w:kern w:val="0"/>
                <w:sz w:val="24"/>
                <w:szCs w:val="24"/>
              </w:rPr>
            </w:pPr>
          </w:p>
        </w:tc>
        <w:tc>
          <w:tcPr>
            <w:tcW w:w="2600"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医疗纠纷、群体性事件及舆情事件</w:t>
            </w:r>
          </w:p>
        </w:tc>
        <w:tc>
          <w:tcPr>
            <w:tcW w:w="793" w:type="dxa"/>
            <w:shd w:val="clear" w:color="auto" w:fill="auto"/>
            <w:vAlign w:val="center"/>
          </w:tcPr>
          <w:p w:rsidR="00C96CB8" w:rsidRDefault="00F1725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c>
          <w:tcPr>
            <w:tcW w:w="9497" w:type="dxa"/>
            <w:shd w:val="clear" w:color="auto" w:fill="auto"/>
            <w:vAlign w:val="center"/>
          </w:tcPr>
          <w:p w:rsidR="00C96CB8" w:rsidRDefault="00F1725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年度内因医疗机构或医务人员违法违规执业（管理），造成医疗纠纷、群体性事件、舆情事件情况。</w:t>
            </w:r>
          </w:p>
        </w:tc>
      </w:tr>
    </w:tbl>
    <w:p w:rsidR="00C96CB8" w:rsidRPr="00F17250" w:rsidRDefault="00F17250" w:rsidP="00F17250">
      <w:pPr>
        <w:pStyle w:val="a4"/>
        <w:ind w:firstLineChars="0" w:firstLine="0"/>
        <w:rPr>
          <w:rFonts w:ascii="宋体" w:hAnsi="宋体"/>
        </w:rPr>
      </w:pPr>
      <w:r>
        <w:rPr>
          <w:rFonts w:ascii="楷体_GB2312" w:eastAsia="楷体_GB2312" w:hAnsi="楷体_GB2312" w:cs="楷体_GB2312" w:hint="eastAsia"/>
          <w:szCs w:val="28"/>
        </w:rPr>
        <w:t>注：除医疗机构以外的其他卫生机构，参照以上指标要求，加强法治建设工作。</w:t>
      </w:r>
    </w:p>
    <w:sectPr w:rsidR="00C96CB8" w:rsidRPr="00F17250" w:rsidSect="00F17250">
      <w:footerReference w:type="even" r:id="rId8"/>
      <w:pgSz w:w="16838" w:h="11906" w:orient="landscape"/>
      <w:pgMar w:top="1588" w:right="2098" w:bottom="1588" w:left="1588" w:header="851" w:footer="992" w:gutter="0"/>
      <w:cols w:space="720"/>
      <w:docGrid w:type="linesAndChars" w:linePitch="59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EB5" w:rsidRDefault="00F17250">
      <w:r>
        <w:separator/>
      </w:r>
    </w:p>
  </w:endnote>
  <w:endnote w:type="continuationSeparator" w:id="0">
    <w:p w:rsidR="009F6EB5" w:rsidRDefault="00F1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CB8" w:rsidRDefault="00C96CB8">
    <w:pPr>
      <w:pStyle w:val="a9"/>
      <w:ind w:firstLineChars="100" w:firstLine="280"/>
      <w:rPr>
        <w:rFonts w:ascii="宋体" w:eastAsia="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EB5" w:rsidRDefault="00F17250">
      <w:r>
        <w:separator/>
      </w:r>
    </w:p>
  </w:footnote>
  <w:footnote w:type="continuationSeparator" w:id="0">
    <w:p w:rsidR="009F6EB5" w:rsidRDefault="00F17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56"/>
  <w:drawingGridVerticalSpacing w:val="5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16"/>
    <w:rsid w:val="9FD77190"/>
    <w:rsid w:val="B9FF6658"/>
    <w:rsid w:val="BB5EFE90"/>
    <w:rsid w:val="BEFEE8DF"/>
    <w:rsid w:val="BFDF7697"/>
    <w:rsid w:val="BFF7BCA3"/>
    <w:rsid w:val="CFBFBE0B"/>
    <w:rsid w:val="D8EFE131"/>
    <w:rsid w:val="DFEB2835"/>
    <w:rsid w:val="E6FB2972"/>
    <w:rsid w:val="E7FFE086"/>
    <w:rsid w:val="ED1D5794"/>
    <w:rsid w:val="ED9D43E3"/>
    <w:rsid w:val="F6BCE70B"/>
    <w:rsid w:val="FBF95D03"/>
    <w:rsid w:val="FCFF9D95"/>
    <w:rsid w:val="FE77FAC7"/>
    <w:rsid w:val="000016B7"/>
    <w:rsid w:val="000018F4"/>
    <w:rsid w:val="000159E4"/>
    <w:rsid w:val="000232AB"/>
    <w:rsid w:val="00024AA1"/>
    <w:rsid w:val="00030535"/>
    <w:rsid w:val="00033F7A"/>
    <w:rsid w:val="00034B70"/>
    <w:rsid w:val="00051AE2"/>
    <w:rsid w:val="00055B5A"/>
    <w:rsid w:val="00062EDE"/>
    <w:rsid w:val="00063162"/>
    <w:rsid w:val="00065DC3"/>
    <w:rsid w:val="00065F62"/>
    <w:rsid w:val="00067654"/>
    <w:rsid w:val="00073830"/>
    <w:rsid w:val="00075DA0"/>
    <w:rsid w:val="000801A3"/>
    <w:rsid w:val="00080C56"/>
    <w:rsid w:val="00081C1C"/>
    <w:rsid w:val="00090319"/>
    <w:rsid w:val="00091572"/>
    <w:rsid w:val="000951EE"/>
    <w:rsid w:val="00096A34"/>
    <w:rsid w:val="000A0F3F"/>
    <w:rsid w:val="000A1EDF"/>
    <w:rsid w:val="000A28CE"/>
    <w:rsid w:val="000A50C3"/>
    <w:rsid w:val="000A5149"/>
    <w:rsid w:val="000B0431"/>
    <w:rsid w:val="000B7DBE"/>
    <w:rsid w:val="000C0672"/>
    <w:rsid w:val="000C0A3E"/>
    <w:rsid w:val="000C272C"/>
    <w:rsid w:val="000C4109"/>
    <w:rsid w:val="000D2F80"/>
    <w:rsid w:val="000E178E"/>
    <w:rsid w:val="000E23A6"/>
    <w:rsid w:val="000E34FF"/>
    <w:rsid w:val="000E39A0"/>
    <w:rsid w:val="000F2E79"/>
    <w:rsid w:val="000F32DB"/>
    <w:rsid w:val="000F3645"/>
    <w:rsid w:val="000F366D"/>
    <w:rsid w:val="00115295"/>
    <w:rsid w:val="00115DB4"/>
    <w:rsid w:val="001233C1"/>
    <w:rsid w:val="00124A6B"/>
    <w:rsid w:val="00125413"/>
    <w:rsid w:val="00134CCB"/>
    <w:rsid w:val="00136A4E"/>
    <w:rsid w:val="00137047"/>
    <w:rsid w:val="00143569"/>
    <w:rsid w:val="00145C6D"/>
    <w:rsid w:val="001469A9"/>
    <w:rsid w:val="0015060C"/>
    <w:rsid w:val="0015427B"/>
    <w:rsid w:val="0015540F"/>
    <w:rsid w:val="00161EB9"/>
    <w:rsid w:val="0016229D"/>
    <w:rsid w:val="0016458E"/>
    <w:rsid w:val="00177836"/>
    <w:rsid w:val="00183FFD"/>
    <w:rsid w:val="00187789"/>
    <w:rsid w:val="00187EA7"/>
    <w:rsid w:val="001916D2"/>
    <w:rsid w:val="001A018B"/>
    <w:rsid w:val="001A1D96"/>
    <w:rsid w:val="001A36DF"/>
    <w:rsid w:val="001A4E97"/>
    <w:rsid w:val="001A5457"/>
    <w:rsid w:val="001B2BD5"/>
    <w:rsid w:val="001B53E6"/>
    <w:rsid w:val="001C0990"/>
    <w:rsid w:val="001C1233"/>
    <w:rsid w:val="001D5B04"/>
    <w:rsid w:val="001D61B8"/>
    <w:rsid w:val="001D6835"/>
    <w:rsid w:val="001D6972"/>
    <w:rsid w:val="001D7C04"/>
    <w:rsid w:val="001D7D5F"/>
    <w:rsid w:val="001E3F87"/>
    <w:rsid w:val="001E42B0"/>
    <w:rsid w:val="001E4719"/>
    <w:rsid w:val="001E7494"/>
    <w:rsid w:val="001E7B24"/>
    <w:rsid w:val="001F2DDB"/>
    <w:rsid w:val="001F3270"/>
    <w:rsid w:val="001F340F"/>
    <w:rsid w:val="001F6CDE"/>
    <w:rsid w:val="00200AF8"/>
    <w:rsid w:val="00200C9B"/>
    <w:rsid w:val="00204397"/>
    <w:rsid w:val="00205E8C"/>
    <w:rsid w:val="00210EBC"/>
    <w:rsid w:val="0021241F"/>
    <w:rsid w:val="00216374"/>
    <w:rsid w:val="002270BA"/>
    <w:rsid w:val="0023094D"/>
    <w:rsid w:val="002372CA"/>
    <w:rsid w:val="00243B89"/>
    <w:rsid w:val="002473D2"/>
    <w:rsid w:val="002500B6"/>
    <w:rsid w:val="00253FC9"/>
    <w:rsid w:val="00254A2E"/>
    <w:rsid w:val="00256606"/>
    <w:rsid w:val="002602B5"/>
    <w:rsid w:val="00260AC1"/>
    <w:rsid w:val="002628F7"/>
    <w:rsid w:val="0026300B"/>
    <w:rsid w:val="00264D36"/>
    <w:rsid w:val="00266943"/>
    <w:rsid w:val="00270727"/>
    <w:rsid w:val="00273612"/>
    <w:rsid w:val="00273698"/>
    <w:rsid w:val="002748C9"/>
    <w:rsid w:val="00281E95"/>
    <w:rsid w:val="00282C27"/>
    <w:rsid w:val="0028466F"/>
    <w:rsid w:val="00285C6C"/>
    <w:rsid w:val="00286562"/>
    <w:rsid w:val="002871C5"/>
    <w:rsid w:val="002872C6"/>
    <w:rsid w:val="00287873"/>
    <w:rsid w:val="0029004C"/>
    <w:rsid w:val="00290B6D"/>
    <w:rsid w:val="00293204"/>
    <w:rsid w:val="0029649C"/>
    <w:rsid w:val="002B6222"/>
    <w:rsid w:val="002D052C"/>
    <w:rsid w:val="002D1057"/>
    <w:rsid w:val="002D72AF"/>
    <w:rsid w:val="002E3A9D"/>
    <w:rsid w:val="002E5EF7"/>
    <w:rsid w:val="002F0C7E"/>
    <w:rsid w:val="002F2EEE"/>
    <w:rsid w:val="003037F1"/>
    <w:rsid w:val="00307F4B"/>
    <w:rsid w:val="003117C3"/>
    <w:rsid w:val="00311907"/>
    <w:rsid w:val="00312315"/>
    <w:rsid w:val="00314749"/>
    <w:rsid w:val="003173EA"/>
    <w:rsid w:val="00322922"/>
    <w:rsid w:val="00323FB2"/>
    <w:rsid w:val="0032430F"/>
    <w:rsid w:val="00331BBB"/>
    <w:rsid w:val="00332C5C"/>
    <w:rsid w:val="00334445"/>
    <w:rsid w:val="003365D6"/>
    <w:rsid w:val="003449B9"/>
    <w:rsid w:val="00344C87"/>
    <w:rsid w:val="00345BCF"/>
    <w:rsid w:val="003470E1"/>
    <w:rsid w:val="003473E1"/>
    <w:rsid w:val="00353ED1"/>
    <w:rsid w:val="003645D1"/>
    <w:rsid w:val="0036775F"/>
    <w:rsid w:val="00372CBB"/>
    <w:rsid w:val="0037441F"/>
    <w:rsid w:val="003763F1"/>
    <w:rsid w:val="003818DE"/>
    <w:rsid w:val="00382A1D"/>
    <w:rsid w:val="003832AD"/>
    <w:rsid w:val="0038504F"/>
    <w:rsid w:val="0038674D"/>
    <w:rsid w:val="003935E4"/>
    <w:rsid w:val="003A16DB"/>
    <w:rsid w:val="003A3573"/>
    <w:rsid w:val="003A3EE8"/>
    <w:rsid w:val="003A4CC7"/>
    <w:rsid w:val="003C02F0"/>
    <w:rsid w:val="003C2AC4"/>
    <w:rsid w:val="003C67A1"/>
    <w:rsid w:val="003D1FEE"/>
    <w:rsid w:val="003D39D9"/>
    <w:rsid w:val="003E451B"/>
    <w:rsid w:val="003E747C"/>
    <w:rsid w:val="003E7F72"/>
    <w:rsid w:val="003F0895"/>
    <w:rsid w:val="003F307A"/>
    <w:rsid w:val="004007EE"/>
    <w:rsid w:val="00407256"/>
    <w:rsid w:val="00407457"/>
    <w:rsid w:val="00411FA4"/>
    <w:rsid w:val="00412564"/>
    <w:rsid w:val="00413D82"/>
    <w:rsid w:val="00415C66"/>
    <w:rsid w:val="0042126D"/>
    <w:rsid w:val="004222B6"/>
    <w:rsid w:val="004257B8"/>
    <w:rsid w:val="00425C87"/>
    <w:rsid w:val="00425DFB"/>
    <w:rsid w:val="00437F3B"/>
    <w:rsid w:val="004402DC"/>
    <w:rsid w:val="00442FCF"/>
    <w:rsid w:val="004443F7"/>
    <w:rsid w:val="00450E2E"/>
    <w:rsid w:val="004627F6"/>
    <w:rsid w:val="00463E9B"/>
    <w:rsid w:val="00464937"/>
    <w:rsid w:val="00464EEE"/>
    <w:rsid w:val="004668AF"/>
    <w:rsid w:val="004709DD"/>
    <w:rsid w:val="00471580"/>
    <w:rsid w:val="004720CB"/>
    <w:rsid w:val="00472E9A"/>
    <w:rsid w:val="00480CA5"/>
    <w:rsid w:val="0048102C"/>
    <w:rsid w:val="00494EC8"/>
    <w:rsid w:val="004975FF"/>
    <w:rsid w:val="004A2D0B"/>
    <w:rsid w:val="004A51A3"/>
    <w:rsid w:val="004A606E"/>
    <w:rsid w:val="004B449A"/>
    <w:rsid w:val="004B4F76"/>
    <w:rsid w:val="004B6403"/>
    <w:rsid w:val="004C5DAF"/>
    <w:rsid w:val="004D1A94"/>
    <w:rsid w:val="004D470C"/>
    <w:rsid w:val="004E30CD"/>
    <w:rsid w:val="004E4873"/>
    <w:rsid w:val="004E4974"/>
    <w:rsid w:val="004E5CFD"/>
    <w:rsid w:val="004E6529"/>
    <w:rsid w:val="004E73A8"/>
    <w:rsid w:val="004F7207"/>
    <w:rsid w:val="005010DD"/>
    <w:rsid w:val="0050241C"/>
    <w:rsid w:val="00506490"/>
    <w:rsid w:val="005121C4"/>
    <w:rsid w:val="00515CD2"/>
    <w:rsid w:val="0051681E"/>
    <w:rsid w:val="0053011D"/>
    <w:rsid w:val="00532716"/>
    <w:rsid w:val="00536F52"/>
    <w:rsid w:val="00552C1D"/>
    <w:rsid w:val="00555554"/>
    <w:rsid w:val="00557D16"/>
    <w:rsid w:val="0056515A"/>
    <w:rsid w:val="005671F9"/>
    <w:rsid w:val="0057185B"/>
    <w:rsid w:val="005728A3"/>
    <w:rsid w:val="0057712A"/>
    <w:rsid w:val="005775D1"/>
    <w:rsid w:val="005836FC"/>
    <w:rsid w:val="00583BD6"/>
    <w:rsid w:val="005903A4"/>
    <w:rsid w:val="005945F0"/>
    <w:rsid w:val="005974A7"/>
    <w:rsid w:val="005A4FEF"/>
    <w:rsid w:val="005A5BAF"/>
    <w:rsid w:val="005A6F7D"/>
    <w:rsid w:val="005B2615"/>
    <w:rsid w:val="005B631F"/>
    <w:rsid w:val="005B7046"/>
    <w:rsid w:val="005B7271"/>
    <w:rsid w:val="005C0F58"/>
    <w:rsid w:val="005C336E"/>
    <w:rsid w:val="005C56F3"/>
    <w:rsid w:val="005C5ECF"/>
    <w:rsid w:val="005C66B5"/>
    <w:rsid w:val="005D164A"/>
    <w:rsid w:val="005D2ED4"/>
    <w:rsid w:val="005D5579"/>
    <w:rsid w:val="005E21EB"/>
    <w:rsid w:val="005E3E2F"/>
    <w:rsid w:val="005E69BC"/>
    <w:rsid w:val="005F3E26"/>
    <w:rsid w:val="00600EB6"/>
    <w:rsid w:val="00603636"/>
    <w:rsid w:val="00605833"/>
    <w:rsid w:val="006066BE"/>
    <w:rsid w:val="006078BE"/>
    <w:rsid w:val="00611161"/>
    <w:rsid w:val="00615728"/>
    <w:rsid w:val="00620FA1"/>
    <w:rsid w:val="0062570A"/>
    <w:rsid w:val="00625912"/>
    <w:rsid w:val="00631C35"/>
    <w:rsid w:val="00632FBF"/>
    <w:rsid w:val="00636606"/>
    <w:rsid w:val="006374E0"/>
    <w:rsid w:val="00647FDB"/>
    <w:rsid w:val="00650FF3"/>
    <w:rsid w:val="00652C8E"/>
    <w:rsid w:val="00661E03"/>
    <w:rsid w:val="00665C9C"/>
    <w:rsid w:val="006723F3"/>
    <w:rsid w:val="00673172"/>
    <w:rsid w:val="00674E03"/>
    <w:rsid w:val="00680167"/>
    <w:rsid w:val="00681560"/>
    <w:rsid w:val="00684167"/>
    <w:rsid w:val="006903D0"/>
    <w:rsid w:val="00690CBA"/>
    <w:rsid w:val="00694F2A"/>
    <w:rsid w:val="006A3496"/>
    <w:rsid w:val="006C0390"/>
    <w:rsid w:val="006D30CE"/>
    <w:rsid w:val="006D6B46"/>
    <w:rsid w:val="006D7793"/>
    <w:rsid w:val="006E18BF"/>
    <w:rsid w:val="006E51B4"/>
    <w:rsid w:val="006F3920"/>
    <w:rsid w:val="006F4978"/>
    <w:rsid w:val="0070590F"/>
    <w:rsid w:val="007077B3"/>
    <w:rsid w:val="00715961"/>
    <w:rsid w:val="0071752D"/>
    <w:rsid w:val="00717675"/>
    <w:rsid w:val="00725A03"/>
    <w:rsid w:val="007334A9"/>
    <w:rsid w:val="0073619C"/>
    <w:rsid w:val="007368AF"/>
    <w:rsid w:val="00743941"/>
    <w:rsid w:val="0074411E"/>
    <w:rsid w:val="007508FF"/>
    <w:rsid w:val="00751ABA"/>
    <w:rsid w:val="007521BC"/>
    <w:rsid w:val="00756389"/>
    <w:rsid w:val="007569F4"/>
    <w:rsid w:val="0075723F"/>
    <w:rsid w:val="00761940"/>
    <w:rsid w:val="007629A0"/>
    <w:rsid w:val="00762BCC"/>
    <w:rsid w:val="0076501C"/>
    <w:rsid w:val="00767D20"/>
    <w:rsid w:val="00772F33"/>
    <w:rsid w:val="0077327E"/>
    <w:rsid w:val="00774744"/>
    <w:rsid w:val="007754F6"/>
    <w:rsid w:val="007953AF"/>
    <w:rsid w:val="00796E2F"/>
    <w:rsid w:val="007A1157"/>
    <w:rsid w:val="007A55DA"/>
    <w:rsid w:val="007B6626"/>
    <w:rsid w:val="007B7558"/>
    <w:rsid w:val="007C59E4"/>
    <w:rsid w:val="007D314C"/>
    <w:rsid w:val="007D3F73"/>
    <w:rsid w:val="007D7052"/>
    <w:rsid w:val="007E4B0A"/>
    <w:rsid w:val="007F08B1"/>
    <w:rsid w:val="007F370D"/>
    <w:rsid w:val="007F4897"/>
    <w:rsid w:val="007F4A7D"/>
    <w:rsid w:val="00801F19"/>
    <w:rsid w:val="0080428D"/>
    <w:rsid w:val="008056A7"/>
    <w:rsid w:val="00805F6F"/>
    <w:rsid w:val="0080608F"/>
    <w:rsid w:val="00806416"/>
    <w:rsid w:val="008126AC"/>
    <w:rsid w:val="00817053"/>
    <w:rsid w:val="00820346"/>
    <w:rsid w:val="008216D7"/>
    <w:rsid w:val="00833D54"/>
    <w:rsid w:val="008364A4"/>
    <w:rsid w:val="00842926"/>
    <w:rsid w:val="00842F5C"/>
    <w:rsid w:val="00845BB1"/>
    <w:rsid w:val="0085382B"/>
    <w:rsid w:val="00860EA7"/>
    <w:rsid w:val="00863CA3"/>
    <w:rsid w:val="00866025"/>
    <w:rsid w:val="00870BD5"/>
    <w:rsid w:val="00871AB4"/>
    <w:rsid w:val="00880E5A"/>
    <w:rsid w:val="00885F75"/>
    <w:rsid w:val="0089040E"/>
    <w:rsid w:val="00890422"/>
    <w:rsid w:val="008907CF"/>
    <w:rsid w:val="008930F5"/>
    <w:rsid w:val="00896A9B"/>
    <w:rsid w:val="0089798C"/>
    <w:rsid w:val="008A1811"/>
    <w:rsid w:val="008A397A"/>
    <w:rsid w:val="008A5C34"/>
    <w:rsid w:val="008B16E3"/>
    <w:rsid w:val="008B36EF"/>
    <w:rsid w:val="008B3781"/>
    <w:rsid w:val="008C2541"/>
    <w:rsid w:val="008C575C"/>
    <w:rsid w:val="008C5A36"/>
    <w:rsid w:val="008C6DBA"/>
    <w:rsid w:val="008D0C0D"/>
    <w:rsid w:val="008D2921"/>
    <w:rsid w:val="008D44B2"/>
    <w:rsid w:val="008D5503"/>
    <w:rsid w:val="008D5792"/>
    <w:rsid w:val="008E2FCF"/>
    <w:rsid w:val="008E6FCA"/>
    <w:rsid w:val="008E7D7A"/>
    <w:rsid w:val="008F0064"/>
    <w:rsid w:val="008F1F91"/>
    <w:rsid w:val="008F31C5"/>
    <w:rsid w:val="009016C2"/>
    <w:rsid w:val="009139F5"/>
    <w:rsid w:val="00915B77"/>
    <w:rsid w:val="00923443"/>
    <w:rsid w:val="0092416A"/>
    <w:rsid w:val="0092541F"/>
    <w:rsid w:val="00927358"/>
    <w:rsid w:val="009273FD"/>
    <w:rsid w:val="009326A2"/>
    <w:rsid w:val="00937ADC"/>
    <w:rsid w:val="00943612"/>
    <w:rsid w:val="00956EEF"/>
    <w:rsid w:val="00964020"/>
    <w:rsid w:val="009655A1"/>
    <w:rsid w:val="00966394"/>
    <w:rsid w:val="00971775"/>
    <w:rsid w:val="00981AB4"/>
    <w:rsid w:val="00984A48"/>
    <w:rsid w:val="00986111"/>
    <w:rsid w:val="00993460"/>
    <w:rsid w:val="009939CB"/>
    <w:rsid w:val="00993C5F"/>
    <w:rsid w:val="00995EBC"/>
    <w:rsid w:val="009A5049"/>
    <w:rsid w:val="009A6195"/>
    <w:rsid w:val="009A70B0"/>
    <w:rsid w:val="009B0BA1"/>
    <w:rsid w:val="009B1431"/>
    <w:rsid w:val="009B2438"/>
    <w:rsid w:val="009B484F"/>
    <w:rsid w:val="009B6624"/>
    <w:rsid w:val="009C06A4"/>
    <w:rsid w:val="009C371E"/>
    <w:rsid w:val="009C55BC"/>
    <w:rsid w:val="009C56E9"/>
    <w:rsid w:val="009C6B84"/>
    <w:rsid w:val="009C7D55"/>
    <w:rsid w:val="009D6833"/>
    <w:rsid w:val="009D76AB"/>
    <w:rsid w:val="009F1C93"/>
    <w:rsid w:val="009F263A"/>
    <w:rsid w:val="009F4CBE"/>
    <w:rsid w:val="009F642F"/>
    <w:rsid w:val="009F6DED"/>
    <w:rsid w:val="009F6EB5"/>
    <w:rsid w:val="00A04496"/>
    <w:rsid w:val="00A07A25"/>
    <w:rsid w:val="00A14D21"/>
    <w:rsid w:val="00A15114"/>
    <w:rsid w:val="00A158B3"/>
    <w:rsid w:val="00A21434"/>
    <w:rsid w:val="00A23F3C"/>
    <w:rsid w:val="00A30961"/>
    <w:rsid w:val="00A33946"/>
    <w:rsid w:val="00A419F2"/>
    <w:rsid w:val="00A47748"/>
    <w:rsid w:val="00A47DF7"/>
    <w:rsid w:val="00A51579"/>
    <w:rsid w:val="00A53D76"/>
    <w:rsid w:val="00A5752D"/>
    <w:rsid w:val="00A57807"/>
    <w:rsid w:val="00A61855"/>
    <w:rsid w:val="00A63089"/>
    <w:rsid w:val="00A64961"/>
    <w:rsid w:val="00A64A96"/>
    <w:rsid w:val="00A651B8"/>
    <w:rsid w:val="00A71170"/>
    <w:rsid w:val="00A7291E"/>
    <w:rsid w:val="00A80BB2"/>
    <w:rsid w:val="00A824E7"/>
    <w:rsid w:val="00A83F31"/>
    <w:rsid w:val="00A8402A"/>
    <w:rsid w:val="00A850D5"/>
    <w:rsid w:val="00A863FE"/>
    <w:rsid w:val="00A86FB9"/>
    <w:rsid w:val="00A912CD"/>
    <w:rsid w:val="00A91463"/>
    <w:rsid w:val="00A91A71"/>
    <w:rsid w:val="00A92A9A"/>
    <w:rsid w:val="00A94559"/>
    <w:rsid w:val="00AB411C"/>
    <w:rsid w:val="00AB4E3C"/>
    <w:rsid w:val="00AB51E1"/>
    <w:rsid w:val="00AB5293"/>
    <w:rsid w:val="00AB5BEB"/>
    <w:rsid w:val="00AB630A"/>
    <w:rsid w:val="00AC6B1A"/>
    <w:rsid w:val="00AE3C7A"/>
    <w:rsid w:val="00AF55F9"/>
    <w:rsid w:val="00B00CF4"/>
    <w:rsid w:val="00B048A8"/>
    <w:rsid w:val="00B1415E"/>
    <w:rsid w:val="00B14FCB"/>
    <w:rsid w:val="00B150C6"/>
    <w:rsid w:val="00B20CFF"/>
    <w:rsid w:val="00B23D86"/>
    <w:rsid w:val="00B26BDD"/>
    <w:rsid w:val="00B3332A"/>
    <w:rsid w:val="00B34BEB"/>
    <w:rsid w:val="00B35F25"/>
    <w:rsid w:val="00B400E5"/>
    <w:rsid w:val="00B401B5"/>
    <w:rsid w:val="00B43780"/>
    <w:rsid w:val="00B46645"/>
    <w:rsid w:val="00B46C03"/>
    <w:rsid w:val="00B46D9F"/>
    <w:rsid w:val="00B514CC"/>
    <w:rsid w:val="00B5522F"/>
    <w:rsid w:val="00B60580"/>
    <w:rsid w:val="00B61C54"/>
    <w:rsid w:val="00B634E8"/>
    <w:rsid w:val="00B715A2"/>
    <w:rsid w:val="00B72BEC"/>
    <w:rsid w:val="00B75B85"/>
    <w:rsid w:val="00B76333"/>
    <w:rsid w:val="00B76C72"/>
    <w:rsid w:val="00B823DB"/>
    <w:rsid w:val="00B82D1B"/>
    <w:rsid w:val="00B83E35"/>
    <w:rsid w:val="00B85200"/>
    <w:rsid w:val="00B85372"/>
    <w:rsid w:val="00B865B3"/>
    <w:rsid w:val="00B86A96"/>
    <w:rsid w:val="00B961FC"/>
    <w:rsid w:val="00B9766F"/>
    <w:rsid w:val="00B977CF"/>
    <w:rsid w:val="00BA3AA7"/>
    <w:rsid w:val="00BA6FB3"/>
    <w:rsid w:val="00BB1ADC"/>
    <w:rsid w:val="00BB675F"/>
    <w:rsid w:val="00BD1299"/>
    <w:rsid w:val="00BD3C98"/>
    <w:rsid w:val="00BE0A50"/>
    <w:rsid w:val="00BE1157"/>
    <w:rsid w:val="00BE1BB1"/>
    <w:rsid w:val="00BE1FE3"/>
    <w:rsid w:val="00BE369D"/>
    <w:rsid w:val="00BE6D40"/>
    <w:rsid w:val="00BF2016"/>
    <w:rsid w:val="00BF7892"/>
    <w:rsid w:val="00C015DE"/>
    <w:rsid w:val="00C01B87"/>
    <w:rsid w:val="00C045B1"/>
    <w:rsid w:val="00C2122E"/>
    <w:rsid w:val="00C2147A"/>
    <w:rsid w:val="00C24C3E"/>
    <w:rsid w:val="00C2511C"/>
    <w:rsid w:val="00C30CF1"/>
    <w:rsid w:val="00C357FD"/>
    <w:rsid w:val="00C35B93"/>
    <w:rsid w:val="00C42639"/>
    <w:rsid w:val="00C4325A"/>
    <w:rsid w:val="00C457B0"/>
    <w:rsid w:val="00C46B76"/>
    <w:rsid w:val="00C53518"/>
    <w:rsid w:val="00C55C24"/>
    <w:rsid w:val="00C56029"/>
    <w:rsid w:val="00C56906"/>
    <w:rsid w:val="00C60376"/>
    <w:rsid w:val="00C61031"/>
    <w:rsid w:val="00C62A4C"/>
    <w:rsid w:val="00C632A0"/>
    <w:rsid w:val="00C63338"/>
    <w:rsid w:val="00C6531B"/>
    <w:rsid w:val="00C676AE"/>
    <w:rsid w:val="00C769F9"/>
    <w:rsid w:val="00C80179"/>
    <w:rsid w:val="00C83F59"/>
    <w:rsid w:val="00C860C6"/>
    <w:rsid w:val="00C86745"/>
    <w:rsid w:val="00C90E59"/>
    <w:rsid w:val="00C96CB8"/>
    <w:rsid w:val="00C9762D"/>
    <w:rsid w:val="00C97B9E"/>
    <w:rsid w:val="00CA1E78"/>
    <w:rsid w:val="00CA2226"/>
    <w:rsid w:val="00CA2C6A"/>
    <w:rsid w:val="00CA45C0"/>
    <w:rsid w:val="00CA73F0"/>
    <w:rsid w:val="00CB0C1B"/>
    <w:rsid w:val="00CB5544"/>
    <w:rsid w:val="00CB731A"/>
    <w:rsid w:val="00CC245E"/>
    <w:rsid w:val="00CD06DF"/>
    <w:rsid w:val="00CD13B4"/>
    <w:rsid w:val="00CD2346"/>
    <w:rsid w:val="00CD6757"/>
    <w:rsid w:val="00CE06A7"/>
    <w:rsid w:val="00CE1331"/>
    <w:rsid w:val="00CE365C"/>
    <w:rsid w:val="00CE3B54"/>
    <w:rsid w:val="00CE7E39"/>
    <w:rsid w:val="00CF2ABE"/>
    <w:rsid w:val="00CF40C3"/>
    <w:rsid w:val="00CF59A4"/>
    <w:rsid w:val="00CF7263"/>
    <w:rsid w:val="00D02F35"/>
    <w:rsid w:val="00D039BB"/>
    <w:rsid w:val="00D04B7E"/>
    <w:rsid w:val="00D0534E"/>
    <w:rsid w:val="00D14590"/>
    <w:rsid w:val="00D21696"/>
    <w:rsid w:val="00D22789"/>
    <w:rsid w:val="00D250B0"/>
    <w:rsid w:val="00D267F1"/>
    <w:rsid w:val="00D26B95"/>
    <w:rsid w:val="00D3169A"/>
    <w:rsid w:val="00D33561"/>
    <w:rsid w:val="00D33CDE"/>
    <w:rsid w:val="00D37551"/>
    <w:rsid w:val="00D440D9"/>
    <w:rsid w:val="00D46854"/>
    <w:rsid w:val="00D51826"/>
    <w:rsid w:val="00D54658"/>
    <w:rsid w:val="00D55176"/>
    <w:rsid w:val="00D55408"/>
    <w:rsid w:val="00D56066"/>
    <w:rsid w:val="00D56717"/>
    <w:rsid w:val="00D600D7"/>
    <w:rsid w:val="00D604E2"/>
    <w:rsid w:val="00D6324D"/>
    <w:rsid w:val="00D657F4"/>
    <w:rsid w:val="00D65907"/>
    <w:rsid w:val="00D703AD"/>
    <w:rsid w:val="00D742ED"/>
    <w:rsid w:val="00D77893"/>
    <w:rsid w:val="00D8064D"/>
    <w:rsid w:val="00D81C49"/>
    <w:rsid w:val="00D82989"/>
    <w:rsid w:val="00D844E0"/>
    <w:rsid w:val="00D84C55"/>
    <w:rsid w:val="00D85117"/>
    <w:rsid w:val="00D91D6B"/>
    <w:rsid w:val="00D929E7"/>
    <w:rsid w:val="00D92B53"/>
    <w:rsid w:val="00D93FA7"/>
    <w:rsid w:val="00D940F8"/>
    <w:rsid w:val="00DA3B67"/>
    <w:rsid w:val="00DA3B80"/>
    <w:rsid w:val="00DA5749"/>
    <w:rsid w:val="00DB7C35"/>
    <w:rsid w:val="00DB7D69"/>
    <w:rsid w:val="00DC3DE8"/>
    <w:rsid w:val="00DC7494"/>
    <w:rsid w:val="00DD1729"/>
    <w:rsid w:val="00DD6024"/>
    <w:rsid w:val="00DE4074"/>
    <w:rsid w:val="00DE4631"/>
    <w:rsid w:val="00DE4ACB"/>
    <w:rsid w:val="00DF34E4"/>
    <w:rsid w:val="00E008A5"/>
    <w:rsid w:val="00E03D19"/>
    <w:rsid w:val="00E05B32"/>
    <w:rsid w:val="00E06561"/>
    <w:rsid w:val="00E068EE"/>
    <w:rsid w:val="00E06940"/>
    <w:rsid w:val="00E07A52"/>
    <w:rsid w:val="00E11B1B"/>
    <w:rsid w:val="00E13C3B"/>
    <w:rsid w:val="00E13EFC"/>
    <w:rsid w:val="00E16E8A"/>
    <w:rsid w:val="00E24BF5"/>
    <w:rsid w:val="00E27F43"/>
    <w:rsid w:val="00E3361B"/>
    <w:rsid w:val="00E47946"/>
    <w:rsid w:val="00E47A96"/>
    <w:rsid w:val="00E51B2B"/>
    <w:rsid w:val="00E526DC"/>
    <w:rsid w:val="00E52A51"/>
    <w:rsid w:val="00E54814"/>
    <w:rsid w:val="00E56561"/>
    <w:rsid w:val="00E65F2D"/>
    <w:rsid w:val="00E70C23"/>
    <w:rsid w:val="00E76FA7"/>
    <w:rsid w:val="00E808A9"/>
    <w:rsid w:val="00E849C4"/>
    <w:rsid w:val="00E878A3"/>
    <w:rsid w:val="00E87D3F"/>
    <w:rsid w:val="00E91389"/>
    <w:rsid w:val="00E9168B"/>
    <w:rsid w:val="00E937E2"/>
    <w:rsid w:val="00E97068"/>
    <w:rsid w:val="00EA1611"/>
    <w:rsid w:val="00EA4861"/>
    <w:rsid w:val="00EA5409"/>
    <w:rsid w:val="00EA6271"/>
    <w:rsid w:val="00EB74A8"/>
    <w:rsid w:val="00EC715C"/>
    <w:rsid w:val="00ED5425"/>
    <w:rsid w:val="00EE25D2"/>
    <w:rsid w:val="00EE3307"/>
    <w:rsid w:val="00EE5BDF"/>
    <w:rsid w:val="00EE68E7"/>
    <w:rsid w:val="00EE7327"/>
    <w:rsid w:val="00EF07F3"/>
    <w:rsid w:val="00EF38EC"/>
    <w:rsid w:val="00F05B23"/>
    <w:rsid w:val="00F05E0B"/>
    <w:rsid w:val="00F07248"/>
    <w:rsid w:val="00F075BC"/>
    <w:rsid w:val="00F12EE1"/>
    <w:rsid w:val="00F17250"/>
    <w:rsid w:val="00F20175"/>
    <w:rsid w:val="00F367F4"/>
    <w:rsid w:val="00F44D19"/>
    <w:rsid w:val="00F45C1B"/>
    <w:rsid w:val="00F476C6"/>
    <w:rsid w:val="00F509DE"/>
    <w:rsid w:val="00F55D5B"/>
    <w:rsid w:val="00F56DB2"/>
    <w:rsid w:val="00F56EA5"/>
    <w:rsid w:val="00F63418"/>
    <w:rsid w:val="00F669EB"/>
    <w:rsid w:val="00F66C45"/>
    <w:rsid w:val="00F67CD6"/>
    <w:rsid w:val="00F83593"/>
    <w:rsid w:val="00F90BDE"/>
    <w:rsid w:val="00F90DE5"/>
    <w:rsid w:val="00F912FA"/>
    <w:rsid w:val="00F94BA9"/>
    <w:rsid w:val="00F96076"/>
    <w:rsid w:val="00FA16DC"/>
    <w:rsid w:val="00FA1F79"/>
    <w:rsid w:val="00FA3DFE"/>
    <w:rsid w:val="00FA767A"/>
    <w:rsid w:val="00FB3420"/>
    <w:rsid w:val="00FB3BCA"/>
    <w:rsid w:val="00FB6F16"/>
    <w:rsid w:val="00FB7A01"/>
    <w:rsid w:val="00FC0A5A"/>
    <w:rsid w:val="00FC2F05"/>
    <w:rsid w:val="00FC5C10"/>
    <w:rsid w:val="00FC6477"/>
    <w:rsid w:val="00FC732B"/>
    <w:rsid w:val="00FC7FF6"/>
    <w:rsid w:val="00FD08FC"/>
    <w:rsid w:val="00FD1915"/>
    <w:rsid w:val="00FD272E"/>
    <w:rsid w:val="00FE3AE5"/>
    <w:rsid w:val="00FE3C4B"/>
    <w:rsid w:val="00FE4E35"/>
    <w:rsid w:val="00FE5329"/>
    <w:rsid w:val="00FE6307"/>
    <w:rsid w:val="00FE7CDC"/>
    <w:rsid w:val="00FF0181"/>
    <w:rsid w:val="00FF1DDA"/>
    <w:rsid w:val="00FF2002"/>
    <w:rsid w:val="00FF65CF"/>
    <w:rsid w:val="0190418E"/>
    <w:rsid w:val="026D7775"/>
    <w:rsid w:val="03080DA8"/>
    <w:rsid w:val="051C2122"/>
    <w:rsid w:val="05DE7E14"/>
    <w:rsid w:val="0644092F"/>
    <w:rsid w:val="07784BEC"/>
    <w:rsid w:val="08971BBB"/>
    <w:rsid w:val="08AB4D65"/>
    <w:rsid w:val="092D400B"/>
    <w:rsid w:val="0B5C5FC2"/>
    <w:rsid w:val="0B886F53"/>
    <w:rsid w:val="0D870F5F"/>
    <w:rsid w:val="0DA14390"/>
    <w:rsid w:val="0DAA0919"/>
    <w:rsid w:val="0DC754C8"/>
    <w:rsid w:val="0EDD53D8"/>
    <w:rsid w:val="0EE62D49"/>
    <w:rsid w:val="0F9F323D"/>
    <w:rsid w:val="100F6270"/>
    <w:rsid w:val="10170B06"/>
    <w:rsid w:val="10BE63D6"/>
    <w:rsid w:val="113443BD"/>
    <w:rsid w:val="12F97497"/>
    <w:rsid w:val="13197181"/>
    <w:rsid w:val="133E4B2E"/>
    <w:rsid w:val="13E30422"/>
    <w:rsid w:val="144670E0"/>
    <w:rsid w:val="16625B26"/>
    <w:rsid w:val="16C72703"/>
    <w:rsid w:val="182243E8"/>
    <w:rsid w:val="182A63EF"/>
    <w:rsid w:val="18B32AF5"/>
    <w:rsid w:val="1932488C"/>
    <w:rsid w:val="198E1304"/>
    <w:rsid w:val="19A713B3"/>
    <w:rsid w:val="1A310529"/>
    <w:rsid w:val="1AA85469"/>
    <w:rsid w:val="1BA53141"/>
    <w:rsid w:val="1BE863A2"/>
    <w:rsid w:val="1D5F40D0"/>
    <w:rsid w:val="1D651376"/>
    <w:rsid w:val="1EE77B5A"/>
    <w:rsid w:val="212E44F7"/>
    <w:rsid w:val="21FF6AA7"/>
    <w:rsid w:val="222D0A56"/>
    <w:rsid w:val="22FB06E3"/>
    <w:rsid w:val="237E0221"/>
    <w:rsid w:val="23872C70"/>
    <w:rsid w:val="24E45048"/>
    <w:rsid w:val="27687694"/>
    <w:rsid w:val="279D1684"/>
    <w:rsid w:val="27E863E9"/>
    <w:rsid w:val="28530900"/>
    <w:rsid w:val="288165EE"/>
    <w:rsid w:val="28865E57"/>
    <w:rsid w:val="28CF097F"/>
    <w:rsid w:val="2A0C5DF7"/>
    <w:rsid w:val="2A7D08BC"/>
    <w:rsid w:val="2A8D3CFC"/>
    <w:rsid w:val="2AFF59EC"/>
    <w:rsid w:val="2B5E75D3"/>
    <w:rsid w:val="2CCF3247"/>
    <w:rsid w:val="2CE40FA3"/>
    <w:rsid w:val="2D03409B"/>
    <w:rsid w:val="2E592A18"/>
    <w:rsid w:val="2E896C52"/>
    <w:rsid w:val="2E89701A"/>
    <w:rsid w:val="2EBD265D"/>
    <w:rsid w:val="2F045D81"/>
    <w:rsid w:val="2F3323AE"/>
    <w:rsid w:val="2FF71C78"/>
    <w:rsid w:val="304A5F61"/>
    <w:rsid w:val="31311583"/>
    <w:rsid w:val="3142500C"/>
    <w:rsid w:val="31C405EF"/>
    <w:rsid w:val="31D87C8B"/>
    <w:rsid w:val="324F14C3"/>
    <w:rsid w:val="3279687A"/>
    <w:rsid w:val="32821760"/>
    <w:rsid w:val="32D00526"/>
    <w:rsid w:val="32D67EBC"/>
    <w:rsid w:val="32DC1278"/>
    <w:rsid w:val="337B3B08"/>
    <w:rsid w:val="3413240E"/>
    <w:rsid w:val="341437DC"/>
    <w:rsid w:val="34240E9A"/>
    <w:rsid w:val="3477539C"/>
    <w:rsid w:val="34B02AC1"/>
    <w:rsid w:val="352D4DA6"/>
    <w:rsid w:val="352F41EE"/>
    <w:rsid w:val="354F1001"/>
    <w:rsid w:val="358A7FC2"/>
    <w:rsid w:val="3613777D"/>
    <w:rsid w:val="395C5723"/>
    <w:rsid w:val="39A22DBF"/>
    <w:rsid w:val="39E52941"/>
    <w:rsid w:val="3A2743BE"/>
    <w:rsid w:val="3B661E94"/>
    <w:rsid w:val="3BCE3C84"/>
    <w:rsid w:val="3BFFE0F7"/>
    <w:rsid w:val="3CB14F68"/>
    <w:rsid w:val="3CC65170"/>
    <w:rsid w:val="3CFD3205"/>
    <w:rsid w:val="3D2772F3"/>
    <w:rsid w:val="3EAA1530"/>
    <w:rsid w:val="3F724BEA"/>
    <w:rsid w:val="3FBFD4B1"/>
    <w:rsid w:val="3FC5562D"/>
    <w:rsid w:val="3FE5189E"/>
    <w:rsid w:val="3FFD5A5B"/>
    <w:rsid w:val="40F040D0"/>
    <w:rsid w:val="41556C50"/>
    <w:rsid w:val="422F7524"/>
    <w:rsid w:val="42BC11D1"/>
    <w:rsid w:val="42E00895"/>
    <w:rsid w:val="43170AA4"/>
    <w:rsid w:val="434164FA"/>
    <w:rsid w:val="435F7927"/>
    <w:rsid w:val="43C00413"/>
    <w:rsid w:val="43FBFE09"/>
    <w:rsid w:val="4407793F"/>
    <w:rsid w:val="44087DC9"/>
    <w:rsid w:val="448477A9"/>
    <w:rsid w:val="448950EC"/>
    <w:rsid w:val="44AB07E7"/>
    <w:rsid w:val="44D14F69"/>
    <w:rsid w:val="45BF5F11"/>
    <w:rsid w:val="45CE7364"/>
    <w:rsid w:val="45E44A99"/>
    <w:rsid w:val="46875FE2"/>
    <w:rsid w:val="46CA57FD"/>
    <w:rsid w:val="46D91679"/>
    <w:rsid w:val="46DF2945"/>
    <w:rsid w:val="47296359"/>
    <w:rsid w:val="48917993"/>
    <w:rsid w:val="49740569"/>
    <w:rsid w:val="49AF51C9"/>
    <w:rsid w:val="49B042DA"/>
    <w:rsid w:val="4A0265A3"/>
    <w:rsid w:val="4A2B7C9E"/>
    <w:rsid w:val="4A6D2000"/>
    <w:rsid w:val="4AE162DA"/>
    <w:rsid w:val="4BA0368F"/>
    <w:rsid w:val="4BDC2796"/>
    <w:rsid w:val="4C2D52F6"/>
    <w:rsid w:val="4C3C04AA"/>
    <w:rsid w:val="4CA54F73"/>
    <w:rsid w:val="4DAA7D3C"/>
    <w:rsid w:val="4E1C4560"/>
    <w:rsid w:val="4E66615A"/>
    <w:rsid w:val="4E9772E8"/>
    <w:rsid w:val="4EDD6249"/>
    <w:rsid w:val="51D16A51"/>
    <w:rsid w:val="53122388"/>
    <w:rsid w:val="534A66DF"/>
    <w:rsid w:val="54D72005"/>
    <w:rsid w:val="57256282"/>
    <w:rsid w:val="58726141"/>
    <w:rsid w:val="587A3AD2"/>
    <w:rsid w:val="58D8151A"/>
    <w:rsid w:val="59A5529D"/>
    <w:rsid w:val="5B1A2A98"/>
    <w:rsid w:val="5BCD4394"/>
    <w:rsid w:val="5BD769EE"/>
    <w:rsid w:val="5BFA1372"/>
    <w:rsid w:val="5C384B61"/>
    <w:rsid w:val="5CD65197"/>
    <w:rsid w:val="5D864B2A"/>
    <w:rsid w:val="5E2D4DE8"/>
    <w:rsid w:val="5E501A29"/>
    <w:rsid w:val="5FFF4805"/>
    <w:rsid w:val="621930D6"/>
    <w:rsid w:val="630704F4"/>
    <w:rsid w:val="63734548"/>
    <w:rsid w:val="65FB415F"/>
    <w:rsid w:val="66AD206E"/>
    <w:rsid w:val="66B3026D"/>
    <w:rsid w:val="67CF2A71"/>
    <w:rsid w:val="680037DE"/>
    <w:rsid w:val="68304B25"/>
    <w:rsid w:val="684E1934"/>
    <w:rsid w:val="68785EE5"/>
    <w:rsid w:val="69847594"/>
    <w:rsid w:val="699F62A1"/>
    <w:rsid w:val="69A66CB7"/>
    <w:rsid w:val="69B53005"/>
    <w:rsid w:val="69FC6AE2"/>
    <w:rsid w:val="6A505CB9"/>
    <w:rsid w:val="6A973329"/>
    <w:rsid w:val="6B6F21FA"/>
    <w:rsid w:val="6B936E11"/>
    <w:rsid w:val="6BA2381D"/>
    <w:rsid w:val="6BEC7254"/>
    <w:rsid w:val="6D7C5907"/>
    <w:rsid w:val="6D996895"/>
    <w:rsid w:val="6DDF2ABD"/>
    <w:rsid w:val="6E275818"/>
    <w:rsid w:val="6E546E21"/>
    <w:rsid w:val="6E5F852D"/>
    <w:rsid w:val="6E735677"/>
    <w:rsid w:val="6EB61A6A"/>
    <w:rsid w:val="6F1150DB"/>
    <w:rsid w:val="6F63031C"/>
    <w:rsid w:val="6F77669B"/>
    <w:rsid w:val="6FFF1E10"/>
    <w:rsid w:val="6FFFEEA5"/>
    <w:rsid w:val="70525BF2"/>
    <w:rsid w:val="71BF616B"/>
    <w:rsid w:val="71CB2FD2"/>
    <w:rsid w:val="71FD2358"/>
    <w:rsid w:val="7266441D"/>
    <w:rsid w:val="72934535"/>
    <w:rsid w:val="72B70959"/>
    <w:rsid w:val="730F1736"/>
    <w:rsid w:val="7427323A"/>
    <w:rsid w:val="746B6C0D"/>
    <w:rsid w:val="748E74F0"/>
    <w:rsid w:val="749040AC"/>
    <w:rsid w:val="757744AA"/>
    <w:rsid w:val="75956B37"/>
    <w:rsid w:val="76411022"/>
    <w:rsid w:val="76A46CE5"/>
    <w:rsid w:val="76EA6FE1"/>
    <w:rsid w:val="78470B62"/>
    <w:rsid w:val="794228D2"/>
    <w:rsid w:val="79DA921D"/>
    <w:rsid w:val="7AE932FC"/>
    <w:rsid w:val="7BF5B9C5"/>
    <w:rsid w:val="7C1339F3"/>
    <w:rsid w:val="7DA158B2"/>
    <w:rsid w:val="7DE6813A"/>
    <w:rsid w:val="7DFF4DE7"/>
    <w:rsid w:val="7E2C3CB9"/>
    <w:rsid w:val="7E554584"/>
    <w:rsid w:val="7F7582F6"/>
    <w:rsid w:val="7F9F584B"/>
    <w:rsid w:val="7FC44BE4"/>
    <w:rsid w:val="7FDE7567"/>
    <w:rsid w:val="7FEBE8D4"/>
    <w:rsid w:val="7FF6E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3CEDA3-472C-4367-B108-08B48564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First Indent" w:qFormat="1"/>
    <w:lsdException w:name="Hyperlink" w:uiPriority="99" w:unhideWhenUsed="1" w:qFormat="1"/>
    <w:lsdException w:name="Followed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2"/>
    </w:rPr>
  </w:style>
  <w:style w:type="paragraph" w:styleId="1">
    <w:name w:val="heading 1"/>
    <w:basedOn w:val="a"/>
    <w:next w:val="a"/>
    <w:qFormat/>
    <w:pPr>
      <w:keepNext/>
      <w:keepLines/>
      <w:spacing w:line="576" w:lineRule="auto"/>
      <w:outlineLvl w:val="0"/>
    </w:pPr>
    <w:rPr>
      <w:rFonts w:ascii="Calibri" w:eastAsia="宋体" w:hAnsi="Calibri"/>
      <w:b/>
      <w:kern w:val="44"/>
      <w:sz w:val="4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sz w:val="28"/>
    </w:rPr>
  </w:style>
  <w:style w:type="paragraph" w:styleId="a4">
    <w:name w:val="Body Text First Indent"/>
    <w:basedOn w:val="a0"/>
    <w:qFormat/>
    <w:pPr>
      <w:ind w:firstLineChars="100" w:firstLine="420"/>
    </w:pPr>
  </w:style>
  <w:style w:type="paragraph" w:styleId="a5">
    <w:name w:val="annotation text"/>
    <w:basedOn w:val="a"/>
    <w:unhideWhenUsed/>
    <w:qFormat/>
    <w:pPr>
      <w:jc w:val="left"/>
    </w:pPr>
    <w:rPr>
      <w:rFonts w:ascii="Calibri" w:eastAsia="宋体" w:hAnsi="Calibri"/>
      <w:sz w:val="21"/>
      <w:szCs w:val="22"/>
    </w:rPr>
  </w:style>
  <w:style w:type="paragraph" w:styleId="a6">
    <w:name w:val="Body Text Indent"/>
    <w:basedOn w:val="a"/>
    <w:qFormat/>
    <w:pPr>
      <w:ind w:firstLineChars="200" w:firstLine="600"/>
    </w:pPr>
    <w:rPr>
      <w:sz w:val="30"/>
      <w:szCs w:val="24"/>
    </w:rPr>
  </w:style>
  <w:style w:type="paragraph" w:styleId="a7">
    <w:name w:val="Date"/>
    <w:basedOn w:val="a"/>
    <w:next w:val="a"/>
    <w:link w:val="Char"/>
    <w:qFormat/>
    <w:pPr>
      <w:ind w:leftChars="2500" w:left="100"/>
    </w:pPr>
  </w:style>
  <w:style w:type="paragraph" w:styleId="a8">
    <w:name w:val="Balloon Text"/>
    <w:basedOn w:val="a"/>
    <w:semiHidden/>
    <w:qFormat/>
    <w:rPr>
      <w:sz w:val="18"/>
      <w:szCs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1"/>
    <w:uiPriority w:val="99"/>
    <w:qFormat/>
    <w:pPr>
      <w:pBdr>
        <w:bottom w:val="single" w:sz="6" w:space="1" w:color="auto"/>
      </w:pBdr>
      <w:tabs>
        <w:tab w:val="center" w:pos="4153"/>
        <w:tab w:val="right" w:pos="8306"/>
      </w:tabs>
      <w:snapToGrid w:val="0"/>
      <w:jc w:val="center"/>
    </w:pPr>
    <w:rPr>
      <w:sz w:val="18"/>
    </w:rPr>
  </w:style>
  <w:style w:type="paragraph" w:styleId="ab">
    <w:name w:val="Normal (Web)"/>
    <w:basedOn w:val="a"/>
    <w:qFormat/>
    <w:pPr>
      <w:spacing w:before="100" w:beforeAutospacing="1" w:after="100" w:afterAutospacing="1"/>
      <w:jc w:val="left"/>
    </w:pPr>
    <w:rPr>
      <w:rFonts w:ascii="宋体" w:hAnsi="宋体"/>
      <w:kern w:val="0"/>
      <w:sz w:val="24"/>
    </w:rPr>
  </w:style>
  <w:style w:type="character" w:styleId="ac">
    <w:name w:val="Strong"/>
    <w:qFormat/>
    <w:rPr>
      <w:b/>
      <w:bCs/>
    </w:rPr>
  </w:style>
  <w:style w:type="character" w:styleId="ad">
    <w:name w:val="page number"/>
    <w:basedOn w:val="a1"/>
    <w:qFormat/>
  </w:style>
  <w:style w:type="character" w:styleId="ae">
    <w:name w:val="FollowedHyperlink"/>
    <w:uiPriority w:val="99"/>
    <w:unhideWhenUsed/>
    <w:qFormat/>
    <w:rPr>
      <w:color w:val="954F72"/>
      <w:u w:val="single"/>
    </w:rPr>
  </w:style>
  <w:style w:type="character" w:styleId="af">
    <w:name w:val="Emphasis"/>
    <w:uiPriority w:val="20"/>
    <w:qFormat/>
  </w:style>
  <w:style w:type="character" w:styleId="af0">
    <w:name w:val="Hyperlink"/>
    <w:uiPriority w:val="99"/>
    <w:unhideWhenUsed/>
    <w:qFormat/>
    <w:rPr>
      <w:color w:val="0563C1"/>
      <w:u w:val="single"/>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qFormat/>
    <w:pPr>
      <w:ind w:firstLineChars="200" w:firstLine="420"/>
    </w:pPr>
    <w:rPr>
      <w:rFonts w:ascii="Calibri" w:eastAsia="宋体" w:hAnsi="Calibri"/>
      <w:sz w:val="21"/>
      <w:szCs w:val="22"/>
    </w:rPr>
  </w:style>
  <w:style w:type="character" w:customStyle="1" w:styleId="apple-converted-space">
    <w:name w:val="apple-converted-space"/>
    <w:basedOn w:val="a1"/>
    <w:qFormat/>
  </w:style>
  <w:style w:type="character" w:customStyle="1" w:styleId="Char1">
    <w:name w:val="页眉 Char"/>
    <w:link w:val="aa"/>
    <w:uiPriority w:val="99"/>
    <w:semiHidden/>
    <w:qFormat/>
    <w:locked/>
    <w:rPr>
      <w:rFonts w:eastAsia="仿宋_GB2312"/>
      <w:kern w:val="2"/>
      <w:sz w:val="18"/>
      <w:lang w:val="en-US" w:eastAsia="zh-CN" w:bidi="ar-SA"/>
    </w:rPr>
  </w:style>
  <w:style w:type="character" w:customStyle="1" w:styleId="Char0">
    <w:name w:val="页脚 Char"/>
    <w:link w:val="a9"/>
    <w:uiPriority w:val="99"/>
    <w:qFormat/>
    <w:locked/>
    <w:rPr>
      <w:rFonts w:eastAsia="仿宋_GB2312"/>
      <w:kern w:val="2"/>
      <w:sz w:val="18"/>
      <w:lang w:val="en-US" w:eastAsia="zh-CN" w:bidi="ar-SA"/>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hd w:val="clear" w:color="000000" w:fill="FFFFFF"/>
      <w:spacing w:before="100" w:beforeAutospacing="1" w:after="100" w:afterAutospacing="1"/>
      <w:jc w:val="center"/>
      <w:textAlignment w:val="center"/>
    </w:pPr>
    <w:rPr>
      <w:rFonts w:ascii="宋体" w:eastAsia="宋体" w:hAnsi="宋体" w:cs="宋体"/>
      <w:color w:val="000000"/>
      <w:kern w:val="0"/>
      <w:sz w:val="22"/>
      <w:szCs w:val="2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2"/>
      <w:szCs w:val="2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szCs w:val="22"/>
    </w:rPr>
  </w:style>
  <w:style w:type="paragraph" w:customStyle="1" w:styleId="xl68">
    <w:name w:val="xl6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szCs w:val="22"/>
    </w:rPr>
  </w:style>
  <w:style w:type="paragraph" w:customStyle="1" w:styleId="xl69">
    <w:name w:val="xl69"/>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22"/>
      <w:szCs w:val="22"/>
    </w:rPr>
  </w:style>
  <w:style w:type="paragraph" w:styleId="af2">
    <w:name w:val="List Paragraph"/>
    <w:basedOn w:val="a"/>
    <w:uiPriority w:val="34"/>
    <w:qFormat/>
    <w:pPr>
      <w:ind w:firstLineChars="200" w:firstLine="420"/>
    </w:pPr>
    <w:rPr>
      <w:rFonts w:ascii="Calibri" w:eastAsia="宋体" w:hAnsi="Calibri"/>
      <w:sz w:val="21"/>
      <w:szCs w:val="22"/>
    </w:rPr>
  </w:style>
  <w:style w:type="paragraph" w:customStyle="1" w:styleId="p0">
    <w:name w:val="p0"/>
    <w:basedOn w:val="a"/>
    <w:link w:val="p0Char"/>
    <w:qFormat/>
    <w:pPr>
      <w:widowControl/>
    </w:pPr>
    <w:rPr>
      <w:rFonts w:ascii="宋体" w:eastAsia="宋体" w:hAnsi="宋体" w:cs="宋体"/>
      <w:kern w:val="0"/>
      <w:sz w:val="21"/>
      <w:szCs w:val="21"/>
    </w:rPr>
  </w:style>
  <w:style w:type="character" w:customStyle="1" w:styleId="p0Char">
    <w:name w:val="p0 Char"/>
    <w:link w:val="p0"/>
    <w:qFormat/>
    <w:locked/>
    <w:rPr>
      <w:rFonts w:ascii="宋体" w:hAnsi="宋体" w:cs="宋体"/>
      <w:sz w:val="21"/>
      <w:szCs w:val="21"/>
    </w:rPr>
  </w:style>
  <w:style w:type="paragraph" w:customStyle="1" w:styleId="10">
    <w:name w:val="样式1"/>
    <w:basedOn w:val="a"/>
    <w:qFormat/>
    <w:pPr>
      <w:jc w:val="left"/>
    </w:pPr>
    <w:rPr>
      <w:rFonts w:ascii="仿宋_GB2312"/>
      <w:sz w:val="28"/>
      <w:szCs w:val="24"/>
    </w:rPr>
  </w:style>
  <w:style w:type="character" w:customStyle="1" w:styleId="Char">
    <w:name w:val="日期 Char"/>
    <w:link w:val="a7"/>
    <w:qFormat/>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C8E031-1105-4204-A019-630EE0DA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2387</Words>
  <Characters>310</Characters>
  <Application>Microsoft Office Word</Application>
  <DocSecurity>0</DocSecurity>
  <Lines>2</Lines>
  <Paragraphs>5</Paragraphs>
  <ScaleCrop>false</ScaleCrop>
  <Company>打字室</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鲁卫发〔2014〕号</dc:title>
  <dc:creator>User</dc:creator>
  <cp:lastModifiedBy>wjw</cp:lastModifiedBy>
  <cp:revision>6</cp:revision>
  <cp:lastPrinted>2022-06-15T04:00:00Z</cp:lastPrinted>
  <dcterms:created xsi:type="dcterms:W3CDTF">2022-06-29T03:24:00Z</dcterms:created>
  <dcterms:modified xsi:type="dcterms:W3CDTF">2022-06-29T03:26:00Z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