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framePr w:wrap="around" w:vAnchor="page" w:y="505"/>
      </w:pPr>
      <w:r>
        <w:rPr>
          <w:rFonts w:hint="eastAsia" w:ascii="MS Gothic" w:hAnsi="MS Gothic" w:eastAsia="MS Gothic" w:cs="MS Gothic"/>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37"/>
        <w:framePr w:wrap="around" w:vAnchor="page" w:y="505"/>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37"/>
              <w:framePr w:wrap="around" w:vAnchor="page" w:y="505"/>
            </w:pPr>
            <w:r>
              <w:pict>
                <v:rect id="BAH" o:spid="_x0000_s1026" o:spt="1" style="position:absolute;left:0pt;margin-left:-5.25pt;margin-top:0pt;height:15.6pt;width:68.25pt;z-index:-251653120;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38"/>
        <w:framePr w:wrap="around"/>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43</w:t>
      </w:r>
      <w:r>
        <w:fldChar w:fldCharType="end"/>
      </w:r>
      <w:bookmarkEnd w:id="3"/>
    </w:p>
    <w:p>
      <w:pPr>
        <w:pStyle w:val="40"/>
        <w:framePr w:wrap="around"/>
      </w:pPr>
      <w:bookmarkStart w:id="4" w:name="c4"/>
      <w:r>
        <w:fldChar w:fldCharType="begin">
          <w:ffData>
            <w:name w:val="c4"/>
            <w:enabled/>
            <w:calcOnExit w:val="0"/>
            <w:textInput/>
          </w:ffData>
        </w:fldChar>
      </w:r>
      <w:r>
        <w:instrText xml:space="preserve"> FORMTEXT </w:instrText>
      </w:r>
      <w:r>
        <w:fldChar w:fldCharType="separate"/>
      </w:r>
      <w:r>
        <w:rPr>
          <w:rFonts w:hint="eastAsia"/>
        </w:rPr>
        <w:t>湖南省</w:t>
      </w:r>
      <w:r>
        <w:fldChar w:fldCharType="end"/>
      </w:r>
      <w:bookmarkEnd w:id="4"/>
      <w:r>
        <w:rPr>
          <w:rFonts w:hint="eastAsia"/>
        </w:rPr>
        <w:t>地方标准</w:t>
      </w:r>
    </w:p>
    <w:p>
      <w:pPr>
        <w:pStyle w:val="41"/>
        <w:framePr w:w="9638" w:hSpace="283" w:wrap="around" w:y="2909"/>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43</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int="eastAsia" w:hAnsi="黑体"/>
        </w:rPr>
        <w:t>2021</w:t>
      </w:r>
      <w:r>
        <w:rPr>
          <w:rFonts w:hAnsi="黑体"/>
        </w:rPr>
        <w:fldChar w:fldCharType="end"/>
      </w:r>
      <w:bookmarkEnd w:id="7"/>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2"/>
              <w:framePr w:w="9638" w:hSpace="283" w:wrap="around" w:y="2909"/>
            </w:pPr>
            <w:bookmarkStart w:id="8" w:name="DT"/>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pPr>
        <w:pStyle w:val="41"/>
        <w:framePr w:w="9638" w:hSpace="283" w:wrap="around" w:y="2909"/>
        <w:rPr>
          <w:rFonts w:hAnsi="黑体"/>
        </w:rPr>
      </w:pPr>
    </w:p>
    <w:p>
      <w:pPr>
        <w:pStyle w:val="41"/>
        <w:framePr w:w="9638" w:hSpace="283" w:wrap="around" w:y="2909"/>
        <w:rPr>
          <w:rFonts w:hAnsi="黑体"/>
        </w:rPr>
      </w:pPr>
    </w:p>
    <w:p>
      <w:pPr>
        <w:pStyle w:val="43"/>
        <w:framePr w:wrap="around"/>
        <w:spacing w:line="240" w:lineRule="auto"/>
      </w:pPr>
      <w:r>
        <w:rPr>
          <w:rFonts w:hint="eastAsia"/>
        </w:rPr>
        <w:t>安宁疗护病房管理规范</w:t>
      </w:r>
    </w:p>
    <w:p>
      <w:pPr>
        <w:pStyle w:val="44"/>
        <w:framePr w:wrap="around"/>
        <w:spacing w:line="240" w:lineRule="auto"/>
        <w:rPr>
          <w:color w:val="000000" w:themeColor="text1"/>
        </w:rPr>
      </w:pPr>
      <w:r>
        <w:rPr>
          <w:rFonts w:hint="eastAsia"/>
          <w:color w:val="000000" w:themeColor="text1"/>
        </w:rPr>
        <w:t xml:space="preserve">Palliative care ward management </w:t>
      </w:r>
      <w:r>
        <w:rPr>
          <w:color w:val="000000" w:themeColor="text1"/>
        </w:rPr>
        <w:t>specification</w:t>
      </w:r>
    </w:p>
    <w:p>
      <w:pPr>
        <w:pStyle w:val="45"/>
        <w:framePr w:wrap="around"/>
        <w:spacing w:line="240" w:lineRule="auto"/>
      </w:pPr>
      <w:bookmarkStart w:id="9"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9"/>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46"/>
              <w:framePr w:wrap="around"/>
            </w:pPr>
            <w:r>
              <w:pict>
                <v:rect id="RQ" o:spid="_x0000_s1027" o:spt="1" style="position:absolute;left:0pt;margin-left:173.3pt;margin-top:337.15pt;height:20pt;width:150pt;z-index:-251654144;mso-width-relative:page;mso-height-relative:page;" stroked="f" coordsize="21600,21600">
                  <v:path/>
                  <v:fill focussize="0,0"/>
                  <v:stroke on="f"/>
                  <v:imagedata o:title=""/>
                  <o:lock v:ext="edit"/>
                  <w10:anchorlock/>
                </v:rect>
              </w:pic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47"/>
              <w:framePr w:wrap="around"/>
            </w:pPr>
            <w:bookmarkStart w:id="10" w:name="WCRQ"/>
            <w:r>
              <w:fldChar w:fldCharType="begin">
                <w:ffData>
                  <w:name w:val="WCRQ"/>
                  <w:enabled/>
                  <w:calcOnExit w:val="0"/>
                  <w:textInput/>
                </w:ffData>
              </w:fldChar>
            </w:r>
            <w:r>
              <w:instrText xml:space="preserve"> FORMTEXT </w:instrText>
            </w:r>
            <w:r>
              <w:fldChar w:fldCharType="separate"/>
            </w:r>
            <w:r>
              <w:t>     </w:t>
            </w:r>
            <w:r>
              <w:fldChar w:fldCharType="end"/>
            </w:r>
            <w:bookmarkEnd w:id="10"/>
          </w:p>
        </w:tc>
      </w:tr>
    </w:tbl>
    <w:p>
      <w:pPr>
        <w:pStyle w:val="48"/>
        <w:framePr w:wrap="notBeside" w:hAnchor="page" w:x="1617" w:y="14075"/>
      </w:pPr>
      <w:bookmarkStart w:id="11"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r>
        <w:pict>
          <v:line id="直线 10" o:spid="_x0000_s1033" o:spt="20" style="height:0pt;width:481.9pt;" coordsize="21600,21600">
            <v:path arrowok="t"/>
            <v:fill focussize="0,0"/>
            <v:stroke/>
            <v:imagedata o:title=""/>
            <o:lock v:ext="edit"/>
            <w10:wrap type="none"/>
            <w10:anchorlock/>
          </v:line>
        </w:pict>
      </w:r>
    </w:p>
    <w:p>
      <w:pPr>
        <w:pStyle w:val="50"/>
        <w:framePr w:wrap="notBeside" w:hAnchor="page" w:x="6964" w:y="14085"/>
      </w:pPr>
      <w:bookmarkStart w:id="13"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3"/>
      <w:r>
        <w:t xml:space="preserve"> </w:t>
      </w:r>
      <w:r>
        <w:rPr>
          <w:rFonts w:ascii="黑体"/>
        </w:rPr>
        <w:t>-</w:t>
      </w:r>
      <w:r>
        <w:t xml:space="preserve"> </w:t>
      </w:r>
      <w:bookmarkStart w:id="1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bookmarkStart w:id="1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52"/>
        <w:framePr w:w="4691" w:h="796" w:hRule="exact" w:wrap="around" w:x="3536"/>
        <w:jc w:val="distribute"/>
        <w:rPr>
          <w:szCs w:val="22"/>
        </w:rPr>
      </w:pPr>
      <w:bookmarkStart w:id="16" w:name="fm"/>
      <w:r>
        <w:rPr>
          <w:szCs w:val="22"/>
        </w:rPr>
        <w:pict>
          <v:rect id="LB" o:spid="_x0000_s1029" o:spt="1" style="position:absolute;left:0pt;margin-left:142.55pt;margin-top:-310.45pt;height:24pt;width:100pt;z-index:-251655168;mso-width-relative:page;mso-height-relative:page;" stroked="f" coordsize="21600,21600">
            <v:path/>
            <v:fill focussize="0,0"/>
            <v:stroke on="f"/>
            <v:imagedata o:title=""/>
            <o:lock v:ext="edit"/>
          </v:rect>
        </w:pict>
      </w:r>
      <w:r>
        <w:rPr>
          <w:szCs w:val="22"/>
        </w:rPr>
        <w:pict>
          <v:rect id="DT" o:spid="_x0000_s1030" o:spt="1" style="position:absolute;left:0pt;margin-left:347.55pt;margin-top:-585.45pt;height:18pt;width:90pt;z-index:-251656192;mso-width-relative:page;mso-height-relative:page;" stroked="f" coordsize="21600,21600">
            <v:path/>
            <v:fill focussize="0,0"/>
            <v:stroke on="f"/>
            <v:imagedata o:title=""/>
            <o:lock v:ext="edit"/>
          </v:rect>
        </w:pict>
      </w:r>
      <w:r>
        <w:rPr>
          <w:rFonts w:hint="eastAsia"/>
          <w:szCs w:val="22"/>
        </w:rPr>
        <w:fldChar w:fldCharType="begin">
          <w:ffData>
            <w:name w:val="fm"/>
            <w:enabled/>
            <w:calcOnExit w:val="0"/>
            <w:textInput/>
          </w:ffData>
        </w:fldChar>
      </w:r>
      <w:r>
        <w:rPr>
          <w:rFonts w:hint="eastAsia"/>
          <w:szCs w:val="22"/>
        </w:rPr>
        <w:instrText xml:space="preserve"> FORMTEXT </w:instrText>
      </w:r>
      <w:r>
        <w:rPr>
          <w:rFonts w:hint="eastAsia"/>
          <w:szCs w:val="22"/>
        </w:rPr>
        <w:fldChar w:fldCharType="separate"/>
      </w:r>
      <w:r>
        <w:rPr>
          <w:rFonts w:hint="eastAsia"/>
          <w:szCs w:val="22"/>
        </w:rPr>
        <w:t>湖南省市场监督管理局</w:t>
      </w:r>
      <w:r>
        <w:rPr>
          <w:rFonts w:hint="eastAsia"/>
          <w:szCs w:val="22"/>
        </w:rPr>
        <w:fldChar w:fldCharType="end"/>
      </w:r>
      <w:bookmarkEnd w:id="16"/>
    </w:p>
    <w:p>
      <w:pPr>
        <w:pStyle w:val="52"/>
        <w:framePr w:w="4691" w:h="796" w:hRule="exact" w:wrap="around" w:x="3536"/>
        <w:jc w:val="distribute"/>
        <w:rPr>
          <w:szCs w:val="22"/>
        </w:rPr>
      </w:pPr>
      <w:r>
        <w:rPr>
          <w:rFonts w:hint="eastAsia"/>
          <w:szCs w:val="22"/>
        </w:rPr>
        <w:fldChar w:fldCharType="begin">
          <w:ffData>
            <w:enabled/>
            <w:calcOnExit w:val="0"/>
            <w:textInput/>
          </w:ffData>
        </w:fldChar>
      </w:r>
      <w:r>
        <w:rPr>
          <w:rFonts w:hint="eastAsia"/>
          <w:szCs w:val="22"/>
        </w:rPr>
        <w:instrText xml:space="preserve"> FORMTEXT </w:instrText>
      </w:r>
      <w:r>
        <w:rPr>
          <w:rFonts w:hint="eastAsia"/>
          <w:szCs w:val="22"/>
        </w:rPr>
        <w:fldChar w:fldCharType="separate"/>
      </w:r>
      <w:r>
        <w:rPr>
          <w:rFonts w:hint="eastAsia"/>
          <w:szCs w:val="22"/>
        </w:rPr>
        <w:t>湖南省教育厅</w:t>
      </w:r>
      <w:r>
        <w:rPr>
          <w:rFonts w:hint="eastAsia"/>
          <w:szCs w:val="22"/>
        </w:rPr>
        <w:fldChar w:fldCharType="end"/>
      </w:r>
    </w:p>
    <w:p>
      <w:pPr>
        <w:pStyle w:val="52"/>
        <w:framePr w:w="4691" w:h="796" w:hRule="exact" w:wrap="around" w:x="3536"/>
      </w:pPr>
      <w:r>
        <w:rPr>
          <w:rFonts w:hint="eastAsia"/>
          <w:szCs w:val="22"/>
        </w:rPr>
        <w:t xml:space="preserve"> </w:t>
      </w:r>
      <w:r>
        <w:rPr>
          <w:rFonts w:hAnsi="黑体"/>
        </w:rPr>
        <w:t> </w:t>
      </w:r>
      <w:r>
        <w:rPr>
          <w:rFonts w:hint="eastAsia" w:hAnsi="黑体"/>
        </w:rPr>
        <w:t xml:space="preserve">     </w:t>
      </w:r>
      <w:r>
        <w:rPr>
          <w:rFonts w:hAnsi="黑体"/>
        </w:rPr>
        <w:t>  </w:t>
      </w:r>
      <w:r>
        <w:rPr>
          <w:rFonts w:hint="eastAsia" w:hAnsi="黑体"/>
        </w:rPr>
        <w:t xml:space="preserve">    </w:t>
      </w:r>
    </w:p>
    <w:p>
      <w:pPr>
        <w:pStyle w:val="54"/>
        <w:ind w:firstLine="564"/>
        <w:sectPr>
          <w:headerReference r:id="rId6" w:type="first"/>
          <w:headerReference r:id="rId4" w:type="default"/>
          <w:headerReference r:id="rId5" w:type="even"/>
          <w:footerReference r:id="rId7" w:type="even"/>
          <w:pgSz w:w="11906" w:h="16838"/>
          <w:pgMar w:top="1417" w:right="1134" w:bottom="1134" w:left="1134" w:header="851" w:footer="992" w:gutter="283"/>
          <w:cols w:space="0" w:num="1"/>
          <w:docGrid w:type="lines" w:linePitch="312" w:charSpace="0"/>
        </w:sectPr>
      </w:pPr>
      <w:r>
        <w:rPr>
          <w:w w:val="135"/>
          <w:szCs w:val="22"/>
        </w:rPr>
        <w:pict>
          <v:line id="直线 11" o:spid="_x0000_s1031" o:spt="20" style="position:absolute;left:0pt;margin-left:-5.25pt;margin-top:141.75pt;height:0pt;width:481.9pt;z-index:251664384;mso-width-relative:page;mso-height-relative:page;" coordsize="21600,21600">
            <v:path arrowok="t"/>
            <v:fill focussize="0,0"/>
            <v:stroke/>
            <v:imagedata o:title=""/>
            <o:lock v:ext="edit"/>
          </v:line>
        </w:pict>
      </w:r>
      <w:r>
        <w:rPr>
          <w:w w:val="135"/>
        </w:rPr>
        <w:pict>
          <v:shape id="_x0000_s1032" o:spid="_x0000_s1032" o:spt="202" type="#_x0000_t202" style="position:absolute;left:0pt;margin-left:358.85pt;margin-top:699.55pt;height:23.95pt;width:57.35pt;z-index:251665408;mso-width-relative:page;mso-height-relative:page;" stroked="f" coordsize="21600,21600">
            <v:path/>
            <v:fill focussize="0,0"/>
            <v:stroke on="f" joinstyle="miter"/>
            <v:imagedata o:title=""/>
            <o:lock v:ext="edit"/>
            <v:textbox>
              <w:txbxContent>
                <w:p>
                  <w:r>
                    <w:rPr>
                      <w:rStyle w:val="55"/>
                      <w:rFonts w:hint="eastAsia"/>
                    </w:rPr>
                    <w:t>发布</w:t>
                  </w:r>
                </w:p>
              </w:txbxContent>
            </v:textbox>
          </v:shape>
        </w:pict>
      </w:r>
    </w:p>
    <w:p>
      <w:pPr>
        <w:pStyle w:val="26"/>
        <w:tabs>
          <w:tab w:val="left" w:pos="959"/>
        </w:tabs>
        <w:spacing w:before="850" w:after="680"/>
        <w:ind w:right="34"/>
        <w:outlineLvl w:val="9"/>
      </w:pPr>
      <w:r>
        <w:t>目</w:t>
      </w:r>
      <w:r>
        <w:tab/>
      </w:r>
      <w:r>
        <w:t>次</w:t>
      </w:r>
    </w:p>
    <w:p>
      <w:pPr>
        <w:pStyle w:val="12"/>
        <w:tabs>
          <w:tab w:val="right" w:leader="dot" w:pos="9359"/>
          <w:tab w:val="clear" w:pos="9241"/>
        </w:tabs>
        <w:spacing w:before="60" w:after="60"/>
        <w:rPr>
          <w:rFonts w:ascii="Times New Roman" w:hAnsi="Times New Roman" w:eastAsia="宋体" w:cs="Times New Roman"/>
          <w:sz w:val="21"/>
        </w:rPr>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TOC \o "1-1" \h \u </w:instrText>
      </w:r>
      <w:r>
        <w:rPr>
          <w:rFonts w:ascii="Times New Roman" w:hAnsi="Times New Roman" w:eastAsia="宋体" w:cs="Times New Roman"/>
          <w:sz w:val="21"/>
        </w:rPr>
        <w:fldChar w:fldCharType="separate"/>
      </w:r>
      <w:r>
        <w:fldChar w:fldCharType="begin"/>
      </w:r>
      <w:r>
        <w:instrText xml:space="preserve"> HYPERLINK \l "_Toc1668" </w:instrText>
      </w:r>
      <w:r>
        <w:fldChar w:fldCharType="separate"/>
      </w:r>
      <w:r>
        <w:rPr>
          <w:rFonts w:ascii="Times New Roman" w:hAnsi="Times New Roman" w:eastAsia="宋体" w:cs="Times New Roman"/>
          <w:sz w:val="21"/>
        </w:rPr>
        <w:t>前    言</w:t>
      </w:r>
      <w:r>
        <w:rPr>
          <w:rFonts w:ascii="Times New Roman" w:hAnsi="Times New Roman" w:eastAsia="宋体" w:cs="Times New Roman"/>
          <w:sz w:val="21"/>
        </w:rPr>
        <w:tab/>
      </w: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 PAGEREF _Toc1668 </w:instrText>
      </w:r>
      <w:r>
        <w:rPr>
          <w:rFonts w:ascii="Times New Roman" w:hAnsi="Times New Roman" w:eastAsia="宋体" w:cs="Times New Roman"/>
          <w:sz w:val="21"/>
        </w:rPr>
        <w:fldChar w:fldCharType="separate"/>
      </w:r>
      <w:r>
        <w:rPr>
          <w:rFonts w:ascii="Times New Roman" w:hAnsi="Times New Roman" w:eastAsia="宋体" w:cs="Times New Roman"/>
          <w:sz w:val="21"/>
        </w:rPr>
        <w:t>II</w:t>
      </w:r>
      <w:r>
        <w:rPr>
          <w:rFonts w:ascii="Times New Roman" w:hAnsi="Times New Roman" w:eastAsia="宋体" w:cs="Times New Roman"/>
          <w:sz w:val="21"/>
        </w:rPr>
        <w:fldChar w:fldCharType="end"/>
      </w:r>
      <w:r>
        <w:rPr>
          <w:rFonts w:ascii="Times New Roman" w:hAnsi="Times New Roman" w:eastAsia="宋体" w:cs="Times New Roman"/>
          <w:sz w:val="21"/>
        </w:rPr>
        <w:fldChar w:fldCharType="end"/>
      </w:r>
    </w:p>
    <w:p>
      <w:pPr>
        <w:pStyle w:val="12"/>
        <w:tabs>
          <w:tab w:val="right" w:leader="dot" w:pos="9359"/>
          <w:tab w:val="clear" w:pos="9241"/>
        </w:tabs>
        <w:spacing w:before="60" w:after="60"/>
        <w:rPr>
          <w:rFonts w:ascii="Times New Roman" w:hAnsi="Times New Roman" w:eastAsia="宋体" w:cs="Times New Roman"/>
          <w:sz w:val="21"/>
        </w:rPr>
      </w:pPr>
      <w:r>
        <w:fldChar w:fldCharType="begin"/>
      </w:r>
      <w:r>
        <w:instrText xml:space="preserve"> HYPERLINK \l "_Toc7407" </w:instrText>
      </w:r>
      <w:r>
        <w:fldChar w:fldCharType="separate"/>
      </w:r>
      <w:r>
        <w:rPr>
          <w:rFonts w:ascii="Times New Roman" w:hAnsi="Times New Roman" w:eastAsia="宋体" w:cs="Times New Roman"/>
          <w:sz w:val="21"/>
        </w:rPr>
        <w:t>1 范围</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3</w:t>
      </w:r>
      <w:r>
        <w:rPr>
          <w:rFonts w:ascii="Times New Roman" w:hAnsi="Times New Roman" w:eastAsia="宋体" w:cs="Times New Roman"/>
          <w:sz w:val="21"/>
        </w:rPr>
        <w:fldChar w:fldCharType="end"/>
      </w:r>
    </w:p>
    <w:p>
      <w:pPr>
        <w:pStyle w:val="12"/>
        <w:tabs>
          <w:tab w:val="right" w:leader="dot" w:pos="9359"/>
          <w:tab w:val="clear" w:pos="9241"/>
        </w:tabs>
        <w:spacing w:before="60" w:after="60"/>
        <w:rPr>
          <w:rFonts w:ascii="Times New Roman" w:hAnsi="Times New Roman" w:eastAsia="宋体" w:cs="Times New Roman"/>
          <w:sz w:val="21"/>
        </w:rPr>
      </w:pPr>
      <w:r>
        <w:fldChar w:fldCharType="begin"/>
      </w:r>
      <w:r>
        <w:instrText xml:space="preserve"> HYPERLINK \l "_Toc456" </w:instrText>
      </w:r>
      <w:r>
        <w:fldChar w:fldCharType="separate"/>
      </w:r>
      <w:r>
        <w:rPr>
          <w:rFonts w:ascii="Times New Roman" w:hAnsi="Times New Roman" w:eastAsia="宋体" w:cs="Times New Roman"/>
          <w:sz w:val="21"/>
        </w:rPr>
        <w:t>2 规范性引用文件</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3</w:t>
      </w:r>
      <w:r>
        <w:rPr>
          <w:rFonts w:ascii="Times New Roman" w:hAnsi="Times New Roman" w:eastAsia="宋体" w:cs="Times New Roman"/>
          <w:sz w:val="21"/>
        </w:rPr>
        <w:fldChar w:fldCharType="end"/>
      </w:r>
    </w:p>
    <w:p>
      <w:pPr>
        <w:pStyle w:val="12"/>
        <w:tabs>
          <w:tab w:val="right" w:leader="dot" w:pos="9359"/>
          <w:tab w:val="clear" w:pos="9241"/>
        </w:tabs>
        <w:spacing w:before="60" w:after="60"/>
        <w:rPr>
          <w:rFonts w:ascii="Times New Roman" w:hAnsi="Times New Roman" w:eastAsia="宋体" w:cs="Times New Roman"/>
          <w:sz w:val="21"/>
        </w:rPr>
      </w:pPr>
      <w:r>
        <w:fldChar w:fldCharType="begin"/>
      </w:r>
      <w:r>
        <w:instrText xml:space="preserve"> HYPERLINK \l "_Toc6431" </w:instrText>
      </w:r>
      <w:r>
        <w:fldChar w:fldCharType="separate"/>
      </w:r>
      <w:r>
        <w:rPr>
          <w:rFonts w:ascii="Times New Roman" w:hAnsi="Times New Roman" w:eastAsia="宋体" w:cs="Times New Roman"/>
          <w:sz w:val="21"/>
        </w:rPr>
        <w:t>3 术语和定义</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3</w:t>
      </w:r>
      <w:r>
        <w:rPr>
          <w:rFonts w:ascii="Times New Roman" w:hAnsi="Times New Roman" w:eastAsia="宋体" w:cs="Times New Roman"/>
          <w:sz w:val="21"/>
        </w:rPr>
        <w:fldChar w:fldCharType="end"/>
      </w:r>
    </w:p>
    <w:p>
      <w:pPr>
        <w:pStyle w:val="12"/>
        <w:tabs>
          <w:tab w:val="right" w:leader="dot" w:pos="9359"/>
          <w:tab w:val="clear" w:pos="9241"/>
        </w:tabs>
        <w:spacing w:before="60" w:after="60"/>
        <w:rPr>
          <w:rFonts w:ascii="Times New Roman" w:hAnsi="Times New Roman" w:eastAsia="宋体" w:cs="Times New Roman"/>
          <w:sz w:val="21"/>
        </w:rPr>
      </w:pPr>
      <w:r>
        <w:fldChar w:fldCharType="begin"/>
      </w:r>
      <w:r>
        <w:instrText xml:space="preserve"> HYPERLINK \l "_Toc1764" </w:instrText>
      </w:r>
      <w:r>
        <w:fldChar w:fldCharType="separate"/>
      </w:r>
      <w:r>
        <w:rPr>
          <w:rFonts w:ascii="Times New Roman" w:hAnsi="Times New Roman" w:eastAsia="宋体" w:cs="Times New Roman"/>
          <w:sz w:val="21"/>
        </w:rPr>
        <w:t xml:space="preserve">4  </w:t>
      </w:r>
      <w:r>
        <w:rPr>
          <w:rFonts w:hint="eastAsia" w:ascii="Times New Roman" w:hAnsi="Times New Roman" w:eastAsia="宋体" w:cs="Times New Roman"/>
          <w:sz w:val="21"/>
          <w:lang w:val="en-US" w:eastAsia="zh-CN"/>
        </w:rPr>
        <w:t>总体要求</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3</w:t>
      </w:r>
      <w:r>
        <w:rPr>
          <w:rFonts w:ascii="Times New Roman" w:hAnsi="Times New Roman" w:eastAsia="宋体" w:cs="Times New Roman"/>
          <w:sz w:val="21"/>
        </w:rPr>
        <w:fldChar w:fldCharType="end"/>
      </w:r>
    </w:p>
    <w:p>
      <w:pPr>
        <w:pStyle w:val="12"/>
        <w:tabs>
          <w:tab w:val="right" w:leader="dot" w:pos="9359"/>
          <w:tab w:val="clear" w:pos="9241"/>
        </w:tabs>
        <w:spacing w:before="60" w:after="60"/>
        <w:rPr>
          <w:rFonts w:ascii="Times New Roman" w:hAnsi="Times New Roman" w:eastAsia="宋体" w:cs="Times New Roman"/>
          <w:sz w:val="21"/>
        </w:rPr>
      </w:pPr>
      <w:r>
        <w:fldChar w:fldCharType="begin"/>
      </w:r>
      <w:r>
        <w:instrText xml:space="preserve"> HYPERLINK \l "_Toc20970" </w:instrText>
      </w:r>
      <w:r>
        <w:fldChar w:fldCharType="separate"/>
      </w:r>
      <w:r>
        <w:rPr>
          <w:rFonts w:ascii="Times New Roman" w:hAnsi="Times New Roman" w:eastAsia="宋体" w:cs="Times New Roman"/>
          <w:sz w:val="21"/>
        </w:rPr>
        <w:t xml:space="preserve">5  </w:t>
      </w:r>
      <w:r>
        <w:rPr>
          <w:rFonts w:hint="eastAsia" w:ascii="Times New Roman" w:hAnsi="Times New Roman" w:eastAsia="宋体" w:cs="Times New Roman"/>
          <w:sz w:val="21"/>
          <w:lang w:val="en-US" w:eastAsia="zh-CN"/>
        </w:rPr>
        <w:t>流程管理</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6</w:t>
      </w:r>
      <w:r>
        <w:rPr>
          <w:rFonts w:ascii="Times New Roman" w:hAnsi="Times New Roman" w:eastAsia="宋体" w:cs="Times New Roman"/>
          <w:sz w:val="21"/>
        </w:rPr>
        <w:fldChar w:fldCharType="end"/>
      </w:r>
    </w:p>
    <w:p>
      <w:pPr>
        <w:pStyle w:val="12"/>
        <w:tabs>
          <w:tab w:val="right" w:leader="dot" w:pos="9359"/>
          <w:tab w:val="clear" w:pos="9241"/>
        </w:tabs>
        <w:spacing w:before="60" w:after="60"/>
        <w:rPr>
          <w:rFonts w:ascii="Times New Roman" w:hAnsi="Times New Roman" w:eastAsia="宋体" w:cs="Times New Roman"/>
          <w:sz w:val="21"/>
        </w:rPr>
      </w:pPr>
      <w:r>
        <w:fldChar w:fldCharType="begin"/>
      </w:r>
      <w:r>
        <w:instrText xml:space="preserve"> HYPERLINK \l "_Toc25794" </w:instrText>
      </w:r>
      <w:r>
        <w:fldChar w:fldCharType="separate"/>
      </w:r>
      <w:r>
        <w:rPr>
          <w:rFonts w:ascii="Times New Roman" w:hAnsi="Times New Roman" w:eastAsia="宋体" w:cs="Times New Roman"/>
          <w:sz w:val="21"/>
        </w:rPr>
        <w:t xml:space="preserve">6 </w:t>
      </w:r>
      <w:r>
        <w:rPr>
          <w:rFonts w:hint="eastAsia" w:ascii="Times New Roman" w:hAnsi="Times New Roman" w:eastAsia="宋体" w:cs="Times New Roman"/>
          <w:sz w:val="21"/>
          <w:lang w:val="en-US" w:eastAsia="zh-CN"/>
        </w:rPr>
        <w:t>运行管理</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7</w:t>
      </w:r>
      <w:r>
        <w:rPr>
          <w:rFonts w:ascii="Times New Roman" w:hAnsi="Times New Roman" w:eastAsia="宋体" w:cs="Times New Roman"/>
          <w:sz w:val="21"/>
        </w:rPr>
        <w:fldChar w:fldCharType="end"/>
      </w:r>
    </w:p>
    <w:p>
      <w:pPr>
        <w:pStyle w:val="12"/>
        <w:tabs>
          <w:tab w:val="right" w:leader="dot" w:pos="9359"/>
          <w:tab w:val="clear" w:pos="9241"/>
        </w:tabs>
        <w:spacing w:before="60" w:after="60"/>
        <w:rPr>
          <w:rFonts w:ascii="Times New Roman" w:hAnsi="Times New Roman" w:eastAsia="宋体" w:cs="Times New Roman"/>
          <w:sz w:val="21"/>
        </w:rPr>
      </w:pPr>
      <w:r>
        <w:fldChar w:fldCharType="begin"/>
      </w:r>
      <w:r>
        <w:instrText xml:space="preserve"> HYPERLINK \l "_Toc32174" </w:instrText>
      </w:r>
      <w:r>
        <w:fldChar w:fldCharType="separate"/>
      </w:r>
      <w:r>
        <w:rPr>
          <w:rFonts w:ascii="Times New Roman" w:hAnsi="Times New Roman" w:eastAsia="宋体" w:cs="Times New Roman"/>
          <w:sz w:val="21"/>
        </w:rPr>
        <w:t xml:space="preserve">7 </w:t>
      </w:r>
      <w:r>
        <w:rPr>
          <w:rFonts w:hint="eastAsia" w:ascii="Times New Roman" w:hAnsi="Times New Roman" w:eastAsia="宋体" w:cs="Times New Roman"/>
          <w:sz w:val="21"/>
          <w:lang w:val="en-US" w:eastAsia="zh-CN"/>
        </w:rPr>
        <w:t>管理评价与改进</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8</w:t>
      </w:r>
      <w:r>
        <w:rPr>
          <w:rFonts w:ascii="Times New Roman" w:hAnsi="Times New Roman" w:eastAsia="宋体" w:cs="Times New Roman"/>
          <w:sz w:val="21"/>
        </w:rPr>
        <w:fldChar w:fldCharType="end"/>
      </w:r>
    </w:p>
    <w:p>
      <w:pPr>
        <w:pStyle w:val="12"/>
        <w:tabs>
          <w:tab w:val="right" w:leader="dot" w:pos="9359"/>
          <w:tab w:val="clear" w:pos="9241"/>
        </w:tabs>
        <w:spacing w:before="60" w:after="60"/>
        <w:rPr>
          <w:rFonts w:ascii="Times New Roman" w:hAnsi="Times New Roman" w:eastAsia="宋体" w:cs="Times New Roman"/>
          <w:sz w:val="21"/>
        </w:rPr>
      </w:pPr>
      <w:r>
        <w:fldChar w:fldCharType="begin"/>
      </w:r>
      <w:r>
        <w:instrText xml:space="preserve"> HYPERLINK \l "_Toc19330" </w:instrText>
      </w:r>
      <w:r>
        <w:fldChar w:fldCharType="separate"/>
      </w:r>
      <w:r>
        <w:rPr>
          <w:rFonts w:ascii="Times New Roman" w:hAnsi="Times New Roman" w:eastAsia="宋体" w:cs="Times New Roman"/>
          <w:sz w:val="21"/>
        </w:rPr>
        <w:t>附录A</w:t>
      </w: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规范性</w:t>
      </w:r>
      <w:r>
        <w:rPr>
          <w:rFonts w:hint="eastAsia" w:ascii="Times New Roman" w:hAnsi="Times New Roman" w:eastAsia="宋体" w:cs="Times New Roman"/>
          <w:sz w:val="21"/>
        </w:rPr>
        <w:t>）Karnofsky（卡氏，KPS，百分法）功能状态评分</w:t>
      </w:r>
      <w:r>
        <w:rPr>
          <w:rFonts w:hint="eastAsia" w:ascii="Times New Roman" w:hAnsi="Times New Roman" w:eastAsia="宋体" w:cs="Times New Roman"/>
          <w:sz w:val="21"/>
          <w:lang w:val="en-US" w:eastAsia="zh-CN"/>
        </w:rPr>
        <w:t>量表</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9</w:t>
      </w:r>
      <w:r>
        <w:rPr>
          <w:rFonts w:ascii="Times New Roman" w:hAnsi="Times New Roman" w:eastAsia="宋体" w:cs="Times New Roman"/>
          <w:sz w:val="21"/>
        </w:rPr>
        <w:fldChar w:fldCharType="end"/>
      </w:r>
    </w:p>
    <w:p>
      <w:pPr>
        <w:pStyle w:val="12"/>
        <w:tabs>
          <w:tab w:val="right" w:leader="dot" w:pos="9359"/>
          <w:tab w:val="clear" w:pos="9241"/>
        </w:tabs>
        <w:spacing w:before="60" w:after="60"/>
        <w:rPr>
          <w:rFonts w:hint="eastAsia" w:ascii="Times New Roman" w:hAnsi="Times New Roman" w:eastAsia="宋体" w:cs="Times New Roman"/>
          <w:sz w:val="21"/>
          <w:lang w:val="en-US" w:eastAsia="zh-CN"/>
        </w:rPr>
      </w:pPr>
      <w:r>
        <w:fldChar w:fldCharType="begin"/>
      </w:r>
      <w:r>
        <w:instrText xml:space="preserve"> HYPERLINK \l "_Toc31929" </w:instrText>
      </w:r>
      <w:r>
        <w:fldChar w:fldCharType="separate"/>
      </w:r>
      <w:r>
        <w:rPr>
          <w:rFonts w:ascii="Times New Roman" w:hAnsi="Times New Roman" w:eastAsia="宋体" w:cs="Times New Roman"/>
          <w:sz w:val="21"/>
        </w:rPr>
        <w:t xml:space="preserve">附录B </w:t>
      </w:r>
      <w:r>
        <w:rPr>
          <w:rFonts w:hint="eastAsia" w:ascii="Times New Roman" w:hAnsi="Times New Roman" w:eastAsia="宋体" w:cs="Times New Roman"/>
          <w:sz w:val="21"/>
        </w:rPr>
        <w:t>（规范性）</w:t>
      </w:r>
      <w:r>
        <w:rPr>
          <w:rFonts w:hint="eastAsia" w:ascii="Times New Roman" w:hAnsi="Times New Roman" w:eastAsia="宋体" w:cs="Times New Roman"/>
          <w:sz w:val="21"/>
          <w:lang w:val="en-US" w:eastAsia="zh-CN"/>
        </w:rPr>
        <w:t>姑息预后指数（PPI）</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1</w:t>
      </w:r>
      <w:r>
        <w:rPr>
          <w:rFonts w:ascii="Times New Roman" w:hAnsi="Times New Roman" w:eastAsia="宋体" w:cs="Times New Roman"/>
          <w:sz w:val="21"/>
        </w:rPr>
        <w:fldChar w:fldCharType="end"/>
      </w:r>
      <w:r>
        <w:rPr>
          <w:rFonts w:hint="eastAsia" w:ascii="Times New Roman" w:hAnsi="Times New Roman" w:eastAsia="宋体" w:cs="Times New Roman"/>
          <w:sz w:val="21"/>
          <w:lang w:val="en-US" w:eastAsia="zh-CN"/>
        </w:rPr>
        <w:t>0</w:t>
      </w:r>
    </w:p>
    <w:p>
      <w:pPr>
        <w:pStyle w:val="12"/>
        <w:tabs>
          <w:tab w:val="right" w:leader="dot" w:pos="9359"/>
          <w:tab w:val="clear" w:pos="9241"/>
        </w:tabs>
        <w:spacing w:before="60" w:after="60"/>
        <w:rPr>
          <w:rFonts w:hint="eastAsia" w:ascii="Times New Roman" w:hAnsi="Times New Roman" w:eastAsia="宋体" w:cs="Times New Roman"/>
          <w:sz w:val="21"/>
          <w:lang w:val="en-US" w:eastAsia="zh-CN"/>
        </w:rPr>
      </w:pPr>
      <w:r>
        <w:fldChar w:fldCharType="begin"/>
      </w:r>
      <w:r>
        <w:instrText xml:space="preserve"> HYPERLINK \l "_Toc19330" </w:instrText>
      </w:r>
      <w:r>
        <w:fldChar w:fldCharType="separate"/>
      </w:r>
      <w:r>
        <w:rPr>
          <w:rFonts w:ascii="Times New Roman" w:hAnsi="Times New Roman" w:eastAsia="宋体" w:cs="Times New Roman"/>
          <w:sz w:val="21"/>
        </w:rPr>
        <w:t>附录</w:t>
      </w:r>
      <w:r>
        <w:rPr>
          <w:rFonts w:hint="eastAsia" w:ascii="Times New Roman" w:hAnsi="Times New Roman" w:eastAsia="宋体" w:cs="Times New Roman"/>
          <w:sz w:val="21"/>
          <w:lang w:val="en-US" w:eastAsia="zh-CN"/>
        </w:rPr>
        <w:t>B-2</w:t>
      </w: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规范性</w:t>
      </w: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姑息功能评估量表（PPS）</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1</w:t>
      </w:r>
      <w:r>
        <w:rPr>
          <w:rFonts w:ascii="Times New Roman" w:hAnsi="Times New Roman" w:eastAsia="宋体" w:cs="Times New Roman"/>
          <w:sz w:val="21"/>
        </w:rPr>
        <w:fldChar w:fldCharType="end"/>
      </w:r>
      <w:r>
        <w:rPr>
          <w:rFonts w:hint="eastAsia" w:ascii="Times New Roman" w:hAnsi="Times New Roman" w:eastAsia="宋体" w:cs="Times New Roman"/>
          <w:sz w:val="21"/>
          <w:lang w:val="en-US" w:eastAsia="zh-CN"/>
        </w:rPr>
        <w:t>1</w:t>
      </w:r>
    </w:p>
    <w:p>
      <w:pPr>
        <w:pStyle w:val="12"/>
        <w:tabs>
          <w:tab w:val="right" w:leader="dot" w:pos="9359"/>
          <w:tab w:val="clear" w:pos="9241"/>
        </w:tabs>
        <w:spacing w:before="60" w:after="60"/>
        <w:rPr>
          <w:rFonts w:hint="eastAsia" w:ascii="Times New Roman" w:hAnsi="Times New Roman" w:eastAsia="宋体" w:cs="Times New Roman"/>
          <w:sz w:val="21"/>
          <w:lang w:val="en-US" w:eastAsia="zh-CN"/>
        </w:rPr>
      </w:pPr>
      <w:r>
        <w:fldChar w:fldCharType="begin"/>
      </w:r>
      <w:r>
        <w:instrText xml:space="preserve"> HYPERLINK \l "_Toc31929" </w:instrText>
      </w:r>
      <w:r>
        <w:fldChar w:fldCharType="separate"/>
      </w:r>
      <w:r>
        <w:rPr>
          <w:rFonts w:ascii="Times New Roman" w:hAnsi="Times New Roman" w:eastAsia="宋体" w:cs="Times New Roman"/>
          <w:sz w:val="21"/>
        </w:rPr>
        <w:t>附录</w:t>
      </w:r>
      <w:r>
        <w:rPr>
          <w:rFonts w:hint="eastAsia" w:ascii="Times New Roman" w:hAnsi="Times New Roman" w:eastAsia="宋体" w:cs="Times New Roman"/>
          <w:sz w:val="21"/>
          <w:lang w:val="en-US" w:eastAsia="zh-CN"/>
        </w:rPr>
        <w:t>C</w:t>
      </w:r>
      <w:r>
        <w:rPr>
          <w:rFonts w:ascii="Times New Roman" w:hAnsi="Times New Roman" w:eastAsia="宋体" w:cs="Times New Roman"/>
          <w:sz w:val="21"/>
        </w:rPr>
        <w:t xml:space="preserve"> </w:t>
      </w:r>
      <w:r>
        <w:rPr>
          <w:rFonts w:hint="eastAsia" w:ascii="Times New Roman" w:hAnsi="Times New Roman" w:eastAsia="宋体" w:cs="Times New Roman"/>
          <w:sz w:val="21"/>
        </w:rPr>
        <w:t xml:space="preserve">（规范性）简明疼痛评估量表（BPI） </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1</w:t>
      </w:r>
      <w:r>
        <w:rPr>
          <w:rFonts w:ascii="Times New Roman" w:hAnsi="Times New Roman" w:eastAsia="宋体" w:cs="Times New Roman"/>
          <w:sz w:val="21"/>
        </w:rPr>
        <w:fldChar w:fldCharType="end"/>
      </w:r>
      <w:r>
        <w:rPr>
          <w:rFonts w:hint="eastAsia" w:ascii="Times New Roman" w:hAnsi="Times New Roman" w:eastAsia="宋体" w:cs="Times New Roman"/>
          <w:sz w:val="21"/>
          <w:lang w:val="en-US" w:eastAsia="zh-CN"/>
        </w:rPr>
        <w:t>3</w:t>
      </w:r>
    </w:p>
    <w:p>
      <w:pPr>
        <w:pStyle w:val="12"/>
        <w:tabs>
          <w:tab w:val="right" w:leader="dot" w:pos="9359"/>
          <w:tab w:val="clear" w:pos="9241"/>
        </w:tabs>
        <w:spacing w:before="60" w:after="60"/>
        <w:rPr>
          <w:rFonts w:hint="eastAsia" w:ascii="Times New Roman" w:hAnsi="Times New Roman" w:eastAsia="宋体" w:cs="Times New Roman"/>
          <w:sz w:val="21"/>
          <w:lang w:val="en-US" w:eastAsia="zh-CN"/>
        </w:rPr>
      </w:pPr>
      <w:r>
        <w:fldChar w:fldCharType="begin"/>
      </w:r>
      <w:r>
        <w:instrText xml:space="preserve"> HYPERLINK \l "_Toc19330" </w:instrText>
      </w:r>
      <w:r>
        <w:fldChar w:fldCharType="separate"/>
      </w:r>
      <w:r>
        <w:rPr>
          <w:rFonts w:ascii="Times New Roman" w:hAnsi="Times New Roman" w:eastAsia="宋体" w:cs="Times New Roman"/>
          <w:sz w:val="21"/>
        </w:rPr>
        <w:t>附录</w:t>
      </w:r>
      <w:r>
        <w:rPr>
          <w:rFonts w:hint="eastAsia" w:ascii="Times New Roman" w:hAnsi="Times New Roman" w:eastAsia="宋体" w:cs="Times New Roman"/>
          <w:sz w:val="21"/>
          <w:lang w:val="en-US" w:eastAsia="zh-CN"/>
        </w:rPr>
        <w:t>D</w:t>
      </w: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规范性</w:t>
      </w:r>
      <w:r>
        <w:rPr>
          <w:rFonts w:hint="eastAsia" w:ascii="Times New Roman" w:hAnsi="Times New Roman" w:eastAsia="宋体" w:cs="Times New Roman"/>
          <w:sz w:val="21"/>
        </w:rPr>
        <w:t>）安德森症状评估量表（MD Anderson Symptom Inventory，MDASI)</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1</w:t>
      </w:r>
      <w:r>
        <w:rPr>
          <w:rFonts w:ascii="Times New Roman" w:hAnsi="Times New Roman" w:eastAsia="宋体" w:cs="Times New Roman"/>
          <w:sz w:val="21"/>
        </w:rPr>
        <w:fldChar w:fldCharType="end"/>
      </w:r>
      <w:r>
        <w:rPr>
          <w:rFonts w:hint="eastAsia" w:ascii="Times New Roman" w:hAnsi="Times New Roman" w:eastAsia="宋体" w:cs="Times New Roman"/>
          <w:sz w:val="21"/>
          <w:lang w:val="en-US" w:eastAsia="zh-CN"/>
        </w:rPr>
        <w:t>5</w:t>
      </w:r>
    </w:p>
    <w:p>
      <w:pPr>
        <w:pStyle w:val="12"/>
        <w:tabs>
          <w:tab w:val="right" w:leader="dot" w:pos="9359"/>
          <w:tab w:val="clear" w:pos="9241"/>
        </w:tabs>
        <w:spacing w:before="60" w:after="60"/>
        <w:rPr>
          <w:rFonts w:hint="eastAsia" w:ascii="Times New Roman" w:hAnsi="Times New Roman" w:eastAsia="宋体" w:cs="Times New Roman"/>
          <w:sz w:val="21"/>
          <w:lang w:val="en-US" w:eastAsia="zh-CN"/>
        </w:rPr>
      </w:pPr>
      <w:r>
        <w:fldChar w:fldCharType="begin"/>
      </w:r>
      <w:r>
        <w:instrText xml:space="preserve"> HYPERLINK \l "_Toc19330" </w:instrText>
      </w:r>
      <w:r>
        <w:fldChar w:fldCharType="separate"/>
      </w:r>
      <w:r>
        <w:rPr>
          <w:rFonts w:ascii="Times New Roman" w:hAnsi="Times New Roman" w:eastAsia="宋体" w:cs="Times New Roman"/>
          <w:sz w:val="21"/>
        </w:rPr>
        <w:t>附录</w:t>
      </w:r>
      <w:r>
        <w:rPr>
          <w:rFonts w:hint="eastAsia" w:ascii="Times New Roman" w:hAnsi="Times New Roman" w:eastAsia="宋体" w:cs="Times New Roman"/>
          <w:sz w:val="21"/>
          <w:lang w:val="en-US" w:eastAsia="zh-CN"/>
        </w:rPr>
        <w:t>E</w:t>
      </w: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规范性</w:t>
      </w:r>
      <w:r>
        <w:rPr>
          <w:rFonts w:hint="eastAsia" w:ascii="Times New Roman" w:hAnsi="Times New Roman" w:eastAsia="宋体" w:cs="Times New Roman"/>
          <w:sz w:val="21"/>
        </w:rPr>
        <w:t>）心理评估</w:t>
      </w:r>
      <w:r>
        <w:rPr>
          <w:rFonts w:hint="eastAsia" w:ascii="Times New Roman" w:hAnsi="Times New Roman" w:eastAsia="宋体" w:cs="Times New Roman"/>
          <w:sz w:val="21"/>
          <w:lang w:val="en-US" w:eastAsia="zh-CN"/>
        </w:rPr>
        <w:t>表</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1</w:t>
      </w:r>
      <w:r>
        <w:rPr>
          <w:rFonts w:ascii="Times New Roman" w:hAnsi="Times New Roman" w:eastAsia="宋体" w:cs="Times New Roman"/>
          <w:sz w:val="21"/>
        </w:rPr>
        <w:fldChar w:fldCharType="end"/>
      </w:r>
      <w:r>
        <w:rPr>
          <w:rFonts w:hint="eastAsia" w:ascii="Times New Roman" w:hAnsi="Times New Roman" w:eastAsia="宋体" w:cs="Times New Roman"/>
          <w:sz w:val="21"/>
          <w:lang w:val="en-US" w:eastAsia="zh-CN"/>
        </w:rPr>
        <w:t>7</w:t>
      </w:r>
    </w:p>
    <w:p>
      <w:pPr>
        <w:pStyle w:val="12"/>
        <w:tabs>
          <w:tab w:val="right" w:leader="dot" w:pos="9359"/>
          <w:tab w:val="clear" w:pos="9241"/>
        </w:tabs>
        <w:spacing w:before="60" w:after="60"/>
        <w:rPr>
          <w:rFonts w:hint="eastAsia" w:ascii="Times New Roman" w:hAnsi="Times New Roman" w:eastAsia="宋体" w:cs="Times New Roman"/>
          <w:sz w:val="21"/>
          <w:lang w:val="en-US" w:eastAsia="zh-CN"/>
        </w:rPr>
      </w:pPr>
      <w:r>
        <w:fldChar w:fldCharType="begin"/>
      </w:r>
      <w:r>
        <w:instrText xml:space="preserve"> HYPERLINK \l "_Toc19330" </w:instrText>
      </w:r>
      <w:r>
        <w:fldChar w:fldCharType="separate"/>
      </w:r>
      <w:r>
        <w:rPr>
          <w:rFonts w:ascii="Times New Roman" w:hAnsi="Times New Roman" w:eastAsia="宋体" w:cs="Times New Roman"/>
          <w:sz w:val="21"/>
        </w:rPr>
        <w:t>附录</w:t>
      </w:r>
      <w:r>
        <w:rPr>
          <w:rFonts w:hint="eastAsia" w:ascii="Times New Roman" w:hAnsi="Times New Roman" w:eastAsia="宋体" w:cs="Times New Roman"/>
          <w:sz w:val="21"/>
          <w:lang w:val="en-US" w:eastAsia="zh-CN"/>
        </w:rPr>
        <w:t>F</w:t>
      </w: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规范性</w:t>
      </w:r>
      <w:r>
        <w:rPr>
          <w:rFonts w:hint="eastAsia" w:ascii="Times New Roman" w:hAnsi="Times New Roman" w:eastAsia="宋体" w:cs="Times New Roman"/>
          <w:sz w:val="21"/>
        </w:rPr>
        <w:t>）社会支持评定量表</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1</w:t>
      </w:r>
      <w:r>
        <w:rPr>
          <w:rFonts w:ascii="Times New Roman" w:hAnsi="Times New Roman" w:eastAsia="宋体" w:cs="Times New Roman"/>
          <w:sz w:val="21"/>
        </w:rPr>
        <w:fldChar w:fldCharType="end"/>
      </w:r>
      <w:r>
        <w:rPr>
          <w:rFonts w:hint="eastAsia" w:ascii="Times New Roman" w:hAnsi="Times New Roman" w:eastAsia="宋体" w:cs="Times New Roman"/>
          <w:sz w:val="21"/>
          <w:lang w:val="en-US" w:eastAsia="zh-CN"/>
        </w:rPr>
        <w:t>9</w:t>
      </w:r>
    </w:p>
    <w:p>
      <w:pPr>
        <w:pStyle w:val="12"/>
        <w:tabs>
          <w:tab w:val="right" w:leader="dot" w:pos="9359"/>
          <w:tab w:val="clear" w:pos="9241"/>
        </w:tabs>
        <w:spacing w:before="60" w:after="60"/>
        <w:rPr>
          <w:rFonts w:hint="eastAsia" w:eastAsia="宋体"/>
          <w:lang w:val="en-US" w:eastAsia="zh-CN"/>
        </w:rPr>
      </w:pPr>
      <w:r>
        <w:fldChar w:fldCharType="begin"/>
      </w:r>
      <w:r>
        <w:instrText xml:space="preserve"> HYPERLINK \l "_Toc19330" </w:instrText>
      </w:r>
      <w:r>
        <w:fldChar w:fldCharType="separate"/>
      </w:r>
      <w:r>
        <w:rPr>
          <w:rFonts w:ascii="Times New Roman" w:hAnsi="Times New Roman" w:eastAsia="宋体" w:cs="Times New Roman"/>
          <w:sz w:val="21"/>
        </w:rPr>
        <w:t>附录</w:t>
      </w:r>
      <w:r>
        <w:rPr>
          <w:rFonts w:hint="eastAsia" w:ascii="Times New Roman" w:hAnsi="Times New Roman" w:eastAsia="宋体" w:cs="Times New Roman"/>
          <w:sz w:val="21"/>
          <w:lang w:val="en-US" w:eastAsia="zh-CN"/>
        </w:rPr>
        <w:t>G</w:t>
      </w: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资料性</w:t>
      </w: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安宁疗护病房准入准出</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2</w:t>
      </w:r>
      <w:r>
        <w:rPr>
          <w:rFonts w:ascii="Times New Roman" w:hAnsi="Times New Roman" w:eastAsia="宋体" w:cs="Times New Roman"/>
          <w:sz w:val="21"/>
        </w:rPr>
        <w:fldChar w:fldCharType="end"/>
      </w:r>
      <w:r>
        <w:rPr>
          <w:rFonts w:hint="eastAsia" w:ascii="Times New Roman" w:hAnsi="Times New Roman" w:eastAsia="宋体" w:cs="Times New Roman"/>
          <w:sz w:val="21"/>
          <w:lang w:val="en-US" w:eastAsia="zh-CN"/>
        </w:rPr>
        <w:t>2</w:t>
      </w:r>
    </w:p>
    <w:p>
      <w:pPr>
        <w:pStyle w:val="12"/>
        <w:tabs>
          <w:tab w:val="right" w:leader="dot" w:pos="9359"/>
          <w:tab w:val="clear" w:pos="9241"/>
        </w:tabs>
        <w:spacing w:before="60" w:after="60"/>
        <w:rPr>
          <w:rFonts w:hint="eastAsia" w:ascii="Times New Roman" w:hAnsi="Times New Roman" w:eastAsia="宋体" w:cs="Times New Roman"/>
          <w:sz w:val="21"/>
          <w:lang w:val="en-US" w:eastAsia="zh-CN"/>
        </w:rPr>
      </w:pPr>
      <w:r>
        <w:fldChar w:fldCharType="begin"/>
      </w:r>
      <w:r>
        <w:instrText xml:space="preserve"> HYPERLINK \l "_Toc23777" </w:instrText>
      </w:r>
      <w:r>
        <w:fldChar w:fldCharType="separate"/>
      </w:r>
      <w:r>
        <w:rPr>
          <w:rFonts w:hint="eastAsia" w:ascii="Times New Roman" w:hAnsi="Times New Roman" w:eastAsia="宋体" w:cs="Times New Roman"/>
          <w:sz w:val="21"/>
        </w:rPr>
        <w:t>参考文献</w:t>
      </w:r>
      <w:r>
        <w:rPr>
          <w:rFonts w:ascii="Times New Roman" w:hAnsi="Times New Roman" w:eastAsia="宋体" w:cs="Times New Roman"/>
          <w:sz w:val="21"/>
        </w:rPr>
        <w:t xml:space="preserve"> </w:t>
      </w:r>
      <w:r>
        <w:rPr>
          <w:rFonts w:ascii="Times New Roman" w:hAnsi="Times New Roman" w:eastAsia="宋体" w:cs="Times New Roman"/>
          <w:sz w:val="21"/>
        </w:rPr>
        <w:tab/>
      </w:r>
      <w:r>
        <w:rPr>
          <w:rFonts w:hint="eastAsia" w:ascii="Times New Roman" w:hAnsi="Times New Roman" w:eastAsia="宋体" w:cs="Times New Roman"/>
          <w:sz w:val="21"/>
          <w:lang w:val="en-US" w:eastAsia="zh-CN"/>
        </w:rPr>
        <w:t>2</w:t>
      </w:r>
      <w:r>
        <w:rPr>
          <w:rFonts w:ascii="Times New Roman" w:hAnsi="Times New Roman" w:eastAsia="宋体" w:cs="Times New Roman"/>
          <w:sz w:val="21"/>
        </w:rPr>
        <w:fldChar w:fldCharType="end"/>
      </w:r>
      <w:r>
        <w:rPr>
          <w:rFonts w:hint="eastAsia" w:ascii="Times New Roman" w:hAnsi="Times New Roman" w:eastAsia="宋体" w:cs="Times New Roman"/>
          <w:sz w:val="21"/>
          <w:lang w:val="en-US" w:eastAsia="zh-CN"/>
        </w:rPr>
        <w:t>3</w:t>
      </w:r>
    </w:p>
    <w:p>
      <w:pPr>
        <w:spacing w:line="320" w:lineRule="exact"/>
      </w:pPr>
      <w:r>
        <w:rPr>
          <w:rFonts w:ascii="Times New Roman" w:hAnsi="Times New Roman" w:eastAsia="宋体" w:cs="Times New Roman"/>
          <w:sz w:val="21"/>
          <w:szCs w:val="21"/>
        </w:rPr>
        <w:fldChar w:fldCharType="end"/>
      </w:r>
    </w:p>
    <w:p/>
    <w:p/>
    <w:p>
      <w:r>
        <w:rPr>
          <w:rFonts w:hint="eastAsia"/>
        </w:rPr>
        <w:br w:type="page"/>
      </w:r>
    </w:p>
    <w:p>
      <w:pPr>
        <w:spacing w:after="0" w:line="20" w:lineRule="exact"/>
      </w:pPr>
    </w:p>
    <w:p>
      <w:pPr>
        <w:pStyle w:val="26"/>
        <w:tabs>
          <w:tab w:val="left" w:pos="959"/>
        </w:tabs>
        <w:spacing w:before="850" w:after="680"/>
        <w:ind w:right="34"/>
        <w:outlineLvl w:val="0"/>
        <w:rPr>
          <w:lang w:eastAsia="zh-CN"/>
        </w:rPr>
      </w:pPr>
      <w:bookmarkStart w:id="17" w:name="_Toc1668"/>
      <w:r>
        <w:rPr>
          <w:rFonts w:hint="eastAsia"/>
          <w:lang w:eastAsia="zh-CN"/>
        </w:rPr>
        <w:t>前    言</w:t>
      </w:r>
      <w:bookmarkEnd w:id="17"/>
    </w:p>
    <w:p>
      <w:pPr>
        <w:pStyle w:val="54"/>
        <w:spacing w:line="324" w:lineRule="exact"/>
        <w:rPr>
          <w:rFonts w:hint="eastAsia" w:ascii="Times New Roman"/>
        </w:rPr>
      </w:pPr>
      <w:r>
        <w:rPr>
          <w:rFonts w:hint="eastAsia" w:ascii="Times New Roman"/>
          <w:lang w:val="en-US" w:eastAsia="zh-CN"/>
        </w:rPr>
        <w:t xml:space="preserve">本文件按照 GB/T 1.1—2020《标准化工作导则第 1 部分：标准化文件的结构和起草规则》的规定起草。 </w:t>
      </w:r>
    </w:p>
    <w:p>
      <w:pPr>
        <w:pStyle w:val="54"/>
        <w:spacing w:line="324" w:lineRule="exact"/>
        <w:rPr>
          <w:rFonts w:ascii="Times New Roman"/>
        </w:rPr>
      </w:pPr>
      <w:r>
        <w:rPr>
          <w:rFonts w:hint="eastAsia" w:ascii="Times New Roman"/>
          <w:lang w:val="en-US" w:eastAsia="zh-CN"/>
        </w:rPr>
        <w:t xml:space="preserve">本文件由湖南省卫生健康委员会提出并归口。 </w:t>
      </w:r>
    </w:p>
    <w:p>
      <w:pPr>
        <w:spacing w:after="0" w:line="330" w:lineRule="exact"/>
        <w:ind w:firstLine="420" w:firstLineChars="200"/>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本</w:t>
      </w:r>
      <w:r>
        <w:rPr>
          <w:rFonts w:hint="eastAsia" w:ascii="Times New Roman" w:hAnsi="Times New Roman" w:eastAsia="宋体" w:cs="Times New Roman"/>
          <w:sz w:val="21"/>
          <w:szCs w:val="21"/>
        </w:rPr>
        <w:t>文件</w:t>
      </w:r>
      <w:r>
        <w:rPr>
          <w:rFonts w:ascii="Times New Roman" w:hAnsi="Times New Roman" w:eastAsia="宋体" w:cs="Times New Roman"/>
          <w:sz w:val="21"/>
          <w:szCs w:val="21"/>
        </w:rPr>
        <w:t>起草单位：</w:t>
      </w:r>
      <w:r>
        <w:rPr>
          <w:rFonts w:hint="eastAsia" w:ascii="Times New Roman" w:hAnsi="Times New Roman" w:eastAsia="宋体" w:cs="Times New Roman"/>
          <w:sz w:val="21"/>
          <w:szCs w:val="21"/>
        </w:rPr>
        <w:t>湖南省肿瘤医院</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中南大学湘雅医院、湖南省脑科医院、常德市第二人民医院、郴州市第一人民医院。</w:t>
      </w:r>
    </w:p>
    <w:p>
      <w:pPr>
        <w:spacing w:after="0" w:line="33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w:t>
      </w:r>
      <w:r>
        <w:rPr>
          <w:rFonts w:hint="eastAsia" w:ascii="Times New Roman" w:hAnsi="Times New Roman" w:eastAsia="宋体" w:cs="Times New Roman"/>
          <w:sz w:val="21"/>
          <w:szCs w:val="21"/>
        </w:rPr>
        <w:t>文件</w:t>
      </w:r>
      <w:r>
        <w:rPr>
          <w:rFonts w:ascii="Times New Roman" w:hAnsi="Times New Roman" w:eastAsia="宋体" w:cs="Times New Roman"/>
          <w:sz w:val="21"/>
          <w:szCs w:val="21"/>
        </w:rPr>
        <w:t>主要起草人：</w:t>
      </w:r>
      <w:r>
        <w:rPr>
          <w:rFonts w:hint="eastAsia" w:ascii="Times New Roman" w:hAnsi="Times New Roman" w:eastAsia="宋体" w:cs="Times New Roman"/>
          <w:sz w:val="21"/>
          <w:szCs w:val="21"/>
        </w:rPr>
        <w:t>谌永毅、</w:t>
      </w:r>
      <w:r>
        <w:rPr>
          <w:rFonts w:hint="eastAsia" w:ascii="Times New Roman" w:hAnsi="Times New Roman" w:eastAsia="宋体" w:cs="Times New Roman"/>
          <w:sz w:val="21"/>
          <w:szCs w:val="21"/>
          <w:lang w:val="en-US" w:eastAsia="zh-CN"/>
        </w:rPr>
        <w:t>肖亚洲、</w:t>
      </w:r>
      <w:r>
        <w:rPr>
          <w:rFonts w:hint="eastAsia" w:ascii="Times New Roman" w:hAnsi="Times New Roman" w:eastAsia="宋体" w:cs="Times New Roman"/>
          <w:sz w:val="21"/>
          <w:szCs w:val="21"/>
        </w:rPr>
        <w:t>李旭英</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沈波涌、王英、许湘华、邱翠玲、黄聪、</w:t>
      </w:r>
      <w:r>
        <w:rPr>
          <w:rFonts w:hint="eastAsia" w:ascii="Times New Roman" w:hAnsi="Times New Roman" w:eastAsia="宋体" w:cs="Times New Roman"/>
          <w:sz w:val="21"/>
          <w:szCs w:val="21"/>
        </w:rPr>
        <w:t>成琴琴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岳丽青、李梅枝、任群峰、谢梅芳</w:t>
      </w:r>
      <w:r>
        <w:rPr>
          <w:rFonts w:hint="eastAsia" w:ascii="Times New Roman" w:hAnsi="Times New Roman" w:eastAsia="宋体" w:cs="Times New Roman"/>
          <w:sz w:val="21"/>
          <w:szCs w:val="21"/>
        </w:rPr>
        <w:t>。</w:t>
      </w:r>
    </w:p>
    <w:p>
      <w:pPr>
        <w:spacing w:after="0" w:line="330" w:lineRule="exact"/>
        <w:ind w:firstLine="420" w:firstLineChars="200"/>
        <w:rPr>
          <w:rFonts w:ascii="Times New Roman" w:hAnsi="Times New Roman" w:eastAsia="宋体" w:cs="Times New Roman"/>
          <w:sz w:val="21"/>
          <w:szCs w:val="21"/>
        </w:rPr>
        <w:sectPr>
          <w:headerReference r:id="rId8" w:type="default"/>
          <w:footerReference r:id="rId9" w:type="default"/>
          <w:footerReference r:id="rId10" w:type="even"/>
          <w:pgSz w:w="11910" w:h="16840"/>
          <w:pgMar w:top="1417" w:right="1134" w:bottom="1134" w:left="1134" w:header="1417" w:footer="1134" w:gutter="283"/>
          <w:pgNumType w:fmt="upperRoman" w:start="1"/>
          <w:cols w:space="0" w:num="1"/>
          <w:docGrid w:linePitch="299" w:charSpace="0"/>
        </w:sectPr>
      </w:pPr>
    </w:p>
    <w:p>
      <w:pPr>
        <w:pStyle w:val="26"/>
        <w:spacing w:beforeLines="300" w:afterLines="200" w:line="320" w:lineRule="exact"/>
        <w:ind w:right="34"/>
        <w:rPr>
          <w:sz w:val="20"/>
          <w:lang w:eastAsia="zh-CN"/>
        </w:rPr>
      </w:pPr>
      <w:r>
        <w:rPr>
          <w:rFonts w:hint="eastAsia"/>
          <w:lang w:val="en-US" w:eastAsia="zh-CN"/>
        </w:rPr>
        <w:t>安宁疗护</w:t>
      </w:r>
      <w:r>
        <w:rPr>
          <w:rFonts w:hint="eastAsia"/>
          <w:lang w:eastAsia="zh-CN"/>
        </w:rPr>
        <w:t>管理规范</w:t>
      </w:r>
    </w:p>
    <w:p>
      <w:pPr>
        <w:pStyle w:val="27"/>
        <w:tabs>
          <w:tab w:val="left" w:pos="850"/>
        </w:tabs>
        <w:spacing w:beforeLines="100" w:afterLines="100" w:line="320" w:lineRule="exact"/>
        <w:ind w:left="0" w:firstLine="0"/>
        <w:outlineLvl w:val="0"/>
        <w:rPr>
          <w:rFonts w:ascii="Times New Roman" w:hAnsi="Times New Roman" w:eastAsia="黑体" w:cs="Times New Roman"/>
          <w:sz w:val="21"/>
          <w:szCs w:val="21"/>
          <w:lang w:eastAsia="zh-CN"/>
        </w:rPr>
      </w:pPr>
      <w:bookmarkStart w:id="18" w:name="_Toc7407"/>
      <w:r>
        <w:rPr>
          <w:rFonts w:ascii="Times New Roman" w:hAnsi="Times New Roman" w:eastAsia="黑体" w:cs="Times New Roman"/>
          <w:sz w:val="21"/>
          <w:szCs w:val="21"/>
          <w:lang w:eastAsia="zh-CN"/>
        </w:rPr>
        <w:t>1 范围</w:t>
      </w:r>
      <w:bookmarkEnd w:id="18"/>
    </w:p>
    <w:p>
      <w:pPr>
        <w:spacing w:line="360" w:lineRule="auto"/>
        <w:ind w:firstLine="416" w:firstLineChars="200"/>
        <w:rPr>
          <w:rFonts w:hint="eastAsia" w:ascii="Times New Roman" w:hAnsi="Times New Roman" w:eastAsia="宋体" w:cs="Times New Roman"/>
          <w:spacing w:val="-1"/>
          <w:sz w:val="21"/>
          <w:szCs w:val="21"/>
          <w:lang w:val="en-US" w:eastAsia="zh-CN" w:bidi="ar-SA"/>
        </w:rPr>
      </w:pPr>
      <w:bookmarkStart w:id="19" w:name="_Toc456"/>
      <w:r>
        <w:rPr>
          <w:rFonts w:ascii="Times New Roman" w:hAnsi="Times New Roman" w:eastAsia="宋体" w:cs="Times New Roman"/>
          <w:spacing w:val="-1"/>
          <w:sz w:val="21"/>
          <w:szCs w:val="21"/>
          <w:lang w:val="en-US" w:eastAsia="zh-CN" w:bidi="ar-SA"/>
        </w:rPr>
        <w:t>本文件规定了安宁疗护病房</w:t>
      </w:r>
      <w:r>
        <w:rPr>
          <w:rFonts w:hint="eastAsia" w:ascii="Times New Roman" w:hAnsi="Times New Roman" w:eastAsia="宋体" w:cs="Times New Roman"/>
          <w:spacing w:val="-1"/>
          <w:sz w:val="21"/>
          <w:szCs w:val="21"/>
          <w:lang w:val="en-US" w:eastAsia="zh-CN" w:bidi="ar-SA"/>
        </w:rPr>
        <w:t>管理</w:t>
      </w:r>
      <w:r>
        <w:rPr>
          <w:rFonts w:ascii="Times New Roman" w:hAnsi="Times New Roman" w:eastAsia="宋体" w:cs="Times New Roman"/>
          <w:spacing w:val="-1"/>
          <w:sz w:val="21"/>
          <w:szCs w:val="21"/>
          <w:lang w:val="en-US" w:eastAsia="zh-CN" w:bidi="ar-SA"/>
        </w:rPr>
        <w:t>的</w:t>
      </w:r>
      <w:r>
        <w:rPr>
          <w:rFonts w:hint="eastAsia" w:ascii="Times New Roman" w:hAnsi="Times New Roman" w:eastAsia="宋体" w:cs="Times New Roman"/>
          <w:spacing w:val="-1"/>
          <w:sz w:val="21"/>
          <w:szCs w:val="21"/>
          <w:lang w:val="en-US" w:eastAsia="zh-CN" w:bidi="ar-SA"/>
        </w:rPr>
        <w:t>术语和定义、总体要求、流程管理以及运行管理。</w:t>
      </w:r>
    </w:p>
    <w:p>
      <w:pPr>
        <w:spacing w:line="360" w:lineRule="auto"/>
        <w:ind w:firstLine="416" w:firstLineChars="200"/>
        <w:rPr>
          <w:rFonts w:ascii="Times New Roman" w:hAnsi="Times New Roman" w:eastAsia="黑体" w:cs="Times New Roman"/>
          <w:sz w:val="21"/>
          <w:szCs w:val="21"/>
          <w:lang w:eastAsia="zh-CN"/>
        </w:rPr>
      </w:pPr>
      <w:r>
        <w:rPr>
          <w:rFonts w:ascii="Times New Roman" w:hAnsi="Times New Roman" w:eastAsia="宋体" w:cs="Times New Roman"/>
          <w:spacing w:val="-1"/>
          <w:sz w:val="21"/>
          <w:szCs w:val="21"/>
          <w:lang w:val="en-US" w:eastAsia="zh-CN" w:bidi="ar-SA"/>
        </w:rPr>
        <w:t>本文件适用于各级各类</w:t>
      </w:r>
      <w:r>
        <w:rPr>
          <w:rFonts w:hint="eastAsia" w:ascii="Times New Roman" w:hAnsi="Times New Roman" w:eastAsia="宋体" w:cs="Times New Roman"/>
          <w:spacing w:val="-1"/>
          <w:sz w:val="21"/>
          <w:szCs w:val="21"/>
          <w:lang w:val="en-US" w:eastAsia="zh-CN" w:bidi="ar-SA"/>
        </w:rPr>
        <w:t>开展安宁疗护的</w:t>
      </w:r>
      <w:r>
        <w:rPr>
          <w:rFonts w:ascii="Times New Roman" w:hAnsi="Times New Roman" w:eastAsia="宋体" w:cs="Times New Roman"/>
          <w:spacing w:val="-1"/>
          <w:sz w:val="21"/>
          <w:szCs w:val="21"/>
          <w:lang w:val="en-US" w:eastAsia="zh-CN" w:bidi="ar-SA"/>
        </w:rPr>
        <w:t>医疗</w:t>
      </w:r>
      <w:r>
        <w:rPr>
          <w:rFonts w:hint="eastAsia" w:ascii="Times New Roman" w:hAnsi="Times New Roman" w:eastAsia="宋体" w:cs="Times New Roman"/>
          <w:spacing w:val="-1"/>
          <w:sz w:val="21"/>
          <w:szCs w:val="21"/>
          <w:lang w:val="en-US" w:eastAsia="zh-CN" w:bidi="ar-SA"/>
        </w:rPr>
        <w:t>机构。</w:t>
      </w:r>
    </w:p>
    <w:p>
      <w:pPr>
        <w:pStyle w:val="27"/>
        <w:tabs>
          <w:tab w:val="left" w:pos="850"/>
        </w:tabs>
        <w:spacing w:beforeLines="100" w:afterLines="100" w:line="320" w:lineRule="exact"/>
        <w:ind w:left="0" w:firstLine="0"/>
        <w:jc w:val="both"/>
        <w:outlineLvl w:val="0"/>
        <w:rPr>
          <w:rFonts w:ascii="Times New Roman" w:hAnsi="Times New Roman" w:eastAsia="黑体" w:cs="Times New Roman"/>
          <w:sz w:val="21"/>
          <w:szCs w:val="21"/>
          <w:lang w:eastAsia="zh-CN"/>
        </w:rPr>
      </w:pPr>
      <w:r>
        <w:rPr>
          <w:rFonts w:ascii="Times New Roman" w:hAnsi="Times New Roman" w:eastAsia="黑体" w:cs="Times New Roman"/>
          <w:sz w:val="21"/>
          <w:szCs w:val="21"/>
          <w:lang w:eastAsia="zh-CN"/>
        </w:rPr>
        <w:t>2 规范性引用文件</w:t>
      </w:r>
      <w:bookmarkEnd w:id="19"/>
    </w:p>
    <w:p>
      <w:pPr>
        <w:pStyle w:val="27"/>
        <w:tabs>
          <w:tab w:val="left" w:pos="850"/>
        </w:tabs>
        <w:spacing w:line="320" w:lineRule="exact"/>
        <w:ind w:left="0" w:firstLine="416" w:firstLineChars="200"/>
        <w:jc w:val="both"/>
        <w:rPr>
          <w:rFonts w:ascii="Times New Roman" w:hAnsi="Times New Roman" w:cs="Times New Roman"/>
          <w:spacing w:val="-1"/>
          <w:sz w:val="21"/>
          <w:szCs w:val="21"/>
          <w:lang w:eastAsia="zh-CN"/>
        </w:rPr>
      </w:pPr>
      <w:r>
        <w:rPr>
          <w:rFonts w:ascii="Times New Roman" w:hAnsi="Times New Roman" w:cs="Times New Roman"/>
          <w:spacing w:val="-1"/>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7"/>
        <w:tabs>
          <w:tab w:val="left" w:pos="850"/>
        </w:tabs>
        <w:spacing w:line="320" w:lineRule="exact"/>
        <w:ind w:left="0" w:firstLine="416" w:firstLineChars="200"/>
        <w:jc w:val="both"/>
        <w:rPr>
          <w:rFonts w:ascii="Times New Roman" w:hAnsi="Times New Roman" w:cs="Times New Roman"/>
          <w:spacing w:val="-1"/>
          <w:sz w:val="21"/>
          <w:szCs w:val="21"/>
          <w:lang w:eastAsia="zh-CN"/>
        </w:rPr>
      </w:pPr>
    </w:p>
    <w:p>
      <w:pPr>
        <w:pStyle w:val="27"/>
        <w:tabs>
          <w:tab w:val="left" w:pos="850"/>
        </w:tabs>
        <w:spacing w:line="320" w:lineRule="exact"/>
        <w:ind w:left="0" w:firstLine="416" w:firstLineChars="200"/>
        <w:jc w:val="both"/>
        <w:rPr>
          <w:rFonts w:hint="eastAsia" w:ascii="Times New Roman" w:hAnsi="Times New Roman" w:cs="Times New Roman"/>
          <w:spacing w:val="-1"/>
          <w:sz w:val="21"/>
          <w:szCs w:val="21"/>
          <w:lang w:eastAsia="zh-CN"/>
        </w:rPr>
      </w:pPr>
      <w:r>
        <w:rPr>
          <w:rFonts w:ascii="Times New Roman" w:hAnsi="Times New Roman" w:cs="Times New Roman"/>
          <w:spacing w:val="-1"/>
          <w:sz w:val="21"/>
          <w:szCs w:val="21"/>
          <w:lang w:eastAsia="zh-CN"/>
        </w:rPr>
        <w:t>WS 308—2019</w:t>
      </w:r>
      <w:r>
        <w:rPr>
          <w:rFonts w:hint="eastAsia" w:ascii="Times New Roman" w:hAnsi="Times New Roman" w:cs="Times New Roman"/>
          <w:spacing w:val="-1"/>
          <w:sz w:val="21"/>
          <w:szCs w:val="21"/>
          <w:lang w:eastAsia="zh-CN"/>
        </w:rPr>
        <w:t>医疗机构消防安全管理</w:t>
      </w:r>
    </w:p>
    <w:p>
      <w:pPr>
        <w:pStyle w:val="27"/>
        <w:tabs>
          <w:tab w:val="left" w:pos="850"/>
        </w:tabs>
        <w:spacing w:line="320" w:lineRule="exact"/>
        <w:ind w:left="0" w:firstLine="416" w:firstLineChars="200"/>
        <w:jc w:val="both"/>
        <w:rPr>
          <w:rFonts w:ascii="Times New Roman" w:hAnsi="Times New Roman" w:cs="Times New Roman"/>
          <w:spacing w:val="-1"/>
          <w:sz w:val="21"/>
          <w:szCs w:val="21"/>
          <w:lang w:eastAsia="zh-CN"/>
        </w:rPr>
      </w:pPr>
      <w:r>
        <w:rPr>
          <w:rFonts w:ascii="Times New Roman" w:hAnsi="Times New Roman" w:cs="Times New Roman"/>
          <w:spacing w:val="-1"/>
          <w:sz w:val="21"/>
          <w:szCs w:val="21"/>
          <w:lang w:eastAsia="zh-CN"/>
        </w:rPr>
        <w:t>WS/T 510</w:t>
      </w:r>
      <w:r>
        <w:rPr>
          <w:rFonts w:hint="default" w:ascii="Times New Roman" w:hAnsi="Times New Roman" w:cs="Times New Roman"/>
          <w:spacing w:val="-1"/>
          <w:sz w:val="21"/>
          <w:szCs w:val="21"/>
          <w:lang w:val="en-US" w:eastAsia="zh-CN"/>
        </w:rPr>
        <w:t>—</w:t>
      </w:r>
      <w:r>
        <w:rPr>
          <w:rFonts w:ascii="Times New Roman" w:hAnsi="Times New Roman" w:cs="Times New Roman"/>
          <w:spacing w:val="-1"/>
          <w:sz w:val="21"/>
          <w:szCs w:val="21"/>
          <w:lang w:eastAsia="zh-CN"/>
        </w:rPr>
        <w:t>2016</w:t>
      </w:r>
      <w:r>
        <w:rPr>
          <w:rFonts w:hint="eastAsia" w:ascii="Times New Roman" w:hAnsi="Times New Roman" w:cs="Times New Roman"/>
          <w:spacing w:val="-1"/>
          <w:sz w:val="21"/>
          <w:szCs w:val="21"/>
          <w:lang w:eastAsia="zh-CN"/>
        </w:rPr>
        <w:t>病区医院感染管理规范</w:t>
      </w:r>
    </w:p>
    <w:p>
      <w:pPr>
        <w:pStyle w:val="27"/>
        <w:tabs>
          <w:tab w:val="left" w:pos="850"/>
        </w:tabs>
        <w:spacing w:line="320" w:lineRule="exact"/>
        <w:ind w:left="0" w:firstLine="416" w:firstLineChars="200"/>
        <w:jc w:val="both"/>
        <w:rPr>
          <w:rFonts w:hint="default" w:ascii="Times New Roman" w:hAnsi="Times New Roman" w:cs="Times New Roman"/>
          <w:spacing w:val="-1"/>
          <w:sz w:val="21"/>
          <w:szCs w:val="21"/>
          <w:lang w:val="en-US" w:eastAsia="zh-CN"/>
        </w:rPr>
      </w:pPr>
      <w:r>
        <w:rPr>
          <w:rFonts w:hint="default" w:ascii="Times New Roman" w:hAnsi="Times New Roman" w:cs="Times New Roman"/>
          <w:spacing w:val="-1"/>
          <w:sz w:val="21"/>
          <w:szCs w:val="21"/>
          <w:lang w:val="en-US" w:eastAsia="zh-CN"/>
        </w:rPr>
        <w:t>WS/T 653—2019 医院病房床单位设施</w:t>
      </w:r>
    </w:p>
    <w:p>
      <w:pPr>
        <w:pStyle w:val="27"/>
        <w:tabs>
          <w:tab w:val="left" w:pos="850"/>
        </w:tabs>
        <w:spacing w:line="320" w:lineRule="exact"/>
        <w:ind w:left="0" w:firstLine="416" w:firstLineChars="200"/>
        <w:jc w:val="both"/>
        <w:rPr>
          <w:rFonts w:hint="default" w:ascii="Times New Roman" w:hAnsi="Times New Roman" w:cs="Times New Roman"/>
          <w:spacing w:val="-1"/>
          <w:sz w:val="21"/>
          <w:szCs w:val="21"/>
          <w:lang w:val="en-US" w:eastAsia="zh-CN"/>
        </w:rPr>
      </w:pPr>
      <w:r>
        <w:rPr>
          <w:rFonts w:hint="default" w:ascii="Times New Roman" w:hAnsi="Times New Roman" w:cs="Times New Roman"/>
          <w:spacing w:val="-1"/>
          <w:sz w:val="21"/>
          <w:szCs w:val="21"/>
          <w:lang w:val="en-US" w:eastAsia="zh-CN"/>
        </w:rPr>
        <w:t xml:space="preserve">GB 50763-2012 </w:t>
      </w:r>
      <w:r>
        <w:rPr>
          <w:rFonts w:hint="eastAsia" w:ascii="Times New Roman" w:hAnsi="Times New Roman" w:cs="Times New Roman"/>
          <w:spacing w:val="-1"/>
          <w:sz w:val="21"/>
          <w:szCs w:val="21"/>
          <w:lang w:val="en-US" w:eastAsia="zh-CN"/>
        </w:rPr>
        <w:t>无</w:t>
      </w:r>
      <w:r>
        <w:rPr>
          <w:rFonts w:hint="default" w:ascii="Times New Roman" w:hAnsi="Times New Roman" w:cs="Times New Roman"/>
          <w:spacing w:val="-1"/>
          <w:sz w:val="21"/>
          <w:szCs w:val="21"/>
          <w:lang w:val="en-US" w:eastAsia="zh-CN"/>
        </w:rPr>
        <w:t xml:space="preserve">障碍设计规范 </w:t>
      </w:r>
    </w:p>
    <w:p>
      <w:pPr>
        <w:pStyle w:val="27"/>
        <w:tabs>
          <w:tab w:val="left" w:pos="850"/>
        </w:tabs>
        <w:spacing w:beforeLines="100" w:afterLines="100" w:line="320" w:lineRule="exact"/>
        <w:ind w:left="0" w:firstLine="0"/>
        <w:jc w:val="both"/>
        <w:outlineLvl w:val="0"/>
        <w:rPr>
          <w:rFonts w:ascii="Times New Roman" w:hAnsi="Times New Roman" w:eastAsia="黑体" w:cs="Times New Roman"/>
          <w:sz w:val="21"/>
          <w:szCs w:val="21"/>
          <w:lang w:eastAsia="zh-CN"/>
        </w:rPr>
      </w:pPr>
      <w:bookmarkStart w:id="20" w:name="_Toc6431"/>
      <w:r>
        <w:rPr>
          <w:rFonts w:ascii="Times New Roman" w:hAnsi="Times New Roman" w:eastAsia="黑体" w:cs="Times New Roman"/>
          <w:sz w:val="21"/>
          <w:szCs w:val="21"/>
          <w:lang w:eastAsia="zh-CN"/>
        </w:rPr>
        <w:t>3 术语和定义</w:t>
      </w:r>
      <w:bookmarkEnd w:id="20"/>
    </w:p>
    <w:p>
      <w:pPr>
        <w:pStyle w:val="27"/>
        <w:tabs>
          <w:tab w:val="left" w:pos="850"/>
        </w:tabs>
        <w:spacing w:line="320" w:lineRule="exact"/>
        <w:ind w:left="0" w:firstLine="416" w:firstLineChars="200"/>
        <w:jc w:val="both"/>
        <w:rPr>
          <w:rFonts w:ascii="Times New Roman" w:hAnsi="Times New Roman" w:cs="Times New Roman"/>
          <w:spacing w:val="-1"/>
          <w:sz w:val="21"/>
          <w:szCs w:val="21"/>
          <w:lang w:eastAsia="zh-CN"/>
        </w:rPr>
      </w:pPr>
      <w:r>
        <w:rPr>
          <w:rFonts w:ascii="Times New Roman" w:hAnsi="Times New Roman" w:cs="Times New Roman"/>
          <w:spacing w:val="-1"/>
          <w:sz w:val="21"/>
          <w:szCs w:val="21"/>
          <w:lang w:eastAsia="zh-CN"/>
        </w:rPr>
        <w:t>下列术语和定义适用于本文件。</w:t>
      </w:r>
    </w:p>
    <w:p>
      <w:pPr>
        <w:pStyle w:val="27"/>
        <w:tabs>
          <w:tab w:val="left" w:pos="850"/>
        </w:tabs>
        <w:spacing w:beforeLines="100" w:afterLines="100" w:line="320" w:lineRule="exact"/>
        <w:ind w:left="0" w:firstLine="0"/>
        <w:jc w:val="both"/>
        <w:outlineLvl w:val="1"/>
        <w:rPr>
          <w:rFonts w:ascii="Times New Roman" w:hAnsi="Times New Roman" w:eastAsia="黑体" w:cs="Times New Roman"/>
          <w:sz w:val="21"/>
          <w:szCs w:val="21"/>
          <w:lang w:eastAsia="zh-CN"/>
        </w:rPr>
      </w:pPr>
      <w:r>
        <w:rPr>
          <w:rFonts w:ascii="Times New Roman" w:hAnsi="Times New Roman" w:eastAsia="黑体" w:cs="Times New Roman"/>
          <w:sz w:val="21"/>
          <w:szCs w:val="21"/>
          <w:lang w:eastAsia="zh-CN"/>
        </w:rPr>
        <w:t xml:space="preserve">3.1 </w:t>
      </w:r>
      <w:r>
        <w:rPr>
          <w:rFonts w:hint="eastAsia" w:ascii="Times New Roman" w:hAnsi="Times New Roman" w:eastAsia="黑体" w:cs="Times New Roman"/>
          <w:sz w:val="21"/>
          <w:szCs w:val="21"/>
          <w:lang w:eastAsia="zh-CN"/>
        </w:rPr>
        <w:t>安宁疗护 palliative care &amp; hospice care</w:t>
      </w:r>
    </w:p>
    <w:p>
      <w:pPr>
        <w:pStyle w:val="27"/>
        <w:tabs>
          <w:tab w:val="left" w:pos="850"/>
        </w:tabs>
        <w:spacing w:beforeLines="100" w:afterLines="100" w:line="320" w:lineRule="exact"/>
        <w:ind w:left="0" w:firstLine="416" w:firstLineChars="200"/>
        <w:jc w:val="both"/>
        <w:outlineLvl w:val="1"/>
        <w:rPr>
          <w:rFonts w:hint="eastAsia" w:ascii="Times New Roman" w:hAnsi="Times New Roman" w:eastAsia="黑体" w:cs="Times New Roman"/>
          <w:sz w:val="21"/>
          <w:szCs w:val="21"/>
          <w:lang w:eastAsia="zh-CN"/>
        </w:rPr>
      </w:pPr>
      <w:r>
        <w:rPr>
          <w:rFonts w:hint="eastAsia" w:ascii="Times New Roman" w:hAnsi="Times New Roman" w:cs="Times New Roman"/>
          <w:spacing w:val="-1"/>
          <w:sz w:val="21"/>
          <w:szCs w:val="21"/>
          <w:lang w:eastAsia="zh-CN"/>
        </w:rPr>
        <w:t>以终末期患者和家属为中心，以多学科协作模式进行实践，主要内容包括疼痛及其他症状控制、舒适照护、心理、精神及社会支持等。</w:t>
      </w:r>
    </w:p>
    <w:p>
      <w:pPr>
        <w:pStyle w:val="27"/>
        <w:tabs>
          <w:tab w:val="left" w:pos="850"/>
        </w:tabs>
        <w:spacing w:beforeLines="100" w:afterLines="100" w:line="320" w:lineRule="exact"/>
        <w:ind w:left="0" w:firstLine="0"/>
        <w:jc w:val="both"/>
        <w:outlineLvl w:val="1"/>
        <w:rPr>
          <w:rFonts w:ascii="Times New Roman" w:hAnsi="Times New Roman" w:eastAsia="黑体" w:cs="Times New Roman"/>
          <w:sz w:val="21"/>
          <w:szCs w:val="21"/>
          <w:lang w:eastAsia="zh-CN"/>
        </w:rPr>
      </w:pPr>
      <w:r>
        <w:rPr>
          <w:rFonts w:ascii="Times New Roman" w:hAnsi="Times New Roman" w:eastAsia="黑体" w:cs="Times New Roman"/>
          <w:sz w:val="21"/>
          <w:szCs w:val="21"/>
          <w:lang w:eastAsia="zh-CN"/>
        </w:rPr>
        <w:t xml:space="preserve">3.2 </w:t>
      </w:r>
      <w:r>
        <w:rPr>
          <w:rFonts w:hint="eastAsia" w:ascii="Times New Roman" w:hAnsi="Times New Roman" w:eastAsia="黑体" w:cs="Times New Roman"/>
          <w:sz w:val="21"/>
          <w:szCs w:val="21"/>
          <w:lang w:val="en-US" w:eastAsia="zh-CN"/>
        </w:rPr>
        <w:t xml:space="preserve"> 家庭会议 </w:t>
      </w:r>
      <w:r>
        <w:rPr>
          <w:rFonts w:hint="default" w:ascii="Times New Roman" w:hAnsi="Times New Roman" w:eastAsia="黑体" w:cs="Times New Roman"/>
          <w:sz w:val="21"/>
          <w:szCs w:val="21"/>
          <w:lang w:eastAsia="zh-CN"/>
        </w:rPr>
        <w:t>family meeting</w:t>
      </w:r>
    </w:p>
    <w:p>
      <w:pPr>
        <w:spacing w:line="360" w:lineRule="auto"/>
        <w:ind w:firstLine="416" w:firstLineChars="200"/>
        <w:rPr>
          <w:rFonts w:hint="eastAsia" w:ascii="Times New Roman" w:hAnsi="Times New Roman" w:cs="Times New Roman" w:eastAsiaTheme="minorEastAsia"/>
          <w:b w:val="0"/>
          <w:sz w:val="24"/>
          <w:szCs w:val="24"/>
          <w:lang w:val="en-US" w:eastAsia="zh-CN"/>
        </w:rPr>
      </w:pPr>
      <w:r>
        <w:rPr>
          <w:rFonts w:hint="eastAsia" w:ascii="Times New Roman" w:hAnsi="Times New Roman" w:eastAsia="宋体" w:cs="Times New Roman"/>
          <w:spacing w:val="-1"/>
          <w:sz w:val="21"/>
          <w:szCs w:val="21"/>
          <w:lang w:val="en-US" w:eastAsia="zh-CN" w:bidi="ar-SA"/>
        </w:rPr>
        <w:t>安宁疗护多学科团队与患者和家属之间的有效沟通途径，目的是传递患者疾病相关信息，评估患者和家属需求，给予情感支持、讨论照护目标和照护策略并达成共识。</w:t>
      </w:r>
    </w:p>
    <w:p>
      <w:pPr>
        <w:pStyle w:val="27"/>
        <w:tabs>
          <w:tab w:val="left" w:pos="850"/>
        </w:tabs>
        <w:spacing w:line="320" w:lineRule="exact"/>
        <w:ind w:left="0" w:leftChars="0" w:firstLine="0" w:firstLineChars="0"/>
        <w:jc w:val="both"/>
        <w:rPr>
          <w:rFonts w:ascii="Times New Roman" w:hAnsi="Times New Roman" w:eastAsia="黑体" w:cs="Times New Roman"/>
          <w:sz w:val="21"/>
          <w:szCs w:val="21"/>
          <w:lang w:eastAsia="zh-CN"/>
        </w:rPr>
      </w:pPr>
      <w:r>
        <w:rPr>
          <w:rFonts w:ascii="Times New Roman" w:hAnsi="Times New Roman" w:eastAsia="黑体" w:cs="Times New Roman"/>
          <w:sz w:val="21"/>
          <w:szCs w:val="21"/>
          <w:lang w:eastAsia="zh-CN"/>
        </w:rPr>
        <w:t xml:space="preserve">3.3 </w:t>
      </w:r>
      <w:r>
        <w:rPr>
          <w:rFonts w:hint="eastAsia" w:ascii="Times New Roman" w:hAnsi="Times New Roman" w:eastAsia="黑体" w:cs="Times New Roman"/>
          <w:sz w:val="21"/>
          <w:szCs w:val="21"/>
          <w:lang w:eastAsia="zh-CN"/>
        </w:rPr>
        <w:t>团队</w:t>
      </w:r>
      <w:r>
        <w:rPr>
          <w:rFonts w:hint="eastAsia" w:ascii="Times New Roman" w:hAnsi="Times New Roman" w:eastAsia="黑体" w:cs="Times New Roman"/>
          <w:sz w:val="21"/>
          <w:szCs w:val="21"/>
          <w:lang w:val="en-US" w:eastAsia="zh-CN"/>
        </w:rPr>
        <w:t>会议</w:t>
      </w:r>
      <w:r>
        <w:rPr>
          <w:rFonts w:hint="default" w:ascii="Times New Roman" w:hAnsi="Times New Roman" w:eastAsia="黑体" w:cs="Times New Roman"/>
          <w:sz w:val="21"/>
          <w:szCs w:val="21"/>
          <w:lang w:val="en-US" w:eastAsia="zh-CN"/>
        </w:rPr>
        <w:t xml:space="preserve"> </w:t>
      </w:r>
      <w:r>
        <w:rPr>
          <w:rFonts w:ascii="Times New Roman" w:hAnsi="Times New Roman" w:eastAsia="黑体" w:cs="Times New Roman"/>
          <w:sz w:val="21"/>
          <w:szCs w:val="21"/>
          <w:lang w:eastAsia="zh-CN"/>
        </w:rPr>
        <w:t>team conference</w:t>
      </w:r>
    </w:p>
    <w:p>
      <w:pPr>
        <w:pStyle w:val="27"/>
        <w:tabs>
          <w:tab w:val="left" w:pos="850"/>
        </w:tabs>
        <w:spacing w:beforeLines="100" w:afterLines="100" w:line="320" w:lineRule="exact"/>
        <w:ind w:left="0" w:firstLine="416" w:firstLineChars="200"/>
        <w:jc w:val="both"/>
        <w:outlineLvl w:val="1"/>
        <w:rPr>
          <w:rFonts w:hint="default" w:ascii="Times New Roman" w:hAnsi="Times New Roman" w:eastAsia="宋体" w:cs="Times New Roman"/>
          <w:spacing w:val="-1"/>
          <w:sz w:val="21"/>
          <w:szCs w:val="21"/>
          <w:lang w:val="en-US" w:eastAsia="zh-CN" w:bidi="ar-SA"/>
        </w:rPr>
      </w:pPr>
      <w:r>
        <w:rPr>
          <w:rFonts w:hint="eastAsia" w:ascii="Times New Roman" w:hAnsi="Times New Roman" w:eastAsia="宋体" w:cs="Times New Roman"/>
          <w:spacing w:val="-1"/>
          <w:sz w:val="21"/>
          <w:szCs w:val="21"/>
          <w:lang w:val="en-US" w:eastAsia="zh-CN" w:bidi="ar-SA"/>
        </w:rPr>
        <w:t>是为解决本专业疑难照护问题，以讨论疑难个案为主，与疾病相关的多学科团队全程参与，为患者提供全方位照护的工作形式。</w:t>
      </w:r>
    </w:p>
    <w:p>
      <w:pPr>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4  总体要求</w:t>
      </w:r>
    </w:p>
    <w:p>
      <w:pPr>
        <w:rPr>
          <w:rFonts w:hint="eastAsia" w:ascii="Times New Roman" w:hAnsi="Times New Roman" w:eastAsia="宋体" w:cs="Times New Roman"/>
          <w:spacing w:val="-1"/>
          <w:sz w:val="21"/>
          <w:szCs w:val="21"/>
        </w:rPr>
      </w:pPr>
    </w:p>
    <w:p>
      <w:pPr>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4.1 环境要求</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4.1.1病房</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4.1.1.1安宁疗护病房可根据当地实际需求和资金情况，并兼顾发展设置床位数。</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4.1.1.2</w:t>
      </w:r>
      <w:r>
        <w:rPr>
          <w:rFonts w:hint="default" w:ascii="Times New Roman" w:hAnsi="Times New Roman" w:eastAsia="宋体" w:cs="Times New Roman"/>
          <w:spacing w:val="-1"/>
          <w:sz w:val="21"/>
          <w:szCs w:val="21"/>
        </w:rPr>
        <w:t>采光和照明</w:t>
      </w:r>
      <w:r>
        <w:rPr>
          <w:rFonts w:hint="eastAsia" w:ascii="Times New Roman" w:hAnsi="Times New Roman" w:eastAsia="宋体" w:cs="Times New Roman"/>
          <w:spacing w:val="-1"/>
          <w:sz w:val="21"/>
          <w:szCs w:val="21"/>
          <w:lang w:val="en-US" w:eastAsia="zh-CN"/>
        </w:rPr>
        <w:t>适宜</w:t>
      </w:r>
      <w:r>
        <w:rPr>
          <w:rFonts w:hint="default" w:ascii="Times New Roman" w:hAnsi="Times New Roman" w:eastAsia="宋体" w:cs="Times New Roman"/>
          <w:spacing w:val="-1"/>
          <w:sz w:val="21"/>
          <w:szCs w:val="21"/>
        </w:rPr>
        <w:t>，温度以18℃-26℃为宜，湿度为50%-60%。</w:t>
      </w:r>
      <w:r>
        <w:rPr>
          <w:rFonts w:hint="eastAsia" w:ascii="Times New Roman" w:hAnsi="Times New Roman" w:eastAsia="宋体" w:cs="Times New Roman"/>
          <w:spacing w:val="-1"/>
          <w:sz w:val="21"/>
          <w:szCs w:val="21"/>
        </w:rPr>
        <w:t>声音强度控制</w:t>
      </w:r>
      <w:r>
        <w:rPr>
          <w:rFonts w:hint="default" w:ascii="Times New Roman" w:hAnsi="Times New Roman" w:eastAsia="宋体" w:cs="Times New Roman"/>
          <w:spacing w:val="-1"/>
          <w:sz w:val="21"/>
          <w:szCs w:val="21"/>
        </w:rPr>
        <w:t>在45dB 以下。</w:t>
      </w:r>
      <w:r>
        <w:rPr>
          <w:rFonts w:ascii="Times New Roman" w:hAnsi="Times New Roman" w:eastAsia="宋体" w:cs="Times New Roman"/>
          <w:spacing w:val="-1"/>
          <w:sz w:val="21"/>
          <w:szCs w:val="21"/>
        </w:rPr>
        <w:t xml:space="preserve"> </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4.1.1.3病房色彩宜选宁静、柔和、包容的基调，可为淡粉色、米黄色、浅绿色、乳白色等；家具颜色应与病房色彩相匹配，可配置图画、绿植等。</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4.1.1.4每个病房应设置独立卫生间、沐浴间，配备扶手、紧急呼叫装置；有条件的可配备按摩浴缸。</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4.1.1.5应划分护士站、治疗室、处置室、医务人员办公室、配膳室和日常活动场所如阅读室等功能区域。</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4.1.1.6宜设室内、室外活动区域；活动区域和走廊两侧应设扶手；宜设谈心室，可设艺术治疗室。</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4.1.1.7病房消防设施及管理应符合</w:t>
      </w:r>
      <w:r>
        <w:rPr>
          <w:rFonts w:ascii="Times New Roman" w:hAnsi="Times New Roman" w:eastAsia="宋体" w:cs="Times New Roman"/>
          <w:spacing w:val="-1"/>
          <w:sz w:val="21"/>
          <w:szCs w:val="21"/>
        </w:rPr>
        <w:t>WS 308—2019</w:t>
      </w:r>
      <w:r>
        <w:rPr>
          <w:rFonts w:hint="eastAsia" w:ascii="Times New Roman" w:hAnsi="Times New Roman" w:eastAsia="宋体" w:cs="Times New Roman"/>
          <w:spacing w:val="-1"/>
          <w:sz w:val="21"/>
          <w:szCs w:val="21"/>
        </w:rPr>
        <w:t>规定。</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4.1.1.8病房无障碍设计要求应符合</w:t>
      </w:r>
      <w:r>
        <w:rPr>
          <w:rFonts w:ascii="Times New Roman" w:hAnsi="Times New Roman" w:eastAsia="宋体" w:cs="Times New Roman"/>
          <w:spacing w:val="-1"/>
          <w:sz w:val="21"/>
          <w:szCs w:val="21"/>
        </w:rPr>
        <w:t>GB 50763-2012</w:t>
      </w:r>
      <w:r>
        <w:rPr>
          <w:rFonts w:hint="eastAsia" w:ascii="Times New Roman" w:hAnsi="Times New Roman" w:eastAsia="宋体" w:cs="Times New Roman"/>
          <w:spacing w:val="-1"/>
          <w:sz w:val="21"/>
          <w:szCs w:val="21"/>
        </w:rPr>
        <w:t>规定。</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4.1.2床单元</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4.1.2.1每间病房可设置1-2张病床，以不超过5张为宜。</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4.1.2.2病床单元设置参照</w:t>
      </w:r>
      <w:r>
        <w:rPr>
          <w:rFonts w:ascii="Times New Roman" w:hAnsi="Times New Roman" w:eastAsia="宋体" w:cs="Times New Roman"/>
          <w:spacing w:val="-1"/>
          <w:sz w:val="21"/>
          <w:szCs w:val="21"/>
        </w:rPr>
        <w:t>WS/T 653—2019</w:t>
      </w:r>
      <w:r>
        <w:rPr>
          <w:rFonts w:hint="eastAsia" w:ascii="Times New Roman" w:hAnsi="Times New Roman" w:eastAsia="宋体" w:cs="Times New Roman"/>
          <w:spacing w:val="-1"/>
          <w:sz w:val="21"/>
          <w:szCs w:val="21"/>
        </w:rPr>
        <w:t>要求。</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4.1.2.3</w:t>
      </w:r>
      <w:r>
        <w:rPr>
          <w:rFonts w:ascii="Times New Roman" w:hAnsi="Times New Roman" w:eastAsia="宋体" w:cs="Times New Roman"/>
          <w:spacing w:val="-1"/>
          <w:sz w:val="21"/>
          <w:szCs w:val="21"/>
        </w:rPr>
        <w:t>病房每床净使用面积不少于</w:t>
      </w:r>
      <w:r>
        <w:rPr>
          <w:rFonts w:hint="default" w:ascii="Times New Roman" w:hAnsi="Times New Roman" w:eastAsia="宋体" w:cs="Times New Roman"/>
          <w:spacing w:val="-1"/>
          <w:sz w:val="21"/>
          <w:szCs w:val="21"/>
        </w:rPr>
        <w:t>5</w:t>
      </w:r>
      <w:r>
        <w:rPr>
          <w:rFonts w:ascii="Times New Roman" w:hAnsi="Times New Roman" w:eastAsia="宋体" w:cs="Times New Roman"/>
          <w:spacing w:val="-1"/>
          <w:sz w:val="21"/>
          <w:szCs w:val="21"/>
        </w:rPr>
        <w:t>平方米；每床间距不少于1.5米</w:t>
      </w:r>
      <w:r>
        <w:rPr>
          <w:rFonts w:hint="eastAsia" w:ascii="Times New Roman" w:hAnsi="Times New Roman" w:eastAsia="宋体" w:cs="Times New Roman"/>
          <w:spacing w:val="-1"/>
          <w:sz w:val="21"/>
          <w:szCs w:val="21"/>
        </w:rPr>
        <w:t>；每床之间设帷幕或隔帘。</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4.1.2.4每床应配备床旁柜、呼叫装置，床档；有条件的可配备能调节高度的病床；可配备陪人床或陪人椅。</w:t>
      </w:r>
    </w:p>
    <w:p>
      <w:pPr>
        <w:rPr>
          <w:rFonts w:hint="eastAsia" w:ascii="Times New Roman" w:hAnsi="Times New Roman" w:eastAsia="宋体" w:cs="Times New Roman"/>
          <w:spacing w:val="-1"/>
          <w:sz w:val="21"/>
          <w:szCs w:val="21"/>
        </w:rPr>
      </w:pPr>
    </w:p>
    <w:p>
      <w:pPr>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4.2 设备设施</w:t>
      </w:r>
    </w:p>
    <w:p>
      <w:pPr>
        <w:rPr>
          <w:rFonts w:hint="eastAsia"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4.2.1病房应配备基本医疗设施：血压计、听诊器、雾化吸入设备、供氧装置、负压吸痰装置、心电监护系统、简易呼吸器、快速血糖仪、血氧饱和度监测仪等；可配备输液泵、注射泵、镇痛泵。</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4.2.2应配备辅助设施：洗头槽、轮椅、坐便椅、转运床、气垫床或具有防治压疮功能的床垫等。</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4.2.3有条件的可配备：助浴床、按摩浴缸、坐式洗澡椅等。</w:t>
      </w:r>
    </w:p>
    <w:p>
      <w:pPr>
        <w:rPr>
          <w:rFonts w:hint="eastAsia" w:ascii="Times New Roman" w:hAnsi="Times New Roman" w:eastAsia="宋体" w:cs="Times New Roman"/>
          <w:spacing w:val="-1"/>
          <w:sz w:val="21"/>
          <w:szCs w:val="21"/>
        </w:rPr>
      </w:pPr>
    </w:p>
    <w:p>
      <w:pPr>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4.3 人员</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4.3.1人员结构与配比</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4.3.1.1</w:t>
      </w:r>
      <w:r>
        <w:rPr>
          <w:rFonts w:ascii="Times New Roman" w:hAnsi="Times New Roman" w:eastAsia="宋体" w:cs="Times New Roman"/>
          <w:spacing w:val="-1"/>
          <w:sz w:val="21"/>
          <w:szCs w:val="21"/>
        </w:rPr>
        <w:t>每10张床位</w:t>
      </w:r>
      <w:r>
        <w:rPr>
          <w:rFonts w:hint="default" w:ascii="Times New Roman" w:hAnsi="Times New Roman" w:eastAsia="宋体" w:cs="Times New Roman"/>
          <w:spacing w:val="-1"/>
          <w:sz w:val="21"/>
          <w:szCs w:val="21"/>
        </w:rPr>
        <w:t>应</w:t>
      </w:r>
      <w:r>
        <w:rPr>
          <w:rFonts w:ascii="Times New Roman" w:hAnsi="Times New Roman" w:eastAsia="宋体" w:cs="Times New Roman"/>
          <w:spacing w:val="-1"/>
          <w:sz w:val="21"/>
          <w:szCs w:val="21"/>
        </w:rPr>
        <w:t>至少配备1名执业医师</w:t>
      </w:r>
      <w:r>
        <w:rPr>
          <w:rFonts w:hint="default" w:ascii="Times New Roman" w:hAnsi="Times New Roman" w:eastAsia="宋体" w:cs="Times New Roman"/>
          <w:spacing w:val="-1"/>
          <w:sz w:val="21"/>
          <w:szCs w:val="21"/>
        </w:rPr>
        <w:t>。</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4.3.1.2</w:t>
      </w:r>
      <w:r>
        <w:rPr>
          <w:rFonts w:ascii="Times New Roman" w:hAnsi="Times New Roman" w:eastAsia="宋体" w:cs="Times New Roman"/>
          <w:spacing w:val="-1"/>
          <w:sz w:val="21"/>
          <w:szCs w:val="21"/>
        </w:rPr>
        <w:t>每10张床</w:t>
      </w:r>
      <w:r>
        <w:rPr>
          <w:rFonts w:hint="default" w:ascii="Times New Roman" w:hAnsi="Times New Roman" w:eastAsia="宋体" w:cs="Times New Roman"/>
          <w:spacing w:val="-1"/>
          <w:sz w:val="21"/>
          <w:szCs w:val="21"/>
        </w:rPr>
        <w:t>应</w:t>
      </w:r>
      <w:r>
        <w:rPr>
          <w:rFonts w:ascii="Times New Roman" w:hAnsi="Times New Roman" w:eastAsia="宋体" w:cs="Times New Roman"/>
          <w:spacing w:val="-1"/>
          <w:sz w:val="21"/>
          <w:szCs w:val="21"/>
        </w:rPr>
        <w:t>至少配备4名护士</w:t>
      </w:r>
      <w:r>
        <w:rPr>
          <w:rFonts w:hint="default" w:ascii="Times New Roman" w:hAnsi="Times New Roman" w:eastAsia="宋体" w:cs="Times New Roman"/>
          <w:spacing w:val="-1"/>
          <w:sz w:val="21"/>
          <w:szCs w:val="21"/>
        </w:rPr>
        <w:t>。</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w:t>
      </w:r>
      <w:bookmarkStart w:id="21" w:name="_GoBack"/>
      <w:bookmarkEnd w:id="21"/>
      <w:r>
        <w:rPr>
          <w:rFonts w:hint="eastAsia" w:ascii="Times New Roman" w:hAnsi="Times New Roman" w:eastAsia="宋体" w:cs="Times New Roman"/>
          <w:spacing w:val="-1"/>
          <w:sz w:val="21"/>
          <w:szCs w:val="21"/>
        </w:rPr>
        <w:t>3.1.3</w:t>
      </w:r>
      <w:r>
        <w:rPr>
          <w:rFonts w:ascii="Times New Roman" w:hAnsi="Times New Roman" w:eastAsia="宋体" w:cs="Times New Roman"/>
          <w:spacing w:val="-1"/>
          <w:sz w:val="21"/>
          <w:szCs w:val="21"/>
        </w:rPr>
        <w:t>按照与护士1</w:t>
      </w:r>
      <w:r>
        <w:rPr>
          <w:rFonts w:hint="default" w:ascii="Times New Roman" w:hAnsi="Times New Roman" w:eastAsia="宋体" w:cs="Times New Roman"/>
          <w:spacing w:val="-1"/>
          <w:sz w:val="21"/>
          <w:szCs w:val="21"/>
        </w:rPr>
        <w:t>：</w:t>
      </w:r>
      <w:r>
        <w:rPr>
          <w:rFonts w:ascii="Times New Roman" w:hAnsi="Times New Roman" w:eastAsia="宋体" w:cs="Times New Roman"/>
          <w:spacing w:val="-1"/>
          <w:sz w:val="21"/>
          <w:szCs w:val="21"/>
        </w:rPr>
        <w:t>3的比例</w:t>
      </w:r>
      <w:r>
        <w:rPr>
          <w:rFonts w:hint="default" w:ascii="Times New Roman" w:hAnsi="Times New Roman" w:eastAsia="宋体" w:cs="Times New Roman"/>
          <w:spacing w:val="-1"/>
          <w:sz w:val="21"/>
          <w:szCs w:val="21"/>
        </w:rPr>
        <w:t>为宜</w:t>
      </w:r>
      <w:r>
        <w:rPr>
          <w:rFonts w:ascii="Times New Roman" w:hAnsi="Times New Roman" w:eastAsia="宋体" w:cs="Times New Roman"/>
          <w:spacing w:val="-1"/>
          <w:sz w:val="21"/>
          <w:szCs w:val="21"/>
        </w:rPr>
        <w:t>配备护理员</w:t>
      </w:r>
      <w:r>
        <w:rPr>
          <w:rFonts w:hint="default" w:ascii="Times New Roman" w:hAnsi="Times New Roman" w:eastAsia="宋体" w:cs="Times New Roman"/>
          <w:spacing w:val="-1"/>
          <w:sz w:val="21"/>
          <w:szCs w:val="21"/>
        </w:rPr>
        <w:t>。</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4.3.1.4病房主任宜具备副主任医师专业技术职务任职资格；病房护士长宜具备主管护师及以上专业技术职务任职资格，且均具备相关专业知识和工作经验；社区医院、医养结合机构及护理院条件可适当放宽。</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4.3.1.5根据实际情况，组建安宁疗护多学科团队，除医生、护士外，可配备适当的药剂师、营养师、心理咨询（治疗）师、康复治疗师、社会工作者、志愿者等人员。</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4.3.1.6</w:t>
      </w:r>
      <w:r>
        <w:rPr>
          <w:rFonts w:ascii="Times New Roman" w:hAnsi="Times New Roman" w:eastAsia="宋体" w:cs="Times New Roman"/>
          <w:spacing w:val="-1"/>
          <w:sz w:val="21"/>
          <w:szCs w:val="21"/>
        </w:rPr>
        <w:t>鼓励经过培训的志愿者参与安宁疗护工作</w:t>
      </w:r>
      <w:r>
        <w:rPr>
          <w:rFonts w:hint="eastAsia" w:ascii="Times New Roman" w:hAnsi="Times New Roman" w:eastAsia="宋体" w:cs="Times New Roman"/>
          <w:spacing w:val="-1"/>
          <w:sz w:val="21"/>
          <w:szCs w:val="21"/>
        </w:rPr>
        <w:t>。</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4.3.2人员职责</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4.3.2.1医师</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a）负责患者入院、住院、出院及转诊的全流程管理。</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b）疼痛及其他症状的评估、预防及处理。</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c）有效的病情告知，协助做好哀伤辅导。</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d）组织多学科团队合作制定照护计划，协助患者及家属作出医疗决策。</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e）协助丧葬事宜的准备。</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4.3.2.2护士</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a）评估患者及其家属的生理、心理、精神和社会需求。</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b）配合医师开展患者的诊疗管理。</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c）协同多学科团队合作制定照护计划并实施。</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d）促进患者舒适。</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e）给予患者和家属情感及社会支持。</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f）协助丧葬事宜。</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4.3.2.3药剂师</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a）参与查房、会诊、讨论，提供用药指导。</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b）加强麻醉药品使用监管。</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c）参与病房用药管理。</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4.3.2.4 护理员</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a）在护士的指导下，协助患者生活护理。</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b）协助食物准备及喂食。</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c）协助患者康复训练。</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4.3.2.5 心理咨询师</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a）对患者及家属进行心理评估并给予专业的干预。</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c）对安宁疗护团队其他成员给予心理支持。</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4.3.2.6 营养师</w:t>
      </w:r>
    </w:p>
    <w:p>
      <w:pP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rPr>
        <w:t>a）对患者进行营养评估，并根据结果制定个性化饮食方案</w:t>
      </w:r>
      <w:r>
        <w:rPr>
          <w:rFonts w:hint="eastAsia" w:ascii="Times New Roman" w:hAnsi="Times New Roman" w:eastAsia="宋体" w:cs="Times New Roman"/>
          <w:spacing w:val="-1"/>
          <w:sz w:val="21"/>
          <w:szCs w:val="21"/>
          <w:lang w:eastAsia="zh-CN"/>
        </w:rPr>
        <w:t>。</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b）为患者及家属提供营养健康教育和咨询。</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c）对患者营养状态进行持续监测与跟踪。</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4.3.2.7 康复治疗师</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a）对患者进行康复功能评估，制定康复计划并实施。</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b）做好康复宣教。</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4.3.2.8 社会工作者</w:t>
      </w:r>
    </w:p>
    <w:p>
      <w:pP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rPr>
        <w:t>a）负责协调患者及家属与医护人员的沟通</w:t>
      </w:r>
      <w:r>
        <w:rPr>
          <w:rFonts w:hint="eastAsia" w:ascii="Times New Roman" w:hAnsi="Times New Roman" w:eastAsia="宋体" w:cs="Times New Roman"/>
          <w:spacing w:val="-1"/>
          <w:sz w:val="21"/>
          <w:szCs w:val="21"/>
          <w:lang w:eastAsia="zh-CN"/>
        </w:rPr>
        <w:t>。</w:t>
      </w:r>
    </w:p>
    <w:p>
      <w:pP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rPr>
        <w:t>b）为患者及家属提供人文关怀，帮助患者尽可能实现临终愿望</w:t>
      </w:r>
      <w:r>
        <w:rPr>
          <w:rFonts w:hint="eastAsia" w:ascii="Times New Roman" w:hAnsi="Times New Roman" w:eastAsia="宋体" w:cs="Times New Roman"/>
          <w:spacing w:val="-1"/>
          <w:sz w:val="21"/>
          <w:szCs w:val="21"/>
          <w:lang w:eastAsia="zh-CN"/>
        </w:rPr>
        <w:t>。</w:t>
      </w:r>
    </w:p>
    <w:p>
      <w:pP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rPr>
        <w:t>c）协助组织召开家庭会议</w:t>
      </w:r>
      <w:r>
        <w:rPr>
          <w:rFonts w:hint="eastAsia" w:ascii="Times New Roman" w:hAnsi="Times New Roman" w:eastAsia="宋体" w:cs="Times New Roman"/>
          <w:spacing w:val="-1"/>
          <w:sz w:val="21"/>
          <w:szCs w:val="21"/>
          <w:lang w:eastAsia="zh-CN"/>
        </w:rPr>
        <w:t>、</w:t>
      </w:r>
      <w:r>
        <w:rPr>
          <w:rFonts w:hint="eastAsia" w:ascii="Times New Roman" w:hAnsi="Times New Roman" w:eastAsia="宋体" w:cs="Times New Roman"/>
          <w:spacing w:val="-1"/>
          <w:sz w:val="21"/>
          <w:szCs w:val="21"/>
          <w:lang w:val="en-US" w:eastAsia="zh-CN"/>
        </w:rPr>
        <w:t>团队会议</w:t>
      </w:r>
      <w:r>
        <w:rPr>
          <w:rFonts w:hint="eastAsia" w:ascii="Times New Roman" w:hAnsi="Times New Roman" w:eastAsia="宋体" w:cs="Times New Roman"/>
          <w:spacing w:val="-1"/>
          <w:sz w:val="21"/>
          <w:szCs w:val="21"/>
        </w:rPr>
        <w:t>，协助磋商与疾病相关的家庭问题</w:t>
      </w:r>
      <w:r>
        <w:rPr>
          <w:rFonts w:hint="eastAsia" w:ascii="Times New Roman" w:hAnsi="Times New Roman" w:eastAsia="宋体" w:cs="Times New Roman"/>
          <w:spacing w:val="-1"/>
          <w:sz w:val="21"/>
          <w:szCs w:val="21"/>
          <w:lang w:eastAsia="zh-CN"/>
        </w:rPr>
        <w:t>。</w:t>
      </w:r>
    </w:p>
    <w:p>
      <w:pP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rPr>
        <w:t>d）协助患者及家属申请其他公共服务，如申请医疗保险、贫困经济补助等</w:t>
      </w:r>
      <w:r>
        <w:rPr>
          <w:rFonts w:hint="eastAsia" w:ascii="Times New Roman" w:hAnsi="Times New Roman" w:eastAsia="宋体" w:cs="Times New Roman"/>
          <w:spacing w:val="-1"/>
          <w:sz w:val="21"/>
          <w:szCs w:val="21"/>
          <w:lang w:eastAsia="zh-CN"/>
        </w:rPr>
        <w:t>。</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e）</w:t>
      </w:r>
      <w:r>
        <w:rPr>
          <w:rFonts w:hint="eastAsia" w:ascii="Times New Roman" w:hAnsi="Times New Roman" w:eastAsia="宋体" w:cs="Times New Roman"/>
          <w:spacing w:val="-1"/>
          <w:sz w:val="21"/>
          <w:szCs w:val="21"/>
          <w:lang w:val="en-US" w:eastAsia="zh-CN"/>
        </w:rPr>
        <w:t>协助安宁疗护团队开展</w:t>
      </w:r>
      <w:r>
        <w:rPr>
          <w:rFonts w:hint="eastAsia" w:ascii="Times New Roman" w:hAnsi="Times New Roman" w:eastAsia="宋体" w:cs="Times New Roman"/>
          <w:spacing w:val="-1"/>
          <w:sz w:val="21"/>
          <w:szCs w:val="21"/>
        </w:rPr>
        <w:t>哀伤辅导</w:t>
      </w:r>
      <w:r>
        <w:rPr>
          <w:rFonts w:hint="eastAsia" w:ascii="Times New Roman" w:hAnsi="Times New Roman" w:eastAsia="宋体" w:cs="Times New Roman"/>
          <w:spacing w:val="-1"/>
          <w:sz w:val="21"/>
          <w:szCs w:val="21"/>
          <w:lang w:eastAsia="zh-CN"/>
        </w:rPr>
        <w:t>。</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4.3.2.9 志愿者</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a）对患者及家属进行需求评估，制定服务计划并落实。</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b）组织适当的志愿者活动。</w:t>
      </w:r>
    </w:p>
    <w:p>
      <w:pPr>
        <w:rPr>
          <w:rFonts w:ascii="Times New Roman" w:hAnsi="Times New Roman" w:eastAsia="宋体" w:cs="Times New Roman"/>
          <w:spacing w:val="-1"/>
          <w:sz w:val="21"/>
          <w:szCs w:val="21"/>
        </w:rPr>
      </w:pPr>
    </w:p>
    <w:p>
      <w:pPr>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5 流程管理</w:t>
      </w:r>
    </w:p>
    <w:p>
      <w:pPr>
        <w:rPr>
          <w:rFonts w:hint="eastAsia" w:ascii="Times New Roman" w:hAnsi="Times New Roman" w:eastAsia="宋体" w:cs="Times New Roman"/>
          <w:spacing w:val="-1"/>
          <w:sz w:val="21"/>
          <w:szCs w:val="21"/>
        </w:rPr>
      </w:pPr>
    </w:p>
    <w:p>
      <w:pPr>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5.1 评估</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5.1.1 评估人员 </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可由医师、护士等团队成员完成。</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5.1.2</w:t>
      </w:r>
      <w:r>
        <w:rPr>
          <w:rFonts w:hint="eastAsia" w:ascii="Times New Roman" w:hAnsi="Times New Roman" w:eastAsia="宋体" w:cs="Times New Roman"/>
          <w:spacing w:val="-1"/>
          <w:sz w:val="21"/>
          <w:szCs w:val="21"/>
          <w:lang w:val="en-US" w:eastAsia="zh-CN"/>
        </w:rPr>
        <w:t xml:space="preserve"> </w:t>
      </w:r>
      <w:r>
        <w:rPr>
          <w:rFonts w:hint="eastAsia" w:ascii="Times New Roman" w:hAnsi="Times New Roman" w:eastAsia="宋体" w:cs="Times New Roman"/>
          <w:spacing w:val="-1"/>
          <w:sz w:val="21"/>
          <w:szCs w:val="21"/>
        </w:rPr>
        <w:t xml:space="preserve">评估时间 </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门诊就诊时、科室间会诊时、患者入院时、病情变化及有特殊需求时。首次评估宜在办理</w:t>
      </w:r>
      <w:r>
        <w:rPr>
          <w:rFonts w:hint="default" w:ascii="Times New Roman" w:hAnsi="Times New Roman" w:eastAsia="宋体" w:cs="Times New Roman"/>
          <w:spacing w:val="-1"/>
          <w:sz w:val="21"/>
          <w:szCs w:val="21"/>
        </w:rPr>
        <w:t>入院24小时内完成，诊疗过程中动态评估，每周宜进行生存期评估。</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5.1.3</w:t>
      </w:r>
      <w:r>
        <w:rPr>
          <w:rFonts w:hint="eastAsia" w:ascii="Times New Roman" w:hAnsi="Times New Roman" w:eastAsia="宋体" w:cs="Times New Roman"/>
          <w:spacing w:val="-1"/>
          <w:sz w:val="21"/>
          <w:szCs w:val="21"/>
          <w:lang w:val="en-US" w:eastAsia="zh-CN"/>
        </w:rPr>
        <w:t xml:space="preserve"> </w:t>
      </w:r>
      <w:r>
        <w:rPr>
          <w:rFonts w:hint="eastAsia" w:ascii="Times New Roman" w:hAnsi="Times New Roman" w:eastAsia="宋体" w:cs="Times New Roman"/>
          <w:spacing w:val="-1"/>
          <w:sz w:val="21"/>
          <w:szCs w:val="21"/>
        </w:rPr>
        <w:t xml:space="preserve">评估内容及方法 </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疼痛等症状控制情况、舒适照顾需求、患者及家属的心理及精神需求、社会支持需求、生存期等。可用体格检查、观察法、访谈法、查阅病史及量表法（具体见附录</w:t>
      </w:r>
      <w:r>
        <w:rPr>
          <w:rFonts w:hint="default" w:ascii="Times New Roman" w:hAnsi="Times New Roman" w:eastAsia="宋体" w:cs="Times New Roman"/>
          <w:spacing w:val="-1"/>
          <w:sz w:val="21"/>
          <w:szCs w:val="21"/>
        </w:rPr>
        <w:t>A-F</w:t>
      </w:r>
      <w:r>
        <w:rPr>
          <w:rFonts w:hint="eastAsia" w:ascii="Times New Roman" w:hAnsi="Times New Roman" w:eastAsia="宋体" w:cs="Times New Roman"/>
          <w:spacing w:val="-1"/>
          <w:sz w:val="21"/>
          <w:szCs w:val="21"/>
        </w:rPr>
        <w:t>）。</w:t>
      </w:r>
    </w:p>
    <w:p>
      <w:pPr>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 xml:space="preserve">5.2 实施 </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根据患者情况进行症状管理、舒适照护，提供心理、精神及社会支持。</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5.3 转诊及出院</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5.3.1 医院转社区</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住院安宁疗护患者急性症状得到控制，经评估达到转诊标准（见附录G），取得患者及其家属同意，可转社区。</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5.3.2 社区转医院</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根据患者病情进展、患者及家属需求，可由社区安宁疗护转为住院安宁疗护。</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5.3.3</w:t>
      </w:r>
      <w:r>
        <w:rPr>
          <w:rFonts w:hint="eastAsia" w:ascii="Times New Roman" w:hAnsi="Times New Roman" w:eastAsia="宋体" w:cs="Times New Roman"/>
          <w:spacing w:val="-1"/>
          <w:sz w:val="21"/>
          <w:szCs w:val="21"/>
          <w:lang w:val="en-US" w:eastAsia="zh-CN"/>
        </w:rPr>
        <w:t xml:space="preserve"> </w:t>
      </w:r>
      <w:r>
        <w:rPr>
          <w:rFonts w:hint="eastAsia" w:ascii="Times New Roman" w:hAnsi="Times New Roman" w:eastAsia="宋体" w:cs="Times New Roman"/>
          <w:spacing w:val="-1"/>
          <w:sz w:val="21"/>
          <w:szCs w:val="21"/>
        </w:rPr>
        <w:t>出院</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根据患者及家属需求可出院进行居家安宁疗护。</w:t>
      </w:r>
    </w:p>
    <w:p>
      <w:pPr>
        <w:rPr>
          <w:rFonts w:ascii="Times New Roman" w:hAnsi="Times New Roman" w:eastAsia="宋体" w:cs="Times New Roman"/>
          <w:spacing w:val="-1"/>
          <w:sz w:val="21"/>
          <w:szCs w:val="21"/>
        </w:rPr>
      </w:pPr>
    </w:p>
    <w:p>
      <w:pPr>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6运行管理</w:t>
      </w:r>
    </w:p>
    <w:p>
      <w:pPr>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6.1人员培训</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6.1.1对象</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主要包括安宁疗护病房医生、护士；根据病房实际人员配备情况，还可对如下人员进行培训：药剂师、营养师、心理咨询师、护理员、志愿者等人员。</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6.1.2 时机</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6.1.2.1安宁疗护病房工作人员应进行岗前培训。</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6.1.2.2应定期组织工作人员参加安宁疗护相关培训。</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6.1.3内容</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6.1.3.1内容应包括：安宁疗护概论、症状控制、舒适照护、心理、精神、社会</w:t>
      </w:r>
      <w:r>
        <w:rPr>
          <w:rFonts w:hint="eastAsia" w:ascii="Times New Roman" w:hAnsi="Times New Roman" w:eastAsia="宋体" w:cs="Times New Roman"/>
          <w:spacing w:val="-1"/>
          <w:sz w:val="21"/>
          <w:szCs w:val="21"/>
          <w:lang w:val="en-US" w:eastAsia="zh-CN"/>
        </w:rPr>
        <w:t>和</w:t>
      </w:r>
      <w:r>
        <w:rPr>
          <w:rFonts w:hint="eastAsia" w:ascii="Times New Roman" w:hAnsi="Times New Roman" w:eastAsia="宋体" w:cs="Times New Roman"/>
          <w:spacing w:val="-1"/>
          <w:sz w:val="21"/>
          <w:szCs w:val="21"/>
        </w:rPr>
        <w:t>支持、死亡教育、哀伤辅导、质量控制以及安宁疗护发展前沿等。</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6.1.3.2应当结合业务开展情况确定本单位安宁疗护培训内容，并区别不同对象进行针对性培训。</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6.1.3.3培训内容应与道德与法律相结合，与安宁疗护相关指南与国家政策相结合。</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6.1.4方式</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6.1.4.1病房可组织相关人员进行内部培训或将人员送至指定培训机构进行培训。</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6.1.4.2培训形式可采用理论学习、操作实践、案例分析、情景演绎、效果评价等。</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6.2质量管理 </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6.2.1应建立安宁疗护病房管理制度，健全并执行各项规章制度，落实医疗、护理质量控制和风险管理措施。</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6.2.2应建立规范的、具有安宁疗护特色的诊疗服务流程，严格按照规范开展相关工作。</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6.2.3应建立不良事件上报制度，发生不良事件时，及时讨论分析并制定整改措施。</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6.2.4建立服务质量满意度测评制度，定期进行服务对象满意度调查。</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6.2.5应按照相关规范使用和管理医疗设备、医疗耗材、消毒药械和医疗用品等。</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6.2.6应建立患者登记及医疗文书管理制度，体现安宁疗护特色。</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6.2.7应建立良好的沟通机制，对患者及家属进行病情告知，根据情况组织家庭会议、团队会议。</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6.2.</w:t>
      </w:r>
      <w:r>
        <w:rPr>
          <w:rFonts w:hint="default" w:ascii="Times New Roman" w:hAnsi="Times New Roman" w:eastAsia="宋体" w:cs="Times New Roman"/>
          <w:spacing w:val="-1"/>
          <w:sz w:val="21"/>
          <w:szCs w:val="21"/>
        </w:rPr>
        <w:t>8应按照WS/T 510—2016要求，进行医院感染管理。</w:t>
      </w:r>
    </w:p>
    <w:p>
      <w:pPr>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 xml:space="preserve">6.3安全管理 </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6.3.1应当加强患者安全管理，制定各类突发事件应急预案和处理流程，并定期进行应急处理能力培训和演练。</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6.3.2应严格执行麻醉药品、精神药品等特殊管理药品的使用与管理规定。</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6.3.3应加强对有跌倒、坠床、自杀、压疮等风险的高危患者的管理。</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6.3.4应加强消防安全管理。</w:t>
      </w:r>
    </w:p>
    <w:p>
      <w:pPr>
        <w:rPr>
          <w:rFonts w:ascii="Times New Roman" w:hAnsi="Times New Roman" w:eastAsia="宋体" w:cs="Times New Roman"/>
          <w:spacing w:val="-1"/>
          <w:sz w:val="21"/>
          <w:szCs w:val="21"/>
        </w:rPr>
      </w:pPr>
    </w:p>
    <w:p>
      <w:pPr>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7管理评价与改进</w:t>
      </w:r>
    </w:p>
    <w:p>
      <w:pPr>
        <w:rPr>
          <w:rFonts w:hint="default"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7.1 </w:t>
      </w:r>
      <w:r>
        <w:rPr>
          <w:rFonts w:hint="default" w:ascii="Times New Roman" w:hAnsi="Times New Roman" w:eastAsia="宋体" w:cs="Times New Roman"/>
          <w:spacing w:val="-1"/>
          <w:sz w:val="21"/>
          <w:szCs w:val="21"/>
        </w:rPr>
        <w:t>建立安宁疗护评价与考核制度，组织实施。</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7.2 </w:t>
      </w:r>
      <w:r>
        <w:rPr>
          <w:rFonts w:ascii="Times New Roman" w:hAnsi="Times New Roman" w:eastAsia="宋体" w:cs="Times New Roman"/>
          <w:spacing w:val="-1"/>
          <w:sz w:val="21"/>
          <w:szCs w:val="21"/>
        </w:rPr>
        <w:t>根据评价结果，制定整改方案，进行持续改进。</w:t>
      </w: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rPr>
        <w:t>附</w:t>
      </w:r>
      <w:r>
        <w:rPr>
          <w:rFonts w:hint="eastAsia" w:ascii="Times New Roman" w:hAnsi="Times New Roman" w:eastAsia="宋体" w:cs="Times New Roman"/>
          <w:spacing w:val="-1"/>
          <w:sz w:val="21"/>
          <w:szCs w:val="21"/>
          <w:lang w:eastAsia="zh-CN"/>
        </w:rPr>
        <w:t>录</w:t>
      </w:r>
      <w:r>
        <w:rPr>
          <w:rFonts w:hint="eastAsia" w:ascii="Times New Roman" w:hAnsi="Times New Roman" w:eastAsia="宋体" w:cs="Times New Roman"/>
          <w:spacing w:val="-1"/>
          <w:sz w:val="21"/>
          <w:szCs w:val="21"/>
          <w:lang w:val="en-US" w:eastAsia="zh-CN"/>
        </w:rPr>
        <w:t>A</w:t>
      </w: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（规范性）</w:t>
      </w:r>
    </w:p>
    <w:p>
      <w:pPr>
        <w:jc w:val="center"/>
        <w:rPr>
          <w:rFonts w:hint="eastAsia" w:ascii="Times New Roman" w:hAnsi="Times New Roman" w:eastAsia="宋体" w:cs="Times New Roman"/>
          <w:spacing w:val="-1"/>
          <w:sz w:val="21"/>
          <w:szCs w:val="21"/>
          <w:lang w:eastAsia="zh-CN"/>
        </w:rPr>
      </w:pPr>
      <w:r>
        <w:rPr>
          <w:rFonts w:hint="default" w:ascii="Times New Roman" w:hAnsi="Times New Roman" w:eastAsia="宋体" w:cs="Times New Roman"/>
          <w:spacing w:val="-1"/>
          <w:sz w:val="21"/>
          <w:szCs w:val="21"/>
        </w:rPr>
        <w:t>Karnofsky</w:t>
      </w:r>
      <w:r>
        <w:rPr>
          <w:rFonts w:hint="eastAsia" w:ascii="Times New Roman" w:hAnsi="Times New Roman" w:eastAsia="宋体" w:cs="Times New Roman"/>
          <w:spacing w:val="-1"/>
          <w:sz w:val="21"/>
          <w:szCs w:val="21"/>
        </w:rPr>
        <w:t>（卡氏，KPS，百分法）功能状态评分</w:t>
      </w:r>
      <w:r>
        <w:rPr>
          <w:rFonts w:hint="eastAsia" w:ascii="Times New Roman" w:hAnsi="Times New Roman" w:eastAsia="宋体" w:cs="Times New Roman"/>
          <w:spacing w:val="-1"/>
          <w:sz w:val="21"/>
          <w:szCs w:val="21"/>
          <w:lang w:val="en-US" w:eastAsia="zh-CN"/>
        </w:rPr>
        <w:t>量表</w:t>
      </w:r>
    </w:p>
    <w:p>
      <w:pPr>
        <w:rPr>
          <w:rFonts w:hint="eastAsia" w:ascii="Times New Roman" w:hAnsi="Times New Roman" w:eastAsia="宋体" w:cs="Times New Roman"/>
          <w:spacing w:val="-1"/>
          <w:sz w:val="21"/>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体力状况</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正常，无症状和体征</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能进行正常活动，有轻微症状和体征 </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勉强进行正常活动，有一些症状或体征</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生活能自理，但不能维持正常生活和工作</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生活能大部分自理，但偶尔需要别人帮助</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常需要人照料 </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生活不能自理 ，需要特别照顾和帮助</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生活严重不能自理 </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病重，需要住院和积极的支持治疗</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重危，临近死亡</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5"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死亡 </w:t>
            </w:r>
            <w:r>
              <w:rPr>
                <w:rFonts w:hint="eastAsia" w:ascii="Times New Roman" w:hAnsi="Times New Roman" w:eastAsia="宋体" w:cs="Times New Roman"/>
                <w:spacing w:val="-1"/>
                <w:sz w:val="21"/>
                <w:szCs w:val="21"/>
              </w:rPr>
              <w:tab/>
            </w:r>
            <w:r>
              <w:rPr>
                <w:rFonts w:hint="eastAsia" w:ascii="Times New Roman" w:hAnsi="Times New Roman" w:eastAsia="宋体" w:cs="Times New Roman"/>
                <w:spacing w:val="-1"/>
                <w:sz w:val="21"/>
                <w:szCs w:val="21"/>
              </w:rPr>
              <w:t>0分</w:t>
            </w:r>
          </w:p>
        </w:tc>
        <w:tc>
          <w:tcPr>
            <w:tcW w:w="1811" w:type="dxa"/>
            <w:noWrap w:val="0"/>
            <w:vAlign w:val="top"/>
          </w:tcPr>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0分</w:t>
            </w:r>
          </w:p>
        </w:tc>
      </w:tr>
    </w:tbl>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注：</w:t>
      </w:r>
      <w:r>
        <w:rPr>
          <w:rFonts w:hint="default" w:ascii="Times New Roman" w:hAnsi="Times New Roman" w:eastAsia="宋体" w:cs="Times New Roman"/>
          <w:spacing w:val="-1"/>
          <w:sz w:val="21"/>
          <w:szCs w:val="21"/>
        </w:rPr>
        <w:t>以</w:t>
      </w:r>
      <w:r>
        <w:rPr>
          <w:rFonts w:hint="eastAsia" w:ascii="Times New Roman" w:hAnsi="Times New Roman" w:eastAsia="宋体" w:cs="Times New Roman"/>
          <w:spacing w:val="-1"/>
          <w:sz w:val="21"/>
          <w:szCs w:val="21"/>
          <w:lang w:eastAsia="zh-CN"/>
        </w:rPr>
        <w:t>0</w:t>
      </w:r>
      <w:r>
        <w:rPr>
          <w:rFonts w:hint="eastAsia" w:ascii="Times New Roman" w:hAnsi="Times New Roman" w:eastAsia="宋体" w:cs="Times New Roman"/>
          <w:spacing w:val="-1"/>
          <w:sz w:val="21"/>
          <w:szCs w:val="21"/>
          <w:lang w:val="en-US" w:eastAsia="zh-CN"/>
        </w:rPr>
        <w:t>~</w:t>
      </w:r>
      <w:r>
        <w:rPr>
          <w:rFonts w:hint="eastAsia" w:ascii="Times New Roman" w:hAnsi="Times New Roman" w:eastAsia="宋体" w:cs="Times New Roman"/>
          <w:spacing w:val="-1"/>
          <w:sz w:val="21"/>
          <w:szCs w:val="21"/>
          <w:lang w:eastAsia="zh-CN"/>
        </w:rPr>
        <w:t>1</w:t>
      </w:r>
      <w:r>
        <w:rPr>
          <w:rFonts w:hint="eastAsia" w:ascii="Times New Roman" w:hAnsi="Times New Roman" w:eastAsia="宋体" w:cs="Times New Roman"/>
          <w:spacing w:val="-1"/>
          <w:sz w:val="21"/>
          <w:szCs w:val="21"/>
          <w:lang w:val="en-US" w:eastAsia="zh-CN"/>
        </w:rPr>
        <w:t>00</w:t>
      </w:r>
      <w:r>
        <w:rPr>
          <w:rFonts w:hint="default" w:ascii="Times New Roman" w:hAnsi="Times New Roman" w:eastAsia="宋体" w:cs="Times New Roman"/>
          <w:spacing w:val="-1"/>
          <w:sz w:val="21"/>
          <w:szCs w:val="21"/>
        </w:rPr>
        <w:t>百分法进行评估，得分越高，健康状况越好，也越能忍受治疗给身体带来的副作用。</w:t>
      </w: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rPr>
        <w:t>附</w:t>
      </w:r>
      <w:r>
        <w:rPr>
          <w:rFonts w:hint="eastAsia" w:ascii="Times New Roman" w:hAnsi="Times New Roman" w:eastAsia="宋体" w:cs="Times New Roman"/>
          <w:spacing w:val="-1"/>
          <w:sz w:val="21"/>
          <w:szCs w:val="21"/>
          <w:lang w:eastAsia="zh-CN"/>
        </w:rPr>
        <w:t>录</w:t>
      </w:r>
      <w:r>
        <w:rPr>
          <w:rFonts w:hint="eastAsia" w:ascii="Times New Roman" w:hAnsi="Times New Roman" w:eastAsia="宋体" w:cs="Times New Roman"/>
          <w:spacing w:val="-1"/>
          <w:sz w:val="21"/>
          <w:szCs w:val="21"/>
          <w:lang w:val="en-US" w:eastAsia="zh-CN"/>
        </w:rPr>
        <w:t>B</w:t>
      </w:r>
    </w:p>
    <w:p>
      <w:pPr>
        <w:jc w:val="cente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lang w:val="en-US" w:eastAsia="zh-CN"/>
        </w:rPr>
        <w:t>（规范性）</w:t>
      </w: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姑息预后指数（PPI）</w:t>
      </w:r>
    </w:p>
    <w:tbl>
      <w:tblPr>
        <w:tblStyle w:val="16"/>
        <w:tblpPr w:leftFromText="180" w:rightFromText="180" w:vertAnchor="text" w:horzAnchor="page" w:tblpX="1177" w:tblpY="549"/>
        <w:tblOverlap w:val="never"/>
        <w:tblW w:w="5617" w:type="pct"/>
        <w:tblInd w:w="0" w:type="dxa"/>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114"/>
        <w:gridCol w:w="2182"/>
        <w:gridCol w:w="2180"/>
        <w:gridCol w:w="2181"/>
      </w:tblGrid>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11"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序号</w:t>
            </w:r>
          </w:p>
        </w:tc>
        <w:tc>
          <w:tcPr>
            <w:tcW w:w="1447"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功能状况</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lang w:val="en-US" w:eastAsia="zh-CN"/>
              </w:rPr>
              <w:t>具体情况</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rPr>
            </w:pPr>
            <w:r>
              <w:rPr>
                <w:rFonts w:hint="default" w:ascii="Times New Roman" w:hAnsi="Times New Roman" w:eastAsia="宋体" w:cs="Times New Roman"/>
                <w:spacing w:val="-1"/>
                <w:sz w:val="21"/>
                <w:szCs w:val="21"/>
                <w:lang w:val="en-US" w:eastAsia="zh-CN"/>
              </w:rPr>
              <w:t>评分/分</w:t>
            </w:r>
          </w:p>
        </w:tc>
        <w:tc>
          <w:tcPr>
            <w:tcW w:w="1013" w:type="pct"/>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得分</w:t>
            </w: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11" w:type="pct"/>
            <w:vMerge w:val="restar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1</w:t>
            </w:r>
          </w:p>
        </w:tc>
        <w:tc>
          <w:tcPr>
            <w:tcW w:w="1447" w:type="pct"/>
            <w:vMerge w:val="restar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姑息功能评估（PPS）得分</w:t>
            </w:r>
          </w:p>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（见附录B-2）</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10-20</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4</w:t>
            </w:r>
          </w:p>
        </w:tc>
        <w:tc>
          <w:tcPr>
            <w:tcW w:w="1013" w:type="pct"/>
            <w:vMerge w:val="restart"/>
            <w:tcBorders>
              <w:tl2br w:val="nil"/>
              <w:tr2bl w:val="nil"/>
            </w:tcBorders>
            <w:shd w:val="clear" w:color="auto" w:fill="auto"/>
            <w:vAlign w:val="center"/>
          </w:tcPr>
          <w:p>
            <w:pPr>
              <w:rPr>
                <w:rFonts w:ascii="Times New Roman" w:hAnsi="Times New Roman" w:eastAsia="宋体" w:cs="Times New Roman"/>
                <w:spacing w:val="-1"/>
                <w:sz w:val="21"/>
                <w:szCs w:val="21"/>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11"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rPr>
            </w:pPr>
          </w:p>
        </w:tc>
        <w:tc>
          <w:tcPr>
            <w:tcW w:w="1447"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rPr>
            </w:pP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30-50</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2.5</w:t>
            </w:r>
          </w:p>
        </w:tc>
        <w:tc>
          <w:tcPr>
            <w:tcW w:w="1013"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11"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c>
          <w:tcPr>
            <w:tcW w:w="1447"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≥60</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0</w:t>
            </w:r>
          </w:p>
        </w:tc>
        <w:tc>
          <w:tcPr>
            <w:tcW w:w="1013"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1" w:type="pct"/>
            <w:vMerge w:val="restar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2</w:t>
            </w:r>
          </w:p>
        </w:tc>
        <w:tc>
          <w:tcPr>
            <w:tcW w:w="1447" w:type="pct"/>
            <w:vMerge w:val="restart"/>
            <w:tcBorders>
              <w:tl2br w:val="nil"/>
              <w:tr2bl w:val="nil"/>
            </w:tcBorders>
            <w:shd w:val="clear" w:color="auto" w:fill="auto"/>
            <w:vAlign w:val="center"/>
          </w:tcPr>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进食量</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几口的进食量</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2.5</w:t>
            </w:r>
          </w:p>
        </w:tc>
        <w:tc>
          <w:tcPr>
            <w:tcW w:w="1013" w:type="pct"/>
            <w:vMerge w:val="restart"/>
            <w:tcBorders>
              <w:tl2br w:val="nil"/>
              <w:tr2bl w:val="nil"/>
            </w:tcBorders>
            <w:shd w:val="clear" w:color="auto" w:fill="auto"/>
            <w:vAlign w:val="center"/>
          </w:tcPr>
          <w:p>
            <w:pPr>
              <w:rPr>
                <w:rFonts w:ascii="Times New Roman" w:hAnsi="Times New Roman" w:eastAsia="宋体" w:cs="Times New Roman"/>
                <w:spacing w:val="-1"/>
                <w:sz w:val="21"/>
                <w:szCs w:val="21"/>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1"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rPr>
            </w:pPr>
          </w:p>
        </w:tc>
        <w:tc>
          <w:tcPr>
            <w:tcW w:w="1447"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rPr>
            </w:pP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进食量减少平</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1</w:t>
            </w:r>
          </w:p>
        </w:tc>
        <w:tc>
          <w:tcPr>
            <w:tcW w:w="1013"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1"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c>
          <w:tcPr>
            <w:tcW w:w="1447"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进食量正常</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0</w:t>
            </w:r>
          </w:p>
        </w:tc>
        <w:tc>
          <w:tcPr>
            <w:tcW w:w="1013"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11" w:type="pct"/>
            <w:vMerge w:val="restar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3</w:t>
            </w:r>
          </w:p>
        </w:tc>
        <w:tc>
          <w:tcPr>
            <w:tcW w:w="1447" w:type="pct"/>
            <w:vMerge w:val="restart"/>
            <w:tcBorders>
              <w:tl2br w:val="nil"/>
              <w:tr2bl w:val="nil"/>
            </w:tcBorders>
            <w:shd w:val="clear" w:color="auto" w:fill="auto"/>
            <w:vAlign w:val="center"/>
          </w:tcPr>
          <w:p>
            <w:pPr>
              <w:rPr>
                <w:rFonts w:hint="default"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水肿</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有</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1</w:t>
            </w:r>
          </w:p>
        </w:tc>
        <w:tc>
          <w:tcPr>
            <w:tcW w:w="1013" w:type="pct"/>
            <w:vMerge w:val="restar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11"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rPr>
            </w:pPr>
          </w:p>
        </w:tc>
        <w:tc>
          <w:tcPr>
            <w:tcW w:w="1447"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rPr>
            </w:pP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无</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0</w:t>
            </w:r>
          </w:p>
        </w:tc>
        <w:tc>
          <w:tcPr>
            <w:tcW w:w="1013"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11" w:type="pct"/>
            <w:vMerge w:val="restar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4</w:t>
            </w:r>
          </w:p>
        </w:tc>
        <w:tc>
          <w:tcPr>
            <w:tcW w:w="1447" w:type="pct"/>
            <w:vMerge w:val="restar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静息时呼吸困难</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有</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3.5</w:t>
            </w:r>
          </w:p>
        </w:tc>
        <w:tc>
          <w:tcPr>
            <w:tcW w:w="1013" w:type="pct"/>
            <w:vMerge w:val="restar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11"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rPr>
            </w:pPr>
          </w:p>
        </w:tc>
        <w:tc>
          <w:tcPr>
            <w:tcW w:w="1447"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rPr>
            </w:pP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无</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0</w:t>
            </w:r>
          </w:p>
        </w:tc>
        <w:tc>
          <w:tcPr>
            <w:tcW w:w="1013"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1" w:type="pct"/>
            <w:vMerge w:val="restar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5</w:t>
            </w:r>
          </w:p>
        </w:tc>
        <w:tc>
          <w:tcPr>
            <w:tcW w:w="1447" w:type="pct"/>
            <w:vMerge w:val="restart"/>
            <w:tcBorders>
              <w:tl2br w:val="nil"/>
              <w:tr2bl w:val="nil"/>
            </w:tcBorders>
            <w:shd w:val="clear" w:color="auto" w:fill="auto"/>
            <w:vAlign w:val="center"/>
          </w:tcPr>
          <w:p>
            <w:pPr>
              <w:rPr>
                <w:rFonts w:hint="default"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谵妄</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有</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4</w:t>
            </w:r>
          </w:p>
        </w:tc>
        <w:tc>
          <w:tcPr>
            <w:tcW w:w="1013" w:type="pct"/>
            <w:vMerge w:val="restart"/>
            <w:tcBorders>
              <w:tl2br w:val="nil"/>
              <w:tr2bl w:val="nil"/>
            </w:tcBorders>
            <w:shd w:val="clear" w:color="auto" w:fill="auto"/>
            <w:vAlign w:val="center"/>
          </w:tcPr>
          <w:p>
            <w:pPr>
              <w:rPr>
                <w:rFonts w:ascii="Times New Roman" w:hAnsi="Times New Roman" w:eastAsia="宋体" w:cs="Times New Roman"/>
                <w:spacing w:val="-1"/>
                <w:sz w:val="21"/>
                <w:szCs w:val="21"/>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1"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rPr>
            </w:pPr>
          </w:p>
        </w:tc>
        <w:tc>
          <w:tcPr>
            <w:tcW w:w="1447"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rPr>
            </w:pP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无</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0</w:t>
            </w:r>
          </w:p>
        </w:tc>
        <w:tc>
          <w:tcPr>
            <w:tcW w:w="1013" w:type="pct"/>
            <w:vMerge w:val="continue"/>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72" w:type="pct"/>
            <w:gridSpan w:val="3"/>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总分</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0-15</w:t>
            </w:r>
          </w:p>
        </w:tc>
        <w:tc>
          <w:tcPr>
            <w:tcW w:w="1013"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p>
        </w:tc>
      </w:tr>
    </w:tbl>
    <w:p>
      <w:pPr>
        <w:rPr>
          <w:rFonts w:hint="eastAsia"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评分标准：</w:t>
      </w:r>
    </w:p>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PPI总分＞6分，预计生存期小于3周</w:t>
      </w:r>
    </w:p>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PPI总分＞4分，预计生存期小于6周</w:t>
      </w:r>
    </w:p>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PPI总分≤4分，预计生存期大于6周</w:t>
      </w:r>
    </w:p>
    <w:p>
      <w:pPr>
        <w:rPr>
          <w:rFonts w:hint="eastAsia" w:ascii="Times New Roman" w:hAnsi="Times New Roman" w:eastAsia="宋体" w:cs="Times New Roman"/>
          <w:spacing w:val="-1"/>
          <w:sz w:val="21"/>
          <w:szCs w:val="21"/>
        </w:rPr>
      </w:pPr>
    </w:p>
    <w:p>
      <w:pPr>
        <w:jc w:val="cente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rPr>
        <w:t>附</w:t>
      </w:r>
      <w:r>
        <w:rPr>
          <w:rFonts w:hint="eastAsia" w:ascii="Times New Roman" w:hAnsi="Times New Roman" w:eastAsia="宋体" w:cs="Times New Roman"/>
          <w:spacing w:val="-1"/>
          <w:sz w:val="21"/>
          <w:szCs w:val="21"/>
          <w:lang w:eastAsia="zh-CN"/>
        </w:rPr>
        <w:t>录</w:t>
      </w:r>
      <w:r>
        <w:rPr>
          <w:rFonts w:hint="eastAsia" w:ascii="Times New Roman" w:hAnsi="Times New Roman" w:eastAsia="宋体" w:cs="Times New Roman"/>
          <w:spacing w:val="-1"/>
          <w:sz w:val="21"/>
          <w:szCs w:val="21"/>
          <w:lang w:val="en-US" w:eastAsia="zh-CN"/>
        </w:rPr>
        <w:t>B-2</w:t>
      </w:r>
    </w:p>
    <w:p>
      <w:pPr>
        <w:jc w:val="cente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lang w:val="en-US" w:eastAsia="zh-CN"/>
        </w:rPr>
        <w:t>（规范性）</w:t>
      </w: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姑息功能评估量表（PPS）</w:t>
      </w:r>
    </w:p>
    <w:tbl>
      <w:tblPr>
        <w:tblStyle w:val="16"/>
        <w:tblpPr w:leftFromText="180" w:rightFromText="180" w:vertAnchor="text" w:horzAnchor="page" w:tblpX="1177" w:tblpY="549"/>
        <w:tblOverlap w:val="never"/>
        <w:tblW w:w="5525"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4"/>
        <w:gridCol w:w="833"/>
        <w:gridCol w:w="830"/>
        <w:gridCol w:w="1238"/>
        <w:gridCol w:w="1232"/>
        <w:gridCol w:w="865"/>
        <w:gridCol w:w="863"/>
        <w:gridCol w:w="865"/>
        <w:gridCol w:w="863"/>
        <w:gridCol w:w="865"/>
        <w:gridCol w:w="863"/>
        <w:gridCol w:w="389"/>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9" w:type="dxa"/>
          <w:trHeight w:val="1000" w:hRule="atLeast"/>
        </w:trPr>
        <w:tc>
          <w:tcPr>
            <w:tcW w:w="429" w:type="pct"/>
            <w:tcBorders>
              <w:bottom w:val="single" w:color="000000" w:sz="8" w:space="0"/>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PPS</w:t>
            </w:r>
          </w:p>
        </w:tc>
        <w:tc>
          <w:tcPr>
            <w:tcW w:w="816" w:type="pct"/>
            <w:gridSpan w:val="2"/>
            <w:tcBorders>
              <w:bottom w:val="single" w:color="000000" w:sz="8" w:space="0"/>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移动</w:t>
            </w:r>
          </w:p>
        </w:tc>
        <w:tc>
          <w:tcPr>
            <w:tcW w:w="1211" w:type="pct"/>
            <w:gridSpan w:val="2"/>
            <w:tcBorders>
              <w:bottom w:val="single" w:color="000000" w:sz="8" w:space="0"/>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活动能力和疾病情况</w:t>
            </w:r>
          </w:p>
        </w:tc>
        <w:tc>
          <w:tcPr>
            <w:tcW w:w="847" w:type="pct"/>
            <w:gridSpan w:val="2"/>
            <w:tcBorders>
              <w:bottom w:val="single" w:color="000000" w:sz="8" w:space="0"/>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自理能力</w:t>
            </w:r>
          </w:p>
        </w:tc>
        <w:tc>
          <w:tcPr>
            <w:tcW w:w="847" w:type="pct"/>
            <w:gridSpan w:val="2"/>
            <w:tcBorders>
              <w:bottom w:val="single" w:color="000000" w:sz="8" w:space="0"/>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进食情况</w:t>
            </w:r>
          </w:p>
        </w:tc>
        <w:tc>
          <w:tcPr>
            <w:tcW w:w="847" w:type="pct"/>
            <w:gridSpan w:val="2"/>
            <w:tcBorders>
              <w:bottom w:val="single" w:color="000000" w:sz="8" w:space="0"/>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意识水平</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9" w:type="dxa"/>
          <w:trHeight w:val="1163" w:hRule="atLeast"/>
        </w:trPr>
        <w:tc>
          <w:tcPr>
            <w:tcW w:w="429" w:type="pct"/>
            <w:tcBorders>
              <w:top w:val="single" w:color="000000" w:sz="8" w:space="0"/>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100%</w:t>
            </w:r>
          </w:p>
        </w:tc>
        <w:tc>
          <w:tcPr>
            <w:tcW w:w="816" w:type="pct"/>
            <w:gridSpan w:val="2"/>
            <w:tcBorders>
              <w:top w:val="single" w:color="000000" w:sz="8" w:space="0"/>
              <w:tl2br w:val="nil"/>
              <w:tr2bl w:val="nil"/>
            </w:tcBorders>
            <w:shd w:val="clear" w:color="auto" w:fill="auto"/>
            <w:vAlign w:val="center"/>
          </w:tcPr>
          <w:p>
            <w:pP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lang w:val="en-US" w:eastAsia="zh-CN"/>
              </w:rPr>
              <w:t>正常</w:t>
            </w:r>
          </w:p>
        </w:tc>
        <w:tc>
          <w:tcPr>
            <w:tcW w:w="1211" w:type="pct"/>
            <w:gridSpan w:val="2"/>
            <w:tcBorders>
              <w:top w:val="single" w:color="000000" w:sz="8" w:space="0"/>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正常活动无疾病征象</w:t>
            </w:r>
          </w:p>
        </w:tc>
        <w:tc>
          <w:tcPr>
            <w:tcW w:w="847" w:type="pct"/>
            <w:gridSpan w:val="2"/>
            <w:tcBorders>
              <w:top w:val="single" w:color="000000" w:sz="8" w:space="0"/>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完全自理</w:t>
            </w:r>
          </w:p>
        </w:tc>
        <w:tc>
          <w:tcPr>
            <w:tcW w:w="847" w:type="pct"/>
            <w:gridSpan w:val="2"/>
            <w:tcBorders>
              <w:top w:val="single" w:color="000000" w:sz="8" w:space="0"/>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正常</w:t>
            </w:r>
          </w:p>
        </w:tc>
        <w:tc>
          <w:tcPr>
            <w:tcW w:w="847" w:type="pct"/>
            <w:gridSpan w:val="2"/>
            <w:tcBorders>
              <w:top w:val="single" w:color="000000" w:sz="8" w:space="0"/>
              <w:tl2br w:val="nil"/>
              <w:tr2bl w:val="nil"/>
            </w:tcBorders>
            <w:shd w:val="clear" w:color="auto" w:fill="auto"/>
            <w:vAlign w:val="center"/>
          </w:tcPr>
          <w:p>
            <w:pP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lang w:val="en-US" w:eastAsia="zh-CN"/>
              </w:rPr>
              <w:t>清醒</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9" w:type="dxa"/>
          <w:trHeight w:val="1163" w:hRule="atLeast"/>
        </w:trPr>
        <w:tc>
          <w:tcPr>
            <w:tcW w:w="429"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90%</w:t>
            </w:r>
          </w:p>
        </w:tc>
        <w:tc>
          <w:tcPr>
            <w:tcW w:w="816"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正常</w:t>
            </w:r>
          </w:p>
        </w:tc>
        <w:tc>
          <w:tcPr>
            <w:tcW w:w="1211"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正常活动有一些疾病</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完全自理</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正常</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清醒</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9" w:type="dxa"/>
          <w:trHeight w:val="1163" w:hRule="atLeast"/>
        </w:trPr>
        <w:tc>
          <w:tcPr>
            <w:tcW w:w="429"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80%</w:t>
            </w:r>
          </w:p>
        </w:tc>
        <w:tc>
          <w:tcPr>
            <w:tcW w:w="816"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正常</w:t>
            </w:r>
          </w:p>
        </w:tc>
        <w:tc>
          <w:tcPr>
            <w:tcW w:w="1211"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勉强能进行正常活动，有一些疾病</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完全自理</w:t>
            </w:r>
          </w:p>
        </w:tc>
        <w:tc>
          <w:tcPr>
            <w:tcW w:w="847"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rPr>
            </w:pPr>
            <w:r>
              <w:rPr>
                <w:rFonts w:hint="eastAsia" w:ascii="Times New Roman" w:hAnsi="Times New Roman" w:eastAsia="宋体" w:cs="Times New Roman"/>
                <w:spacing w:val="-1"/>
                <w:sz w:val="21"/>
                <w:szCs w:val="21"/>
                <w:lang w:val="en-US" w:eastAsia="zh-CN"/>
              </w:rPr>
              <w:t>正常或减少</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清醒</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9" w:type="dxa"/>
          <w:trHeight w:val="1163" w:hRule="atLeast"/>
        </w:trPr>
        <w:tc>
          <w:tcPr>
            <w:tcW w:w="429"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70%</w:t>
            </w:r>
          </w:p>
        </w:tc>
        <w:tc>
          <w:tcPr>
            <w:tcW w:w="816" w:type="pct"/>
            <w:gridSpan w:val="2"/>
            <w:tcBorders>
              <w:tl2br w:val="nil"/>
              <w:tr2bl w:val="nil"/>
            </w:tcBorders>
            <w:shd w:val="clear" w:color="auto" w:fill="auto"/>
            <w:vAlign w:val="center"/>
          </w:tcPr>
          <w:p>
            <w:pP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lang w:val="en-US" w:eastAsia="zh-CN"/>
              </w:rPr>
              <w:t>减低</w:t>
            </w:r>
          </w:p>
        </w:tc>
        <w:tc>
          <w:tcPr>
            <w:tcW w:w="1211"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不能维持正常工作，有一些疾病</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完全自理</w:t>
            </w:r>
          </w:p>
        </w:tc>
        <w:tc>
          <w:tcPr>
            <w:tcW w:w="847"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rPr>
            </w:pPr>
            <w:r>
              <w:rPr>
                <w:rFonts w:hint="eastAsia" w:ascii="Times New Roman" w:hAnsi="Times New Roman" w:eastAsia="宋体" w:cs="Times New Roman"/>
                <w:spacing w:val="-1"/>
                <w:sz w:val="21"/>
                <w:szCs w:val="21"/>
                <w:lang w:val="en-US" w:eastAsia="zh-CN"/>
              </w:rPr>
              <w:t>正常或减少</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清醒</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9" w:type="dxa"/>
          <w:trHeight w:val="1163" w:hRule="atLeast"/>
        </w:trPr>
        <w:tc>
          <w:tcPr>
            <w:tcW w:w="429"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60%</w:t>
            </w:r>
          </w:p>
        </w:tc>
        <w:tc>
          <w:tcPr>
            <w:tcW w:w="816"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减低</w:t>
            </w:r>
          </w:p>
        </w:tc>
        <w:tc>
          <w:tcPr>
            <w:tcW w:w="1211"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不能维持日常生活活动，有明确的疾病</w:t>
            </w:r>
          </w:p>
        </w:tc>
        <w:tc>
          <w:tcPr>
            <w:tcW w:w="847"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大部分自理，但偶尔需要别人帮助</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正常或减少</w:t>
            </w:r>
          </w:p>
        </w:tc>
        <w:tc>
          <w:tcPr>
            <w:tcW w:w="847"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清醒或者意识模糊</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9" w:type="dxa"/>
          <w:trHeight w:val="1163" w:hRule="atLeast"/>
        </w:trPr>
        <w:tc>
          <w:tcPr>
            <w:tcW w:w="429"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50%</w:t>
            </w:r>
          </w:p>
        </w:tc>
        <w:tc>
          <w:tcPr>
            <w:tcW w:w="816"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大部分时间呈坐位或卧位</w:t>
            </w:r>
          </w:p>
        </w:tc>
        <w:tc>
          <w:tcPr>
            <w:tcW w:w="1211"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不能从事任何工作，有多种疾病</w:t>
            </w:r>
          </w:p>
        </w:tc>
        <w:tc>
          <w:tcPr>
            <w:tcW w:w="847"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需要相当的帮助，常需要人照料</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正常或减少</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清醒或者意识模糊</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9" w:type="dxa"/>
          <w:trHeight w:val="1163" w:hRule="atLeast"/>
        </w:trPr>
        <w:tc>
          <w:tcPr>
            <w:tcW w:w="429"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40%</w:t>
            </w:r>
          </w:p>
        </w:tc>
        <w:tc>
          <w:tcPr>
            <w:tcW w:w="816"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大部分时间卧床</w:t>
            </w:r>
          </w:p>
        </w:tc>
        <w:tc>
          <w:tcPr>
            <w:tcW w:w="1211"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不能从事任何工作，有多种疾病</w:t>
            </w:r>
          </w:p>
        </w:tc>
        <w:tc>
          <w:tcPr>
            <w:tcW w:w="847"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需要特别照顾和帮助</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正常或减少</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清醒或嗜睡或意识模糊</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9" w:type="dxa"/>
          <w:trHeight w:val="1163" w:hRule="atLeast"/>
        </w:trPr>
        <w:tc>
          <w:tcPr>
            <w:tcW w:w="429" w:type="pct"/>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30%</w:t>
            </w:r>
          </w:p>
        </w:tc>
        <w:tc>
          <w:tcPr>
            <w:tcW w:w="816"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完全卧床</w:t>
            </w:r>
          </w:p>
        </w:tc>
        <w:tc>
          <w:tcPr>
            <w:tcW w:w="1211"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不能从事任何工作，有多种疾病</w:t>
            </w:r>
          </w:p>
        </w:tc>
        <w:tc>
          <w:tcPr>
            <w:tcW w:w="847" w:type="pct"/>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需要完全照料</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正常或减少</w:t>
            </w:r>
          </w:p>
        </w:tc>
        <w:tc>
          <w:tcPr>
            <w:tcW w:w="847" w:type="pct"/>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清醒或嗜睡或意识模糊</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9" w:type="dxa"/>
          <w:trHeight w:val="1163" w:hRule="atLeast"/>
        </w:trPr>
        <w:tc>
          <w:tcPr>
            <w:tcW w:w="808" w:type="dxa"/>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20%</w:t>
            </w:r>
          </w:p>
        </w:tc>
        <w:tc>
          <w:tcPr>
            <w:tcW w:w="1538" w:type="dxa"/>
            <w:gridSpan w:val="2"/>
            <w:tcBorders>
              <w:tl2br w:val="nil"/>
              <w:tr2bl w:val="nil"/>
            </w:tcBorders>
            <w:shd w:val="clear" w:color="auto" w:fill="auto"/>
            <w:vAlign w:val="center"/>
          </w:tcPr>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完全卧床</w:t>
            </w:r>
          </w:p>
        </w:tc>
        <w:tc>
          <w:tcPr>
            <w:tcW w:w="2282" w:type="dxa"/>
            <w:gridSpan w:val="2"/>
            <w:tcBorders>
              <w:tl2br w:val="nil"/>
              <w:tr2bl w:val="nil"/>
            </w:tcBorders>
            <w:shd w:val="clear" w:color="auto" w:fill="auto"/>
            <w:vAlign w:val="center"/>
          </w:tcPr>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不能从事任何工作，有多种疾病</w:t>
            </w:r>
          </w:p>
        </w:tc>
        <w:tc>
          <w:tcPr>
            <w:tcW w:w="1596" w:type="dxa"/>
            <w:gridSpan w:val="2"/>
            <w:tcBorders>
              <w:tl2br w:val="nil"/>
              <w:tr2bl w:val="nil"/>
            </w:tcBorders>
            <w:shd w:val="clear" w:color="auto" w:fill="auto"/>
            <w:vAlign w:val="center"/>
          </w:tcPr>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需要完全照料</w:t>
            </w:r>
          </w:p>
        </w:tc>
        <w:tc>
          <w:tcPr>
            <w:tcW w:w="1596" w:type="dxa"/>
            <w:gridSpan w:val="2"/>
            <w:tcBorders>
              <w:tl2br w:val="nil"/>
              <w:tr2bl w:val="nil"/>
            </w:tcBorders>
            <w:shd w:val="clear" w:color="auto" w:fill="auto"/>
            <w:vAlign w:val="center"/>
          </w:tcPr>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少量啜饮</w:t>
            </w:r>
          </w:p>
        </w:tc>
        <w:tc>
          <w:tcPr>
            <w:tcW w:w="1597" w:type="dxa"/>
            <w:gridSpan w:val="2"/>
            <w:tcBorders>
              <w:tl2br w:val="nil"/>
              <w:tr2bl w:val="nil"/>
            </w:tcBorders>
            <w:shd w:val="clear" w:color="auto" w:fill="auto"/>
            <w:vAlign w:val="center"/>
          </w:tcPr>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清醒或嗜睡或意识模糊</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08" w:type="dxa"/>
            <w:gridSpan w:val="2"/>
            <w:tcBorders>
              <w:bottom w:val="single" w:color="auto" w:sz="4" w:space="0"/>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PPS</w:t>
            </w:r>
          </w:p>
        </w:tc>
        <w:tc>
          <w:tcPr>
            <w:tcW w:w="1538" w:type="dxa"/>
            <w:gridSpan w:val="2"/>
            <w:tcBorders>
              <w:bottom w:val="single" w:color="auto" w:sz="4" w:space="0"/>
              <w:tl2br w:val="nil"/>
              <w:tr2bl w:val="nil"/>
            </w:tcBorders>
            <w:shd w:val="clear" w:color="auto" w:fill="auto"/>
            <w:vAlign w:val="center"/>
          </w:tcPr>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移动</w:t>
            </w:r>
          </w:p>
        </w:tc>
        <w:tc>
          <w:tcPr>
            <w:tcW w:w="2282" w:type="dxa"/>
            <w:gridSpan w:val="2"/>
            <w:tcBorders>
              <w:bottom w:val="single" w:color="auto" w:sz="4" w:space="0"/>
              <w:tl2br w:val="nil"/>
              <w:tr2bl w:val="nil"/>
            </w:tcBorders>
            <w:shd w:val="clear" w:color="auto" w:fill="auto"/>
            <w:vAlign w:val="center"/>
          </w:tcPr>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活动能力和疾病情况</w:t>
            </w:r>
          </w:p>
        </w:tc>
        <w:tc>
          <w:tcPr>
            <w:tcW w:w="1596" w:type="dxa"/>
            <w:gridSpan w:val="2"/>
            <w:tcBorders>
              <w:bottom w:val="single" w:color="auto" w:sz="4" w:space="0"/>
              <w:tl2br w:val="nil"/>
              <w:tr2bl w:val="nil"/>
            </w:tcBorders>
            <w:shd w:val="clear" w:color="auto" w:fill="auto"/>
            <w:vAlign w:val="center"/>
          </w:tcPr>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自理能力</w:t>
            </w:r>
          </w:p>
        </w:tc>
        <w:tc>
          <w:tcPr>
            <w:tcW w:w="1596" w:type="dxa"/>
            <w:gridSpan w:val="2"/>
            <w:tcBorders>
              <w:bottom w:val="single" w:color="auto" w:sz="4" w:space="0"/>
              <w:tl2br w:val="nil"/>
              <w:tr2bl w:val="nil"/>
            </w:tcBorders>
            <w:shd w:val="clear" w:color="auto" w:fill="auto"/>
            <w:vAlign w:val="center"/>
          </w:tcPr>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进食情况</w:t>
            </w:r>
          </w:p>
        </w:tc>
        <w:tc>
          <w:tcPr>
            <w:tcW w:w="1597" w:type="dxa"/>
            <w:gridSpan w:val="2"/>
            <w:tcBorders>
              <w:bottom w:val="single" w:color="auto" w:sz="4" w:space="0"/>
              <w:tl2br w:val="nil"/>
              <w:tr2bl w:val="nil"/>
            </w:tcBorders>
            <w:shd w:val="clear" w:color="auto" w:fill="auto"/>
            <w:vAlign w:val="center"/>
          </w:tcPr>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意识水平</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808" w:type="dxa"/>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10%</w:t>
            </w:r>
          </w:p>
        </w:tc>
        <w:tc>
          <w:tcPr>
            <w:tcW w:w="1538" w:type="dxa"/>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完全卧床</w:t>
            </w:r>
          </w:p>
        </w:tc>
        <w:tc>
          <w:tcPr>
            <w:tcW w:w="2282" w:type="dxa"/>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不能从事任何工作，有多种疾病</w:t>
            </w:r>
          </w:p>
        </w:tc>
        <w:tc>
          <w:tcPr>
            <w:tcW w:w="1596" w:type="dxa"/>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需要完全照料</w:t>
            </w:r>
          </w:p>
        </w:tc>
        <w:tc>
          <w:tcPr>
            <w:tcW w:w="1596" w:type="dxa"/>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不能进食</w:t>
            </w:r>
          </w:p>
        </w:tc>
        <w:tc>
          <w:tcPr>
            <w:tcW w:w="1597" w:type="dxa"/>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嗜睡或昏迷</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8" w:type="dxa"/>
            <w:gridSpan w:val="2"/>
            <w:tcBorders>
              <w:tl2br w:val="nil"/>
              <w:tr2bl w:val="nil"/>
            </w:tcBorders>
            <w:shd w:val="clear" w:color="auto" w:fill="auto"/>
            <w:vAlign w:val="center"/>
          </w:tcPr>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0%</w:t>
            </w:r>
          </w:p>
        </w:tc>
        <w:tc>
          <w:tcPr>
            <w:tcW w:w="1538" w:type="dxa"/>
            <w:gridSpan w:val="2"/>
            <w:tcBorders>
              <w:tl2br w:val="nil"/>
              <w:tr2bl w:val="nil"/>
            </w:tcBorders>
            <w:shd w:val="clear" w:color="auto" w:fill="auto"/>
            <w:vAlign w:val="center"/>
          </w:tcPr>
          <w:p>
            <w:pP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lang w:val="en-US" w:eastAsia="zh-CN"/>
              </w:rPr>
              <w:t>死亡</w:t>
            </w:r>
          </w:p>
        </w:tc>
        <w:tc>
          <w:tcPr>
            <w:tcW w:w="2282" w:type="dxa"/>
            <w:gridSpan w:val="2"/>
            <w:tcBorders>
              <w:tl2br w:val="nil"/>
              <w:tr2bl w:val="nil"/>
            </w:tcBorders>
            <w:shd w:val="clear" w:color="auto" w:fill="auto"/>
            <w:vAlign w:val="center"/>
          </w:tcPr>
          <w:p>
            <w:pPr>
              <w:rPr>
                <w:rFonts w:hint="eastAsia"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lang w:val="en-US" w:eastAsia="zh-CN"/>
              </w:rPr>
              <w:t>×</w:t>
            </w:r>
          </w:p>
        </w:tc>
        <w:tc>
          <w:tcPr>
            <w:tcW w:w="1596" w:type="dxa"/>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w:t>
            </w:r>
          </w:p>
        </w:tc>
        <w:tc>
          <w:tcPr>
            <w:tcW w:w="1596" w:type="dxa"/>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w:t>
            </w:r>
          </w:p>
        </w:tc>
        <w:tc>
          <w:tcPr>
            <w:tcW w:w="1597" w:type="dxa"/>
            <w:gridSpan w:val="2"/>
            <w:tcBorders>
              <w:tl2br w:val="nil"/>
              <w:tr2bl w:val="nil"/>
            </w:tcBorders>
            <w:shd w:val="clear" w:color="auto" w:fill="auto"/>
            <w:vAlign w:val="center"/>
          </w:tcPr>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w:t>
            </w:r>
          </w:p>
        </w:tc>
      </w:tr>
    </w:tbl>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注：评分从0%～100%，以10%递增，0%的病人代表已经死亡；100%代表行动健康。PPS值越低，患者的功能状态越差。它适用于多种护理环境下有效的功能评估工具，既适用于癌症病人也适用于非癌症临终病人。</w:t>
      </w: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default"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eastAsia="zh-CN"/>
        </w:rPr>
      </w:pP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eastAsia="zh-CN"/>
        </w:rPr>
        <w:t>附录</w:t>
      </w:r>
      <w:r>
        <w:rPr>
          <w:rFonts w:hint="eastAsia" w:ascii="Times New Roman" w:hAnsi="Times New Roman" w:eastAsia="宋体" w:cs="Times New Roman"/>
          <w:spacing w:val="-1"/>
          <w:sz w:val="21"/>
          <w:szCs w:val="21"/>
          <w:lang w:val="en-US" w:eastAsia="zh-CN"/>
        </w:rPr>
        <w:t>C</w:t>
      </w:r>
    </w:p>
    <w:p>
      <w:pPr>
        <w:jc w:val="cente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（规范性）</w:t>
      </w:r>
    </w:p>
    <w:p>
      <w:pPr>
        <w:jc w:val="cente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简明疼痛评估量表（BPI）</w:t>
      </w:r>
    </w:p>
    <w:p>
      <w:pPr>
        <w:jc w:val="left"/>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患者姓名：        病案号：         诊断：                        </w:t>
      </w:r>
    </w:p>
    <w:p>
      <w:pPr>
        <w:jc w:val="left"/>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评估时间：　                       评估医师：　　　         　　　　　　　　　　　　　　　　　</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1.大多数人一生中都有过疼痛经历（如轻微头痛、扭伤后痛、牙痛）。除这些常见的疼痛外，现在您是否还感到有别的类型的疼痛？　　⑴是　　⑵否</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2.请您在下图中标出您的疼痛部位，并在疼痛最剧烈的部位以“Ｘ”标出。</w:t>
      </w:r>
    </w:p>
    <w:tbl>
      <w:tblPr>
        <w:tblStyle w:val="16"/>
        <w:tblW w:w="8520" w:type="dxa"/>
        <w:tblInd w:w="0" w:type="dxa"/>
        <w:tblLayout w:type="fixed"/>
        <w:tblCellMar>
          <w:top w:w="0" w:type="dxa"/>
          <w:left w:w="108" w:type="dxa"/>
          <w:bottom w:w="0" w:type="dxa"/>
          <w:right w:w="108" w:type="dxa"/>
        </w:tblCellMar>
      </w:tblPr>
      <w:tblGrid>
        <w:gridCol w:w="1842"/>
        <w:gridCol w:w="4835"/>
        <w:gridCol w:w="1843"/>
      </w:tblGrid>
      <w:tr>
        <w:tblPrEx>
          <w:tblCellMar>
            <w:top w:w="0" w:type="dxa"/>
            <w:left w:w="108" w:type="dxa"/>
            <w:bottom w:w="0" w:type="dxa"/>
            <w:right w:w="108" w:type="dxa"/>
          </w:tblCellMar>
        </w:tblPrEx>
        <w:tc>
          <w:tcPr>
            <w:tcW w:w="1842" w:type="dxa"/>
          </w:tcPr>
          <w:p>
            <w:pPr>
              <w:rPr>
                <w:rFonts w:ascii="Times New Roman" w:hAnsi="Times New Roman" w:eastAsia="宋体" w:cs="Times New Roman"/>
                <w:spacing w:val="-1"/>
                <w:sz w:val="21"/>
                <w:szCs w:val="21"/>
              </w:rPr>
            </w:pPr>
          </w:p>
        </w:tc>
        <w:tc>
          <w:tcPr>
            <w:tcW w:w="4835" w:type="dxa"/>
          </w:tcPr>
          <w:p>
            <w:pPr>
              <w:rPr>
                <w:rFonts w:ascii="Times New Roman" w:hAnsi="Times New Roman" w:eastAsia="宋体" w:cs="Times New Roman"/>
                <w:spacing w:val="-1"/>
                <w:sz w:val="21"/>
                <w:szCs w:val="21"/>
              </w:rPr>
            </w:pPr>
            <w:r>
              <w:rPr>
                <w:rFonts w:ascii="Times New Roman" w:hAnsi="Times New Roman" w:eastAsia="宋体" w:cs="Times New Roman"/>
                <w:spacing w:val="-1"/>
                <w:sz w:val="21"/>
                <w:szCs w:val="21"/>
              </w:rPr>
              <w:drawing>
                <wp:inline distT="0" distB="0" distL="0" distR="0">
                  <wp:extent cx="2933700" cy="2876550"/>
                  <wp:effectExtent l="0" t="0" r="0" b="6350"/>
                  <wp:docPr id="1" name="图片 1" descr="说明: 说明: 疼痛部位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疼痛部位图示"/>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33700" cy="2876550"/>
                          </a:xfrm>
                          <a:prstGeom prst="rect">
                            <a:avLst/>
                          </a:prstGeom>
                          <a:noFill/>
                          <a:ln>
                            <a:noFill/>
                          </a:ln>
                        </pic:spPr>
                      </pic:pic>
                    </a:graphicData>
                  </a:graphic>
                </wp:inline>
              </w:drawing>
            </w:r>
          </w:p>
        </w:tc>
        <w:tc>
          <w:tcPr>
            <w:tcW w:w="1843" w:type="dxa"/>
          </w:tcPr>
          <w:p>
            <w:pPr>
              <w:rPr>
                <w:rFonts w:ascii="Times New Roman" w:hAnsi="Times New Roman" w:eastAsia="宋体" w:cs="Times New Roman"/>
                <w:spacing w:val="-1"/>
                <w:sz w:val="21"/>
                <w:szCs w:val="21"/>
              </w:rPr>
            </w:pPr>
          </w:p>
        </w:tc>
      </w:tr>
    </w:tbl>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3.请选择下面的一个数字，以表示过去24小时内您疼痛最剧烈的程度。</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０    １    ２   ３   ４   ５   ６   ７   ８   ９   10</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（无痛）                                 （能够想象的最剧烈疼痛）</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4.请选择下面的一个数字，以表示过去24小时内您疼痛最轻微的程度。</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０    １    ２   ３   ４   ５   ６   ７   ８   ９   10</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（无痛）                                 （能够想象的最剧烈疼痛）</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5.请选择下面的一个数字，以表示过去24小时内您疼痛的平均程度。</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０    １    ２   ３   ４   ５   ６   ７   ８   ９   10</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（无痛）                                 （能够想象的最剧烈疼痛）</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6.请选择下面的一个数字，以表示您目前的疼痛程度。</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０    １    ２   ３   ４   ５   ６   ７   ８   ９   10</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（无痛）                                 （能够想象的最剧烈疼痛）</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7.您希望接受何种药物或治疗控制您的疼痛？                                                     </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8.在过去的24小时内，由于药物或治疗的作用，您的疼痛缓解了多少？请选择下面的一个百分数，以表示疼痛缓解的程度。</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（无缓解）0  10％  20％  30％  40％  50％  60％  70％  80％  90％  100％（完全缓解）　　   </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9.请选择下面的一个数字，以表示过去24小时内疼痛对您的影响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（1）对日常生活的影响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０    １    ２   ３   ４   ５   ６   ７   ８   ９   10</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（无影响）                                          （完全影响）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（2）对情绪的影响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０    １    ２   ３   ４   ５   ６   ７   ８   ９   10</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（无影响）                                          （完全影响）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（3）对行走能力的影响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０    １    ２   ３   ４   ５   ６   ７   ８   ９   10</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（无影响）                                          （完全影响）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（4）对日常工作的影响（包括外出工作和家务劳动）</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０    １    ２   ３   ４   ５   ６   ７   ８   ９   10</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（无影响）                                          （完全影响）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（5）对与他人关系的影响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０    １    ２   ３   ４   ５   ６   ７   ８   ９   10</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（无影响）                                          （完全影响）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（6）对睡眠的影响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０    １    ２   ３   ４   ５   ６   ７   ８   ９   10</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（无影响）                                          （完全影响）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（7）对生活兴趣的影响</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     ０    １    ２   ３   ４   ５   ６   ７   ８   ９   10</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（无影响）                                          （完全影响）</w:t>
      </w:r>
    </w:p>
    <w:p>
      <w:pPr>
        <w:rPr>
          <w:rFonts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注：</w:t>
      </w:r>
      <w:r>
        <w:rPr>
          <w:rFonts w:hint="eastAsia" w:ascii="Times New Roman" w:hAnsi="Times New Roman" w:eastAsia="宋体" w:cs="Times New Roman"/>
          <w:spacing w:val="-1"/>
          <w:sz w:val="21"/>
          <w:szCs w:val="21"/>
        </w:rPr>
        <w:t>疼痛强度评估</w:t>
      </w:r>
      <w:r>
        <w:rPr>
          <w:rFonts w:hint="eastAsia" w:ascii="Times New Roman" w:hAnsi="Times New Roman" w:eastAsia="宋体" w:cs="Times New Roman"/>
          <w:spacing w:val="-1"/>
          <w:sz w:val="21"/>
          <w:szCs w:val="21"/>
          <w:lang w:eastAsia="zh-CN"/>
        </w:rPr>
        <w:t>5</w:t>
      </w:r>
      <w:r>
        <w:rPr>
          <w:rFonts w:hint="eastAsia" w:ascii="Times New Roman" w:hAnsi="Times New Roman" w:eastAsia="宋体" w:cs="Times New Roman"/>
          <w:spacing w:val="-1"/>
          <w:sz w:val="21"/>
          <w:szCs w:val="21"/>
        </w:rPr>
        <w:t>个条目，采用</w:t>
      </w:r>
      <w:r>
        <w:rPr>
          <w:rFonts w:hint="eastAsia" w:ascii="Times New Roman" w:hAnsi="Times New Roman" w:eastAsia="宋体" w:cs="Times New Roman"/>
          <w:spacing w:val="-1"/>
          <w:sz w:val="21"/>
          <w:szCs w:val="21"/>
          <w:lang w:eastAsia="zh-CN"/>
        </w:rPr>
        <w:t>0</w:t>
      </w:r>
      <w:r>
        <w:rPr>
          <w:rFonts w:hint="eastAsia" w:ascii="Times New Roman" w:hAnsi="Times New Roman" w:eastAsia="宋体" w:cs="Times New Roman"/>
          <w:spacing w:val="-1"/>
          <w:sz w:val="21"/>
          <w:szCs w:val="21"/>
          <w:lang w:val="en-US" w:eastAsia="zh-CN"/>
        </w:rPr>
        <w:t>~</w:t>
      </w:r>
      <w:r>
        <w:rPr>
          <w:rFonts w:hint="eastAsia" w:ascii="Times New Roman" w:hAnsi="Times New Roman" w:eastAsia="宋体" w:cs="Times New Roman"/>
          <w:spacing w:val="-1"/>
          <w:sz w:val="21"/>
          <w:szCs w:val="21"/>
          <w:lang w:eastAsia="zh-CN"/>
        </w:rPr>
        <w:t>1</w:t>
      </w:r>
      <w:r>
        <w:rPr>
          <w:rFonts w:hint="eastAsia" w:ascii="Times New Roman" w:hAnsi="Times New Roman" w:eastAsia="宋体" w:cs="Times New Roman"/>
          <w:spacing w:val="-1"/>
          <w:sz w:val="21"/>
          <w:szCs w:val="21"/>
          <w:lang w:val="en-US" w:eastAsia="zh-CN"/>
        </w:rPr>
        <w:t>0</w:t>
      </w:r>
      <w:r>
        <w:rPr>
          <w:rFonts w:hint="eastAsia" w:ascii="Times New Roman" w:hAnsi="Times New Roman" w:eastAsia="宋体" w:cs="Times New Roman"/>
          <w:spacing w:val="-1"/>
          <w:sz w:val="21"/>
          <w:szCs w:val="21"/>
        </w:rPr>
        <w:t>评分，</w:t>
      </w:r>
      <w:r>
        <w:rPr>
          <w:rFonts w:hint="eastAsia" w:ascii="Times New Roman" w:hAnsi="Times New Roman" w:eastAsia="宋体" w:cs="Times New Roman"/>
          <w:spacing w:val="-1"/>
          <w:sz w:val="21"/>
          <w:szCs w:val="21"/>
          <w:lang w:eastAsia="zh-CN"/>
        </w:rPr>
        <w:t>0</w:t>
      </w:r>
      <w:r>
        <w:rPr>
          <w:rFonts w:hint="eastAsia" w:ascii="Times New Roman" w:hAnsi="Times New Roman" w:eastAsia="宋体" w:cs="Times New Roman"/>
          <w:spacing w:val="-1"/>
          <w:sz w:val="21"/>
          <w:szCs w:val="21"/>
        </w:rPr>
        <w:t>为无痛，</w:t>
      </w:r>
      <w:r>
        <w:rPr>
          <w:rFonts w:hint="eastAsia" w:ascii="Times New Roman" w:hAnsi="Times New Roman" w:eastAsia="宋体" w:cs="Times New Roman"/>
          <w:spacing w:val="-1"/>
          <w:sz w:val="21"/>
          <w:szCs w:val="21"/>
          <w:lang w:eastAsia="zh-CN"/>
        </w:rPr>
        <w:t>1</w:t>
      </w:r>
      <w:r>
        <w:rPr>
          <w:rFonts w:hint="eastAsia" w:ascii="Times New Roman" w:hAnsi="Times New Roman" w:eastAsia="宋体" w:cs="Times New Roman"/>
          <w:spacing w:val="-1"/>
          <w:sz w:val="21"/>
          <w:szCs w:val="21"/>
          <w:lang w:val="en-US" w:eastAsia="zh-CN"/>
        </w:rPr>
        <w:t>0</w:t>
      </w:r>
      <w:r>
        <w:rPr>
          <w:rFonts w:hint="eastAsia" w:ascii="Times New Roman" w:hAnsi="Times New Roman" w:eastAsia="宋体" w:cs="Times New Roman"/>
          <w:spacing w:val="-1"/>
          <w:sz w:val="21"/>
          <w:szCs w:val="21"/>
        </w:rPr>
        <w:t>为最痛。疼痛影响评估</w:t>
      </w:r>
      <w:r>
        <w:rPr>
          <w:rFonts w:hint="eastAsia" w:ascii="Times New Roman" w:hAnsi="Times New Roman" w:eastAsia="宋体" w:cs="Times New Roman"/>
          <w:spacing w:val="-1"/>
          <w:sz w:val="21"/>
          <w:szCs w:val="21"/>
          <w:lang w:eastAsia="zh-CN"/>
        </w:rPr>
        <w:t>7</w:t>
      </w:r>
      <w:r>
        <w:rPr>
          <w:rFonts w:hint="eastAsia" w:ascii="Times New Roman" w:hAnsi="Times New Roman" w:eastAsia="宋体" w:cs="Times New Roman"/>
          <w:spacing w:val="-1"/>
          <w:sz w:val="21"/>
          <w:szCs w:val="21"/>
        </w:rPr>
        <w:t>个条目</w:t>
      </w:r>
      <w:r>
        <w:rPr>
          <w:rFonts w:hint="eastAsia" w:ascii="Times New Roman" w:hAnsi="Times New Roman" w:eastAsia="宋体" w:cs="Times New Roman"/>
          <w:spacing w:val="-1"/>
          <w:sz w:val="21"/>
          <w:szCs w:val="21"/>
          <w:lang w:eastAsia="zh-CN"/>
        </w:rPr>
        <w:t>，</w:t>
      </w:r>
      <w:r>
        <w:rPr>
          <w:rFonts w:hint="eastAsia" w:ascii="Times New Roman" w:hAnsi="Times New Roman" w:eastAsia="宋体" w:cs="Times New Roman"/>
          <w:spacing w:val="-1"/>
          <w:sz w:val="21"/>
          <w:szCs w:val="21"/>
        </w:rPr>
        <w:t>包括疼痛、对日常生活、情绪状态、行走能力、工作、人际关系、睡眠和生活乐趣七个方面的影响。影响程度</w:t>
      </w:r>
      <w:r>
        <w:rPr>
          <w:rFonts w:hint="eastAsia" w:ascii="Times New Roman" w:hAnsi="Times New Roman" w:eastAsia="宋体" w:cs="Times New Roman"/>
          <w:spacing w:val="-1"/>
          <w:sz w:val="21"/>
          <w:szCs w:val="21"/>
          <w:lang w:val="en-US" w:eastAsia="zh-CN"/>
        </w:rPr>
        <w:t>亦</w:t>
      </w:r>
      <w:r>
        <w:rPr>
          <w:rFonts w:hint="eastAsia" w:ascii="Times New Roman" w:hAnsi="Times New Roman" w:eastAsia="宋体" w:cs="Times New Roman"/>
          <w:spacing w:val="-1"/>
          <w:sz w:val="21"/>
          <w:szCs w:val="21"/>
        </w:rPr>
        <w:t>采用</w:t>
      </w:r>
      <w:r>
        <w:rPr>
          <w:rFonts w:hint="eastAsia" w:ascii="Times New Roman" w:hAnsi="Times New Roman" w:eastAsia="宋体" w:cs="Times New Roman"/>
          <w:spacing w:val="-1"/>
          <w:sz w:val="21"/>
          <w:szCs w:val="21"/>
          <w:lang w:eastAsia="zh-CN"/>
        </w:rPr>
        <w:t>0</w:t>
      </w:r>
      <w:r>
        <w:rPr>
          <w:rFonts w:hint="eastAsia" w:ascii="Times New Roman" w:hAnsi="Times New Roman" w:eastAsia="宋体" w:cs="Times New Roman"/>
          <w:spacing w:val="-1"/>
          <w:sz w:val="21"/>
          <w:szCs w:val="21"/>
          <w:lang w:val="en-US" w:eastAsia="zh-CN"/>
        </w:rPr>
        <w:t>~</w:t>
      </w:r>
      <w:r>
        <w:rPr>
          <w:rFonts w:hint="eastAsia" w:ascii="Times New Roman" w:hAnsi="Times New Roman" w:eastAsia="宋体" w:cs="Times New Roman"/>
          <w:spacing w:val="-1"/>
          <w:sz w:val="21"/>
          <w:szCs w:val="21"/>
          <w:lang w:eastAsia="zh-CN"/>
        </w:rPr>
        <w:t>1</w:t>
      </w:r>
      <w:r>
        <w:rPr>
          <w:rFonts w:hint="eastAsia" w:ascii="Times New Roman" w:hAnsi="Times New Roman" w:eastAsia="宋体" w:cs="Times New Roman"/>
          <w:spacing w:val="-1"/>
          <w:sz w:val="21"/>
          <w:szCs w:val="21"/>
          <w:lang w:val="en-US" w:eastAsia="zh-CN"/>
        </w:rPr>
        <w:t>0</w:t>
      </w:r>
      <w:r>
        <w:rPr>
          <w:rFonts w:hint="eastAsia" w:ascii="Times New Roman" w:hAnsi="Times New Roman" w:eastAsia="宋体" w:cs="Times New Roman"/>
          <w:spacing w:val="-1"/>
          <w:sz w:val="21"/>
          <w:szCs w:val="21"/>
        </w:rPr>
        <w:t>评分，影响越大则分值越大</w:t>
      </w:r>
      <w:r>
        <w:rPr>
          <w:rFonts w:hint="eastAsia" w:ascii="Times New Roman" w:hAnsi="Times New Roman" w:eastAsia="宋体" w:cs="Times New Roman"/>
          <w:spacing w:val="-1"/>
          <w:sz w:val="21"/>
          <w:szCs w:val="21"/>
          <w:lang w:eastAsia="zh-CN"/>
        </w:rPr>
        <w:t>。</w:t>
      </w:r>
    </w:p>
    <w:p>
      <w:pPr>
        <w:rPr>
          <w:rFonts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lang w:eastAsia="zh-CN"/>
        </w:rPr>
      </w:pP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eastAsia="zh-CN"/>
        </w:rPr>
        <w:t>附录</w:t>
      </w:r>
      <w:r>
        <w:rPr>
          <w:rFonts w:hint="eastAsia" w:ascii="Times New Roman" w:hAnsi="Times New Roman" w:eastAsia="宋体" w:cs="Times New Roman"/>
          <w:spacing w:val="-1"/>
          <w:sz w:val="21"/>
          <w:szCs w:val="21"/>
          <w:lang w:val="en-US" w:eastAsia="zh-CN"/>
        </w:rPr>
        <w:t>D</w:t>
      </w:r>
    </w:p>
    <w:p>
      <w:pPr>
        <w:jc w:val="cente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（规范性）</w:t>
      </w:r>
    </w:p>
    <w:p>
      <w:pPr>
        <w:jc w:val="cente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安德森症状评估量表（MD Anderson Symptom Inventory，MDASI)</w:t>
      </w:r>
    </w:p>
    <w:p>
      <w:pPr>
        <w:jc w:val="cente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安德森症状量表第一部分</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在</w:t>
      </w:r>
      <w:r>
        <w:rPr>
          <w:rFonts w:hint="default" w:ascii="Times New Roman" w:hAnsi="Times New Roman" w:eastAsia="宋体" w:cs="Times New Roman"/>
          <w:spacing w:val="-1"/>
          <w:sz w:val="21"/>
          <w:szCs w:val="21"/>
        </w:rPr>
        <w:t>过去的24小时内，您疾病本身或治疗相关的各种症状有多严重？＂０＂表示没有症状，＂１０＂表示症状能想象的最严重程度；从１到１０，分数越高，表示症状越严重。您感到您是否存在以下症状？它们分别能得多少分？请您在相应的数字上打钩</w:t>
      </w:r>
    </w:p>
    <w:p>
      <w:pPr>
        <w:rPr>
          <w:rFonts w:ascii="Times New Roman" w:hAnsi="Times New Roman" w:eastAsia="宋体" w:cs="Times New Roman"/>
          <w:spacing w:val="-1"/>
          <w:sz w:val="21"/>
          <w:szCs w:val="21"/>
        </w:rPr>
      </w:pPr>
    </w:p>
    <w:tbl>
      <w:tblPr>
        <w:tblStyle w:val="1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9"/>
        <w:gridCol w:w="411"/>
        <w:gridCol w:w="613"/>
        <w:gridCol w:w="470"/>
        <w:gridCol w:w="414"/>
        <w:gridCol w:w="456"/>
        <w:gridCol w:w="414"/>
        <w:gridCol w:w="456"/>
        <w:gridCol w:w="385"/>
        <w:gridCol w:w="428"/>
        <w:gridCol w:w="407"/>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1您疼痛最严重的程度为？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2你疲劳（芝力）最严重程度为？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3您恶心最严重的程度为？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4您睡眠不安最严重的程度为？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5您最苦恼的程度为？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6您气短最严重的程度为？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7您健忘最严重的程度为？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8您胃口最差的程度为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9您磕睡（昏昏欲睡）最严重的程度为？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10您口干最严重的程度为？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11您悲伤感最严重的程度为？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12您枢吐最严重的程度为？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13您麻木感最严重的程度为？</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bl>
    <w:p>
      <w:pPr>
        <w:rPr>
          <w:rFonts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安德森症状量表第二部分</w:t>
      </w:r>
    </w:p>
    <w:p>
      <w:pPr>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在过去24小时天内，上化症状妨碍您生活的程度？症状常常干扰我们的感受和功能，我们想知道在过去1-2天内，上述症状干扰您下列各项活动的最严重程度。＂０＂没有任何干扰，＂１０＂表示能想象的最严重的干扰程度；从1到10，分数越高，表示干扰程度越严重。您感到上述症状是否干扰您进行下列活动？干扰程度分别能得多少分？请您在相应的数字上打钩。</w:t>
      </w:r>
    </w:p>
    <w:tbl>
      <w:tblPr>
        <w:tblStyle w:val="1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9"/>
        <w:gridCol w:w="411"/>
        <w:gridCol w:w="613"/>
        <w:gridCol w:w="470"/>
        <w:gridCol w:w="414"/>
        <w:gridCol w:w="456"/>
        <w:gridCol w:w="414"/>
        <w:gridCol w:w="456"/>
        <w:gridCol w:w="385"/>
        <w:gridCol w:w="428"/>
        <w:gridCol w:w="407"/>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14一般活动？</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15惰绪？</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16工作饱括家务劳动：）？</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17与他人的关系？</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18走路？</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19生活乐趣？</w:t>
            </w:r>
          </w:p>
        </w:tc>
        <w:tc>
          <w:tcPr>
            <w:tcW w:w="411"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w:t>
            </w:r>
          </w:p>
        </w:tc>
        <w:tc>
          <w:tcPr>
            <w:tcW w:w="613"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p>
        </w:tc>
        <w:tc>
          <w:tcPr>
            <w:tcW w:w="470"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p>
        </w:tc>
        <w:tc>
          <w:tcPr>
            <w:tcW w:w="414"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5</w:t>
            </w:r>
          </w:p>
        </w:tc>
        <w:tc>
          <w:tcPr>
            <w:tcW w:w="45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p>
        </w:tc>
        <w:tc>
          <w:tcPr>
            <w:tcW w:w="385"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w:t>
            </w:r>
          </w:p>
        </w:tc>
        <w:tc>
          <w:tcPr>
            <w:tcW w:w="428"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p>
        </w:tc>
        <w:tc>
          <w:tcPr>
            <w:tcW w:w="407"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p>
        </w:tc>
        <w:tc>
          <w:tcPr>
            <w:tcW w:w="526" w:type="dxa"/>
          </w:tcPr>
          <w:p>
            <w:pPr>
              <w:widowControl w:val="0"/>
              <w:jc w:val="both"/>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bl>
    <w:p>
      <w:pPr>
        <w:rPr>
          <w:rFonts w:hint="default"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注：评估过去24 小时癌症患者常见的十三种症状( 疼痛、疲乏、恶心、睡眠不安等) 的严重程度及其对生活方面的干扰程度。评估采用数字评分法以0~10分计分，0分表示无症状或对生活无干扰，10分表示能想象到最严重的症状或完全干扰，得分越高，代表症状越重。</w:t>
      </w:r>
    </w:p>
    <w:p>
      <w:pPr>
        <w:rPr>
          <w:rFonts w:ascii="Times New Roman" w:hAnsi="Times New Roman" w:eastAsia="宋体" w:cs="Times New Roman"/>
          <w:spacing w:val="-1"/>
          <w:sz w:val="21"/>
          <w:szCs w:val="21"/>
        </w:rPr>
      </w:pPr>
    </w:p>
    <w:p>
      <w:pPr>
        <w:rPr>
          <w:rFonts w:hint="default" w:ascii="Times New Roman" w:hAnsi="Times New Roman" w:eastAsia="宋体" w:cs="Times New Roman"/>
          <w:spacing w:val="-1"/>
          <w:sz w:val="21"/>
          <w:szCs w:val="21"/>
          <w:lang w:eastAsia="zh-CN"/>
        </w:rPr>
      </w:pPr>
    </w:p>
    <w:p>
      <w:pPr>
        <w:rPr>
          <w:rFonts w:hint="default" w:ascii="Times New Roman" w:hAnsi="Times New Roman" w:eastAsia="宋体" w:cs="Times New Roman"/>
          <w:spacing w:val="-1"/>
          <w:sz w:val="21"/>
          <w:szCs w:val="21"/>
          <w:lang w:eastAsia="zh-CN"/>
        </w:rPr>
      </w:pPr>
    </w:p>
    <w:p>
      <w:pPr>
        <w:rPr>
          <w:rFonts w:hint="default"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rPr>
          <w:rFonts w:hint="eastAsia" w:ascii="Times New Roman" w:hAnsi="Times New Roman" w:eastAsia="宋体" w:cs="Times New Roman"/>
          <w:spacing w:val="-1"/>
          <w:sz w:val="21"/>
          <w:szCs w:val="21"/>
          <w:lang w:eastAsia="zh-CN"/>
        </w:rPr>
      </w:pP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eastAsia="zh-CN"/>
        </w:rPr>
        <w:t>附录</w:t>
      </w:r>
      <w:r>
        <w:rPr>
          <w:rFonts w:hint="eastAsia" w:ascii="Times New Roman" w:hAnsi="Times New Roman" w:eastAsia="宋体" w:cs="Times New Roman"/>
          <w:spacing w:val="-1"/>
          <w:sz w:val="21"/>
          <w:szCs w:val="21"/>
          <w:lang w:val="en-US" w:eastAsia="zh-CN"/>
        </w:rPr>
        <w:t>E</w:t>
      </w: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（规范性）</w:t>
      </w:r>
    </w:p>
    <w:p>
      <w:pPr>
        <w:jc w:val="cente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心理评估</w:t>
      </w:r>
      <w:r>
        <w:rPr>
          <w:rFonts w:hint="eastAsia" w:ascii="Times New Roman" w:hAnsi="Times New Roman" w:eastAsia="宋体" w:cs="Times New Roman"/>
          <w:spacing w:val="-1"/>
          <w:sz w:val="21"/>
          <w:szCs w:val="21"/>
          <w:lang w:val="en-US" w:eastAsia="zh-CN"/>
        </w:rPr>
        <w:t>表</w:t>
      </w:r>
    </w:p>
    <w:p>
      <w:pPr>
        <w:rPr>
          <w:rFonts w:ascii="Times New Roman" w:hAnsi="Times New Roman" w:eastAsia="宋体" w:cs="Times New Roman"/>
          <w:spacing w:val="-1"/>
          <w:sz w:val="21"/>
          <w:szCs w:val="21"/>
        </w:rPr>
      </w:pPr>
      <w:r>
        <w:rPr>
          <w:rFonts w:ascii="Times New Roman" w:hAnsi="Times New Roman" w:eastAsia="宋体" w:cs="Times New Roman"/>
          <w:spacing w:val="-1"/>
          <w:sz w:val="21"/>
          <w:szCs w:val="21"/>
        </w:rPr>
        <w:t>心理</w:t>
      </w:r>
      <w:r>
        <w:rPr>
          <w:rFonts w:hint="eastAsia" w:ascii="Times New Roman" w:hAnsi="Times New Roman" w:eastAsia="宋体" w:cs="Times New Roman"/>
          <w:spacing w:val="-1"/>
          <w:sz w:val="21"/>
          <w:szCs w:val="21"/>
        </w:rPr>
        <w:t>痛苦</w:t>
      </w:r>
      <w:r>
        <w:rPr>
          <w:rFonts w:ascii="Times New Roman" w:hAnsi="Times New Roman" w:eastAsia="宋体" w:cs="Times New Roman"/>
          <w:spacing w:val="-1"/>
          <w:sz w:val="21"/>
          <w:szCs w:val="21"/>
        </w:rPr>
        <w:t>评估工具</w:t>
      </w:r>
      <w:r>
        <w:rPr>
          <w:rFonts w:hint="eastAsia" w:ascii="Times New Roman" w:hAnsi="Times New Roman" w:eastAsia="宋体" w:cs="Times New Roman"/>
          <w:spacing w:val="-1"/>
          <w:sz w:val="21"/>
          <w:szCs w:val="21"/>
        </w:rPr>
        <w:t>如</w:t>
      </w:r>
      <w:r>
        <w:rPr>
          <w:rFonts w:ascii="Times New Roman" w:hAnsi="Times New Roman" w:eastAsia="宋体" w:cs="Times New Roman"/>
          <w:spacing w:val="-1"/>
          <w:sz w:val="21"/>
          <w:szCs w:val="21"/>
        </w:rPr>
        <w:t>心理痛苦温度计</w:t>
      </w:r>
      <w:r>
        <w:rPr>
          <w:rFonts w:hint="eastAsia" w:ascii="Times New Roman" w:hAnsi="Times New Roman" w:eastAsia="宋体" w:cs="Times New Roman"/>
          <w:spacing w:val="-1"/>
          <w:sz w:val="21"/>
          <w:szCs w:val="21"/>
        </w:rPr>
        <w:t>。</w:t>
      </w:r>
    </w:p>
    <w:p>
      <w:pPr>
        <w:rPr>
          <w:rFonts w:hint="eastAsia" w:ascii="Times New Roman" w:hAnsi="Times New Roman" w:eastAsia="宋体" w:cs="Times New Roman"/>
          <w:spacing w:val="-1"/>
          <w:sz w:val="21"/>
          <w:szCs w:val="21"/>
        </w:rPr>
      </w:pPr>
      <w:r>
        <w:rPr>
          <w:rFonts w:ascii="Times New Roman" w:hAnsi="Times New Roman" w:eastAsia="宋体" w:cs="Times New Roman"/>
          <w:spacing w:val="-1"/>
          <w:sz w:val="21"/>
          <w:szCs w:val="21"/>
        </w:rPr>
        <w:t>首先，</w:t>
      </w:r>
      <w:r>
        <w:rPr>
          <w:rFonts w:hint="eastAsia" w:ascii="Times New Roman" w:hAnsi="Times New Roman" w:eastAsia="宋体" w:cs="Times New Roman"/>
          <w:spacing w:val="-1"/>
          <w:sz w:val="21"/>
          <w:szCs w:val="21"/>
          <w:lang w:val="en-US" w:eastAsia="zh-CN"/>
        </w:rPr>
        <w:t>如下图所示的</w:t>
      </w:r>
      <w:r>
        <w:rPr>
          <w:rFonts w:ascii="Times New Roman" w:hAnsi="Times New Roman" w:eastAsia="宋体" w:cs="Times New Roman"/>
          <w:spacing w:val="-1"/>
          <w:sz w:val="21"/>
          <w:szCs w:val="21"/>
        </w:rPr>
        <w:t>数字由0到10表示痛苦程度</w:t>
      </w:r>
      <w:r>
        <w:rPr>
          <w:rFonts w:hint="eastAsia" w:ascii="Times New Roman" w:hAnsi="Times New Roman" w:eastAsia="宋体" w:cs="Times New Roman"/>
          <w:spacing w:val="-1"/>
          <w:sz w:val="21"/>
          <w:szCs w:val="21"/>
        </w:rPr>
        <w:t>。</w:t>
      </w:r>
      <w:r>
        <w:rPr>
          <w:rFonts w:ascii="Times New Roman" w:hAnsi="Times New Roman" w:eastAsia="宋体" w:cs="Times New Roman"/>
          <w:spacing w:val="-1"/>
          <w:sz w:val="21"/>
          <w:szCs w:val="21"/>
        </w:rPr>
        <w:t>0代表无痛苦，10代表心理极度痛苦。请您选出最能体现您近期心理痛苦程度的数字，并在相应数字上画</w:t>
      </w:r>
      <w:r>
        <w:rPr>
          <w:rFonts w:hint="eastAsia" w:ascii="Times New Roman" w:hAnsi="Times New Roman" w:eastAsia="宋体" w:cs="Times New Roman"/>
          <w:spacing w:val="-1"/>
          <w:sz w:val="21"/>
          <w:szCs w:val="21"/>
        </w:rPr>
        <w:t>“√”。</w:t>
      </w:r>
    </w:p>
    <w:p>
      <w:pPr>
        <w:rPr>
          <w:rFonts w:hint="eastAsia" w:ascii="Times New Roman" w:hAnsi="Times New Roman" w:eastAsia="宋体" w:cs="Times New Roman"/>
          <w:spacing w:val="-1"/>
          <w:sz w:val="21"/>
          <w:szCs w:val="21"/>
        </w:rPr>
      </w:pPr>
    </w:p>
    <w:p>
      <w:pPr>
        <w:jc w:val="center"/>
        <w:rPr>
          <w:rFonts w:hint="eastAsia" w:ascii="Times New Roman" w:hAnsi="Times New Roman" w:eastAsia="宋体" w:cs="Times New Roman"/>
          <w:spacing w:val="-1"/>
          <w:sz w:val="21"/>
          <w:szCs w:val="21"/>
        </w:rPr>
      </w:pPr>
      <w:r>
        <w:rPr>
          <w:rFonts w:ascii="Times New Roman" w:hAnsi="Times New Roman" w:eastAsia="宋体" w:cs="Times New Roman"/>
          <w:spacing w:val="-1"/>
          <w:sz w:val="21"/>
          <w:szCs w:val="21"/>
        </w:rPr>
        <w:drawing>
          <wp:inline distT="0" distB="0" distL="114300" distR="114300">
            <wp:extent cx="2457450" cy="3054350"/>
            <wp:effectExtent l="0" t="0" r="635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7"/>
                    <a:stretch>
                      <a:fillRect/>
                    </a:stretch>
                  </pic:blipFill>
                  <pic:spPr>
                    <a:xfrm>
                      <a:off x="0" y="0"/>
                      <a:ext cx="2457450" cy="3054350"/>
                    </a:xfrm>
                    <a:prstGeom prst="rect">
                      <a:avLst/>
                    </a:prstGeom>
                    <a:noFill/>
                    <a:ln>
                      <a:noFill/>
                    </a:ln>
                  </pic:spPr>
                </pic:pic>
              </a:graphicData>
            </a:graphic>
          </wp:inline>
        </w:drawing>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可得出</w:t>
      </w:r>
      <w:r>
        <w:rPr>
          <w:rFonts w:ascii="Times New Roman" w:hAnsi="Times New Roman" w:eastAsia="宋体" w:cs="Times New Roman"/>
          <w:spacing w:val="-1"/>
          <w:sz w:val="21"/>
          <w:szCs w:val="21"/>
        </w:rPr>
        <w:t>心理痛苦得分：      分（若＞4分，则需评估一下问题列表）</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然后，</w:t>
      </w:r>
      <w:r>
        <w:rPr>
          <w:rFonts w:ascii="Times New Roman" w:hAnsi="Times New Roman" w:eastAsia="宋体" w:cs="Times New Roman"/>
          <w:spacing w:val="-1"/>
          <w:sz w:val="21"/>
          <w:szCs w:val="21"/>
        </w:rPr>
        <w:t>请逐个浏览每个分类下的所有项目，并根据您个人的具体情况，如果存在相应的问题，请在</w:t>
      </w:r>
      <w:r>
        <w:rPr>
          <w:rFonts w:hint="eastAsia" w:ascii="Times New Roman" w:hAnsi="Times New Roman" w:eastAsia="宋体" w:cs="Times New Roman"/>
          <w:spacing w:val="-1"/>
          <w:sz w:val="21"/>
          <w:szCs w:val="21"/>
        </w:rPr>
        <w:t>“有”的一栏上打“√”；如果不存在问题，请在“无”的一栏上打“√”。</w:t>
      </w:r>
    </w:p>
    <w:tbl>
      <w:tblPr>
        <w:tblStyle w:val="17"/>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2915"/>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6" w:type="dxa"/>
          </w:tcPr>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心理痛苦分数       分</w:t>
            </w:r>
          </w:p>
        </w:tc>
        <w:tc>
          <w:tcPr>
            <w:tcW w:w="2915" w:type="dxa"/>
          </w:tcPr>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评估日期             </w:t>
            </w:r>
          </w:p>
        </w:tc>
        <w:tc>
          <w:tcPr>
            <w:tcW w:w="2678" w:type="dxa"/>
          </w:tcPr>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是否初筛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686" w:type="dxa"/>
          </w:tcPr>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躯体方面的问题</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相关因素     有   无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外表改变     □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物质滥用     □   □               记忆∕注意力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沐浴∕穿衣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呼吸状况     □   □               恶心∕反胃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排尿改变     □   □               鼻腔干燥/充血□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便秘         □   □               疼痛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腹泻         □   □               性欲∕性功能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进食         □   □               皮肤干燥/发痒□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疲乏         □   □               睡眠状况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肢体肿胀     □   □               手脚麻刺感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发热         □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病后活动困难 □   □</w:t>
            </w:r>
          </w:p>
        </w:tc>
        <w:tc>
          <w:tcPr>
            <w:tcW w:w="2915" w:type="dxa"/>
          </w:tcPr>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（二）实际方面的问题</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相关因素          有    无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照顾孩子       □   □     外出交通不便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持家（料理家务） □    □          工作/学习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医疗费用问题    □    □          治疗决策          □    □</w:t>
            </w:r>
          </w:p>
          <w:p>
            <w:pPr>
              <w:widowControl w:val="0"/>
              <w:jc w:val="both"/>
              <w:rPr>
                <w:rFonts w:ascii="Times New Roman" w:hAnsi="Times New Roman" w:eastAsia="宋体" w:cs="Times New Roman"/>
                <w:spacing w:val="-1"/>
                <w:sz w:val="21"/>
                <w:szCs w:val="21"/>
              </w:rPr>
            </w:pP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情绪方面的问题</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相关因素       有    无           抑郁           □    □           紧张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恐惧           □    □           对日常活动失去兴趣□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悲伤           □    □           担忧           □    □  </w:t>
            </w:r>
          </w:p>
          <w:p>
            <w:pPr>
              <w:widowControl w:val="0"/>
              <w:jc w:val="both"/>
              <w:rPr>
                <w:rFonts w:ascii="Times New Roman" w:hAnsi="Times New Roman" w:eastAsia="宋体" w:cs="Times New Roman"/>
                <w:spacing w:val="-1"/>
                <w:sz w:val="21"/>
                <w:szCs w:val="21"/>
              </w:rPr>
            </w:pPr>
          </w:p>
        </w:tc>
        <w:tc>
          <w:tcPr>
            <w:tcW w:w="2678" w:type="dxa"/>
          </w:tcPr>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（四）家庭方面的问题</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 xml:space="preserve">相关因素     有    无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与配偶沟通   □    □           与子女沟通   □    □</w:t>
            </w: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与父母沟通   □    □           生育有无问题 □    □</w:t>
            </w:r>
          </w:p>
          <w:p>
            <w:pPr>
              <w:widowControl w:val="0"/>
              <w:jc w:val="both"/>
              <w:rPr>
                <w:rFonts w:ascii="Times New Roman" w:hAnsi="Times New Roman" w:eastAsia="宋体" w:cs="Times New Roman"/>
                <w:spacing w:val="-1"/>
                <w:sz w:val="21"/>
                <w:szCs w:val="21"/>
              </w:rPr>
            </w:pPr>
          </w:p>
          <w:p>
            <w:pPr>
              <w:widowControl w:val="0"/>
              <w:jc w:val="both"/>
              <w:rPr>
                <w:rFonts w:ascii="Times New Roman" w:hAnsi="Times New Roman" w:eastAsia="宋体" w:cs="Times New Roman"/>
                <w:spacing w:val="-1"/>
                <w:sz w:val="21"/>
                <w:szCs w:val="21"/>
              </w:rPr>
            </w:pPr>
          </w:p>
          <w:p>
            <w:pPr>
              <w:widowControl w:val="0"/>
              <w:jc w:val="both"/>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（五）精神∕宗教信仰的问题  □ 有   □ 无</w:t>
            </w:r>
          </w:p>
          <w:p>
            <w:pPr>
              <w:widowControl w:val="0"/>
              <w:jc w:val="both"/>
              <w:rPr>
                <w:rFonts w:ascii="Times New Roman" w:hAnsi="Times New Roman" w:eastAsia="宋体" w:cs="Times New Roman"/>
                <w:spacing w:val="-1"/>
                <w:sz w:val="21"/>
                <w:szCs w:val="21"/>
              </w:rPr>
            </w:pPr>
          </w:p>
        </w:tc>
      </w:tr>
    </w:tbl>
    <w:p>
      <w:pPr>
        <w:rPr>
          <w:rFonts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附录F</w:t>
      </w:r>
    </w:p>
    <w:p>
      <w:pPr>
        <w:jc w:val="cente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（规范性）</w:t>
      </w:r>
    </w:p>
    <w:p>
      <w:pPr>
        <w:jc w:val="cente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社会支持评定量表</w:t>
      </w:r>
    </w:p>
    <w:p>
      <w:pPr>
        <w:rPr>
          <w:rFonts w:hint="eastAsia" w:ascii="Times New Roman" w:hAnsi="Times New Roman" w:eastAsia="宋体" w:cs="Times New Roman"/>
          <w:spacing w:val="-1"/>
          <w:sz w:val="21"/>
          <w:szCs w:val="21"/>
        </w:rPr>
      </w:pP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下面的问题用于反映您在生活中所获得的支持，尤其是在照顾患者过程中。请根据您的实际情况填写，谢谢您的合作。</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您有多少关系密切、可以得到支持和帮助的朋友?(只选一项)</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①1个也没有</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②1~2个</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③3~5个</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④6个或6个以上</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近一年来您(只选一项)</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①远离家人，且独居一室</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②住处经常变动，多数时间和陌生人住在一起</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③和同学、同事或朋友住在一起</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④和家人住在一起</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您与邻居(只选一项)</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①相互之间从不关心，只是点头之交</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②遇到困难可能稍微关心</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③有些邻居很关心您</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④大多数邻居都很关心您</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4</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您与同事(只选一项)</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①相互之间从不关心，只是点头之交</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②遇到困难可能稍微关心</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③有些同事很关心您</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④大多数同事都很关心您</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从家庭成员得到的支持和照顾(在合适的栏内打“√”)</w:t>
      </w:r>
    </w:p>
    <w:p>
      <w:pPr>
        <w:rPr>
          <w:rFonts w:hint="default" w:ascii="Times New Roman" w:hAnsi="Times New Roman" w:eastAsia="宋体" w:cs="Times New Roman"/>
          <w:spacing w:val="-1"/>
          <w:sz w:val="21"/>
          <w:szCs w:val="21"/>
        </w:rPr>
      </w:pPr>
    </w:p>
    <w:p>
      <w:pPr>
        <w:rPr>
          <w:rFonts w:hint="default" w:ascii="Times New Roman" w:hAnsi="Times New Roman" w:eastAsia="宋体" w:cs="Times New Roman"/>
          <w:spacing w:val="-1"/>
          <w:sz w:val="21"/>
          <w:szCs w:val="21"/>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04" w:type="dxa"/>
          </w:tcPr>
          <w:p>
            <w:pPr>
              <w:widowControl w:val="0"/>
              <w:jc w:val="both"/>
              <w:rPr>
                <w:rFonts w:hint="default" w:ascii="Times New Roman" w:hAnsi="Times New Roman" w:eastAsia="宋体" w:cs="Times New Roman"/>
                <w:spacing w:val="-1"/>
                <w:sz w:val="21"/>
                <w:szCs w:val="21"/>
              </w:rPr>
            </w:pPr>
          </w:p>
        </w:tc>
        <w:tc>
          <w:tcPr>
            <w:tcW w:w="1704" w:type="dxa"/>
          </w:tcPr>
          <w:p>
            <w:pPr>
              <w:widowControl w:val="0"/>
              <w:jc w:val="both"/>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无</w:t>
            </w:r>
          </w:p>
        </w:tc>
        <w:tc>
          <w:tcPr>
            <w:tcW w:w="1704" w:type="dxa"/>
          </w:tcPr>
          <w:p>
            <w:pPr>
              <w:widowControl w:val="0"/>
              <w:jc w:val="both"/>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极少</w:t>
            </w:r>
          </w:p>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一般</w:t>
            </w:r>
          </w:p>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全力支持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jc w:val="both"/>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A夫妻(恋人)</w:t>
            </w:r>
          </w:p>
        </w:tc>
        <w:tc>
          <w:tcPr>
            <w:tcW w:w="1704" w:type="dxa"/>
          </w:tcPr>
          <w:p>
            <w:pPr>
              <w:widowControl w:val="0"/>
              <w:jc w:val="both"/>
              <w:rPr>
                <w:rFonts w:hint="default" w:ascii="Times New Roman" w:hAnsi="Times New Roman" w:eastAsia="宋体" w:cs="Times New Roman"/>
                <w:spacing w:val="-1"/>
                <w:sz w:val="21"/>
                <w:szCs w:val="21"/>
              </w:rPr>
            </w:pPr>
          </w:p>
        </w:tc>
        <w:tc>
          <w:tcPr>
            <w:tcW w:w="1704" w:type="dxa"/>
          </w:tcPr>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jc w:val="both"/>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B父母</w:t>
            </w:r>
          </w:p>
        </w:tc>
        <w:tc>
          <w:tcPr>
            <w:tcW w:w="1704" w:type="dxa"/>
          </w:tcPr>
          <w:p>
            <w:pPr>
              <w:widowControl w:val="0"/>
              <w:jc w:val="both"/>
              <w:rPr>
                <w:rFonts w:hint="default" w:ascii="Times New Roman" w:hAnsi="Times New Roman" w:eastAsia="宋体" w:cs="Times New Roman"/>
                <w:spacing w:val="-1"/>
                <w:sz w:val="21"/>
                <w:szCs w:val="21"/>
              </w:rPr>
            </w:pPr>
          </w:p>
        </w:tc>
        <w:tc>
          <w:tcPr>
            <w:tcW w:w="1704" w:type="dxa"/>
          </w:tcPr>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jc w:val="both"/>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C儿女</w:t>
            </w:r>
          </w:p>
        </w:tc>
        <w:tc>
          <w:tcPr>
            <w:tcW w:w="1704" w:type="dxa"/>
          </w:tcPr>
          <w:p>
            <w:pPr>
              <w:widowControl w:val="0"/>
              <w:jc w:val="both"/>
              <w:rPr>
                <w:rFonts w:hint="default" w:ascii="Times New Roman" w:hAnsi="Times New Roman" w:eastAsia="宋体" w:cs="Times New Roman"/>
                <w:spacing w:val="-1"/>
                <w:sz w:val="21"/>
                <w:szCs w:val="21"/>
              </w:rPr>
            </w:pPr>
          </w:p>
        </w:tc>
        <w:tc>
          <w:tcPr>
            <w:tcW w:w="1704" w:type="dxa"/>
          </w:tcPr>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jc w:val="both"/>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D兄弟姐妹</w:t>
            </w:r>
          </w:p>
        </w:tc>
        <w:tc>
          <w:tcPr>
            <w:tcW w:w="1704" w:type="dxa"/>
          </w:tcPr>
          <w:p>
            <w:pPr>
              <w:widowControl w:val="0"/>
              <w:jc w:val="both"/>
              <w:rPr>
                <w:rFonts w:hint="default" w:ascii="Times New Roman" w:hAnsi="Times New Roman" w:eastAsia="宋体" w:cs="Times New Roman"/>
                <w:spacing w:val="-1"/>
                <w:sz w:val="21"/>
                <w:szCs w:val="21"/>
              </w:rPr>
            </w:pPr>
          </w:p>
        </w:tc>
        <w:tc>
          <w:tcPr>
            <w:tcW w:w="1704" w:type="dxa"/>
          </w:tcPr>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jc w:val="both"/>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lang w:val="en-US" w:eastAsia="zh-CN"/>
              </w:rPr>
              <w:t>E其他成员</w:t>
            </w:r>
          </w:p>
        </w:tc>
        <w:tc>
          <w:tcPr>
            <w:tcW w:w="1704" w:type="dxa"/>
          </w:tcPr>
          <w:p>
            <w:pPr>
              <w:widowControl w:val="0"/>
              <w:jc w:val="both"/>
              <w:rPr>
                <w:rFonts w:hint="default" w:ascii="Times New Roman" w:hAnsi="Times New Roman" w:eastAsia="宋体" w:cs="Times New Roman"/>
                <w:spacing w:val="-1"/>
                <w:sz w:val="21"/>
                <w:szCs w:val="21"/>
              </w:rPr>
            </w:pPr>
          </w:p>
        </w:tc>
        <w:tc>
          <w:tcPr>
            <w:tcW w:w="1704" w:type="dxa"/>
          </w:tcPr>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p>
        </w:tc>
        <w:tc>
          <w:tcPr>
            <w:tcW w:w="1705" w:type="dxa"/>
          </w:tcPr>
          <w:p>
            <w:pPr>
              <w:widowControl w:val="0"/>
              <w:jc w:val="both"/>
              <w:rPr>
                <w:rFonts w:hint="default" w:ascii="Times New Roman" w:hAnsi="Times New Roman" w:eastAsia="宋体" w:cs="Times New Roman"/>
                <w:spacing w:val="-1"/>
                <w:sz w:val="21"/>
                <w:szCs w:val="21"/>
              </w:rPr>
            </w:pPr>
          </w:p>
        </w:tc>
      </w:tr>
    </w:tbl>
    <w:p>
      <w:pPr>
        <w:rPr>
          <w:rFonts w:hint="default" w:ascii="Times New Roman" w:hAnsi="Times New Roman" w:eastAsia="宋体" w:cs="Times New Roman"/>
          <w:spacing w:val="-1"/>
          <w:sz w:val="21"/>
          <w:szCs w:val="21"/>
        </w:rPr>
      </w:pP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过去，在您遇到急难情况时，曾经得到的经济支持或解决问题的帮助的来源有：①无任何来源；</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②下列来源(可选多项)</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A配偶</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B其他家人</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C朋友</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D亲戚</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E同志</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F工作单位</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G党团工会等官方或半官方组织</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H宗教、社会团体等非官方组织</w:t>
      </w:r>
    </w:p>
    <w:p>
      <w:pPr>
        <w:rPr>
          <w:rFonts w:hint="default" w:ascii="Times New Roman" w:hAnsi="Times New Roman" w:eastAsia="宋体" w:cs="Times New Roman"/>
          <w:spacing w:val="-1"/>
          <w:sz w:val="21"/>
          <w:szCs w:val="21"/>
          <w:lang w:val="en-US" w:eastAsia="zh-CN"/>
        </w:rPr>
      </w:pPr>
      <w:r>
        <w:rPr>
          <w:rFonts w:hint="default" w:ascii="Times New Roman" w:hAnsi="Times New Roman" w:eastAsia="宋体" w:cs="Times New Roman"/>
          <w:spacing w:val="-1"/>
          <w:sz w:val="21"/>
          <w:szCs w:val="21"/>
        </w:rPr>
        <w:t>1其他(请列出)</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lang w:val="en-US" w:eastAsia="zh-CN"/>
        </w:rPr>
        <w:t xml:space="preserve">             </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7过去，在您遇到急难情况时，曾经得到的安慰和关心的来源有：①无任何来源；</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②下列来源(可选多项)</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A配偶</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B其他家人</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C朋友</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D亲戚</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E同志</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F工作单位</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G党团工会等官方或半官方组织</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H宗教、社会团体等非官方组织</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lang w:val="en-US" w:eastAsia="zh-CN"/>
        </w:rPr>
        <w:t>I</w:t>
      </w:r>
      <w:r>
        <w:rPr>
          <w:rFonts w:hint="default" w:ascii="Times New Roman" w:hAnsi="Times New Roman" w:eastAsia="宋体" w:cs="Times New Roman"/>
          <w:spacing w:val="-1"/>
          <w:sz w:val="21"/>
          <w:szCs w:val="21"/>
        </w:rPr>
        <w:t>其他(请列出)</w:t>
      </w:r>
      <w:r>
        <w:rPr>
          <w:rFonts w:hint="default" w:ascii="Times New Roman" w:hAnsi="Times New Roman" w:eastAsia="宋体" w:cs="Times New Roman"/>
          <w:spacing w:val="-1"/>
          <w:sz w:val="21"/>
          <w:szCs w:val="21"/>
          <w:lang w:val="en-US" w:eastAsia="zh-CN"/>
        </w:rPr>
        <w:t xml:space="preserve">             </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当您遇到烦恼时的倾诉方式(只选一项)①从不向任何人倾诉</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②只向关系极为密切的1-2人倾诉</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③如果朋友主动询问您会说出来</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④主动诉说自己的烦恼，以获得支持和理解</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当您遇到烦恼时的求助方式(只选一项)①只靠自己，不接受别人帮助</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②很少请求别人帮助</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③有时请求别人帮助</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④有</w:t>
      </w:r>
      <w:r>
        <w:rPr>
          <w:rFonts w:hint="default" w:ascii="Times New Roman" w:hAnsi="Times New Roman" w:eastAsia="宋体" w:cs="Times New Roman"/>
          <w:spacing w:val="-1"/>
          <w:sz w:val="21"/>
          <w:szCs w:val="21"/>
          <w:lang w:val="en-US" w:eastAsia="zh-CN"/>
        </w:rPr>
        <w:t>困</w:t>
      </w:r>
      <w:r>
        <w:rPr>
          <w:rFonts w:hint="default" w:ascii="Times New Roman" w:hAnsi="Times New Roman" w:eastAsia="宋体" w:cs="Times New Roman"/>
          <w:spacing w:val="-1"/>
          <w:sz w:val="21"/>
          <w:szCs w:val="21"/>
        </w:rPr>
        <w:t>难时经常向家庭、亲友和组织求援</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对于团体(如党团组织、宗教组织、工会、学生会等)组织活动，您：(只选一项)</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①从不参加</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②偶尔参加</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③经常参加</w:t>
      </w:r>
    </w:p>
    <w:p>
      <w:pP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④主动参加并积极活动</w:t>
      </w: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hint="default" w:ascii="Times New Roman" w:hAnsi="Times New Roman" w:eastAsia="宋体" w:cs="Times New Roman"/>
          <w:spacing w:val="-1"/>
          <w:sz w:val="21"/>
          <w:szCs w:val="21"/>
          <w:lang w:eastAsia="zh-CN"/>
        </w:rPr>
      </w:pPr>
      <w:r>
        <w:rPr>
          <w:rFonts w:hint="eastAsia" w:ascii="Times New Roman" w:hAnsi="Times New Roman" w:eastAsia="宋体" w:cs="Times New Roman"/>
          <w:spacing w:val="-1"/>
          <w:sz w:val="21"/>
          <w:szCs w:val="21"/>
          <w:lang w:val="en-US" w:eastAsia="zh-CN"/>
        </w:rPr>
        <w:t>注：</w:t>
      </w:r>
      <w:r>
        <w:rPr>
          <w:rFonts w:hint="default" w:ascii="Times New Roman" w:hAnsi="Times New Roman" w:eastAsia="宋体" w:cs="Times New Roman"/>
          <w:spacing w:val="-1"/>
          <w:sz w:val="21"/>
          <w:szCs w:val="21"/>
          <w:lang w:eastAsia="zh-CN"/>
        </w:rPr>
        <w:t>选用肖水</w:t>
      </w:r>
      <w:r>
        <w:rPr>
          <w:rFonts w:hint="default" w:ascii="Times New Roman" w:hAnsi="Times New Roman" w:eastAsia="宋体" w:cs="Times New Roman"/>
          <w:spacing w:val="-1"/>
          <w:sz w:val="21"/>
          <w:szCs w:val="21"/>
          <w:lang w:val="en-US" w:eastAsia="zh-CN"/>
        </w:rPr>
        <w:t>源</w:t>
      </w:r>
      <w:r>
        <w:rPr>
          <w:rFonts w:hint="default" w:ascii="Times New Roman" w:hAnsi="Times New Roman" w:eastAsia="宋体" w:cs="Times New Roman"/>
          <w:spacing w:val="-1"/>
          <w:sz w:val="21"/>
          <w:szCs w:val="21"/>
          <w:lang w:eastAsia="zh-CN"/>
        </w:rPr>
        <w:t>编制的社会支持评定量表(Soeial Support Rating Scalc，SSRS)来评估家属照顾者的社会支持状况。该量表为自评量表，共10个条目，包括3个维度</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lang w:eastAsia="zh-CN"/>
        </w:rPr>
        <w:t>客观支持、主观支持、支持利用度。量表第1-4,8-10条目为单选题，按Likert 4级计分；第5条目共五个选项，每项从无到全力支持分别计1-4分；第6、7条目如回答</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lang w:eastAsia="zh-CN"/>
        </w:rPr>
        <w:t>无任何来源</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lang w:eastAsia="zh-CN"/>
        </w:rPr>
        <w:t>则为0分，反之有几个来源就计几分。总分范围为12-66分，分值越高说明社会支持水平越高。</w:t>
      </w:r>
    </w:p>
    <w:p>
      <w:pP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 xml:space="preserve"> </w:t>
      </w: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附录G</w:t>
      </w: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（资料性）</w:t>
      </w:r>
    </w:p>
    <w:p>
      <w:pPr>
        <w:jc w:val="center"/>
        <w:rPr>
          <w:rFonts w:hint="default"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安宁疗护病房准入标准</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1.准入标准：</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经医疗机构诊断为疾病终末期及年老者，经评估预计生存期≤6月；</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患者或家属有安宁疗护需求，接受安宁疗护。</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2.出院标准：</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rPr>
        <w:t>患者症状得到有效控制或患者和家属要求出院。</w:t>
      </w: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lang w:val="en-US" w:eastAsia="zh-CN"/>
        </w:rPr>
      </w:pPr>
    </w:p>
    <w:p>
      <w:pPr>
        <w:jc w:val="center"/>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参考文献</w:t>
      </w:r>
    </w:p>
    <w:p>
      <w:pPr>
        <w:rPr>
          <w:rFonts w:hint="eastAsia" w:ascii="Times New Roman" w:hAnsi="Times New Roman" w:eastAsia="宋体" w:cs="Times New Roman"/>
          <w:spacing w:val="-1"/>
          <w:sz w:val="21"/>
          <w:szCs w:val="21"/>
          <w:lang w:val="en-US" w:eastAsia="zh-CN"/>
        </w:rPr>
      </w:pP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[1]</w:t>
      </w:r>
      <w:r>
        <w:rPr>
          <w:rFonts w:hint="eastAsia" w:ascii="Times New Roman" w:hAnsi="Times New Roman" w:eastAsia="宋体" w:cs="Times New Roman"/>
          <w:spacing w:val="-1"/>
          <w:sz w:val="21"/>
          <w:szCs w:val="21"/>
        </w:rPr>
        <w:t>病历书写基本规范（卫医政发〔201</w:t>
      </w:r>
      <w:r>
        <w:rPr>
          <w:rFonts w:hint="eastAsia" w:ascii="Times New Roman" w:hAnsi="Times New Roman" w:eastAsia="宋体" w:cs="Times New Roman"/>
          <w:spacing w:val="-1"/>
          <w:sz w:val="21"/>
          <w:szCs w:val="21"/>
          <w:lang w:val="en-US" w:eastAsia="zh-CN"/>
        </w:rPr>
        <w:t>0</w:t>
      </w:r>
      <w:r>
        <w:rPr>
          <w:rFonts w:hint="eastAsia" w:ascii="Times New Roman" w:hAnsi="Times New Roman" w:eastAsia="宋体" w:cs="Times New Roman"/>
          <w:spacing w:val="-1"/>
          <w:sz w:val="21"/>
          <w:szCs w:val="21"/>
        </w:rPr>
        <w:t>〕11号）</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[2]</w:t>
      </w:r>
      <w:r>
        <w:rPr>
          <w:rFonts w:hint="eastAsia" w:ascii="Times New Roman" w:hAnsi="Times New Roman" w:eastAsia="宋体" w:cs="Times New Roman"/>
          <w:spacing w:val="-1"/>
          <w:sz w:val="21"/>
          <w:szCs w:val="21"/>
        </w:rPr>
        <w:t>电子病历应用管理规范（试行）国卫办医发〔2017〕8号</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[3]</w:t>
      </w:r>
      <w:r>
        <w:rPr>
          <w:rFonts w:hint="eastAsia" w:ascii="Times New Roman" w:hAnsi="Times New Roman" w:eastAsia="宋体" w:cs="Times New Roman"/>
          <w:spacing w:val="-1"/>
          <w:sz w:val="21"/>
          <w:szCs w:val="21"/>
        </w:rPr>
        <w:t>安宁疗护实践指南（试行）（国卫办医发〔2017〕5号）</w:t>
      </w:r>
    </w:p>
    <w:p>
      <w:pPr>
        <w:rPr>
          <w:rFonts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[4]</w:t>
      </w:r>
      <w:r>
        <w:rPr>
          <w:rFonts w:hint="eastAsia" w:ascii="Times New Roman" w:hAnsi="Times New Roman" w:eastAsia="宋体" w:cs="Times New Roman"/>
          <w:spacing w:val="-1"/>
          <w:sz w:val="21"/>
          <w:szCs w:val="21"/>
        </w:rPr>
        <w:t>安宁疗护中心基本标准和管理规范（试行）（国卫医发〔2017〕7号）</w:t>
      </w:r>
    </w:p>
    <w:p>
      <w:pPr>
        <w:rPr>
          <w:rFonts w:hint="eastAsia" w:ascii="Times New Roman" w:hAnsi="Times New Roman" w:eastAsia="宋体" w:cs="Times New Roman"/>
          <w:spacing w:val="-1"/>
          <w:sz w:val="21"/>
          <w:szCs w:val="21"/>
        </w:rPr>
      </w:pPr>
      <w:r>
        <w:rPr>
          <w:rFonts w:hint="eastAsia" w:ascii="Times New Roman" w:hAnsi="Times New Roman" w:eastAsia="宋体" w:cs="Times New Roman"/>
          <w:spacing w:val="-1"/>
          <w:sz w:val="21"/>
          <w:szCs w:val="21"/>
          <w:lang w:val="en-US" w:eastAsia="zh-CN"/>
        </w:rPr>
        <w:t>[5]</w:t>
      </w:r>
      <w:r>
        <w:rPr>
          <w:rFonts w:hint="eastAsia" w:ascii="Times New Roman" w:hAnsi="Times New Roman" w:eastAsia="宋体" w:cs="Times New Roman"/>
          <w:spacing w:val="-1"/>
          <w:sz w:val="21"/>
          <w:szCs w:val="21"/>
        </w:rPr>
        <w:t>开展第二批安宁疗护试点工作的通知 （国卫办老龄函〔2019〕483号）</w:t>
      </w:r>
    </w:p>
    <w:p>
      <w:pPr>
        <w:rPr>
          <w:rFonts w:hint="eastAsia" w:ascii="Times New Roman" w:hAnsi="Times New Roman" w:eastAsia="宋体" w:cs="Times New Roman"/>
          <w:spacing w:val="-1"/>
          <w:sz w:val="21"/>
          <w:szCs w:val="21"/>
        </w:rPr>
      </w:pPr>
    </w:p>
    <w:p>
      <w:pPr>
        <w:rPr>
          <w:rFonts w:hint="eastAsia" w:ascii="Times New Roman" w:hAnsi="Times New Roman" w:eastAsia="宋体" w:cs="Times New Roman"/>
          <w:spacing w:val="-1"/>
          <w:sz w:val="21"/>
          <w:szCs w:val="21"/>
        </w:rPr>
      </w:pPr>
    </w:p>
    <w:p>
      <w:pPr>
        <w:rPr>
          <w:rFonts w:ascii="Times New Roman" w:hAnsi="Times New Roman" w:eastAsia="宋体" w:cs="Times New Roman"/>
          <w:spacing w:val="-1"/>
          <w:sz w:val="21"/>
          <w:szCs w:val="21"/>
        </w:rPr>
      </w:pPr>
    </w:p>
    <w:sectPr>
      <w:headerReference r:id="rId11" w:type="default"/>
      <w:footerReference r:id="rId13" w:type="default"/>
      <w:headerReference r:id="rId12" w:type="even"/>
      <w:footerReference r:id="rId14" w:type="even"/>
      <w:pgSz w:w="11910" w:h="16840"/>
      <w:pgMar w:top="1417" w:right="1134" w:bottom="1134" w:left="1134" w:header="1247" w:footer="964" w:gutter="283"/>
      <w:cols w:space="0" w:num="1"/>
      <w:docGrid w:linePitch="29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黑体-简">
    <w:altName w:val="黑体"/>
    <w:panose1 w:val="00000000000000000000"/>
    <w:charset w:val="88"/>
    <w:family w:val="auto"/>
    <w:pitch w:val="default"/>
    <w:sig w:usb0="00000000" w:usb1="00000000" w:usb2="00000010" w:usb3="00000000" w:csb0="003E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fldChar w:fldCharType="begin"/>
    </w:r>
    <w:r>
      <w:instrText xml:space="preserve"> PAGE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0"/>
      <w:ind w:left="0"/>
      <w:rPr>
        <w:sz w:val="20"/>
      </w:rPr>
    </w:pPr>
    <w:r>
      <w:rPr>
        <w:sz w:val="20"/>
      </w:rPr>
      <w:pict>
        <v:shape id="_x0000_s2061" o:spid="_x0000_s2061"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left="0"/>
    </w:pPr>
    <w:r>
      <w:pict>
        <v:shape id="_x0000_s2060" o:spid="_x0000_s2060"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59"/>
                  <w:ind w:left="0"/>
                </w:pPr>
                <w:r>
                  <w:fldChar w:fldCharType="begin"/>
                </w:r>
                <w:r>
                  <w:instrText xml:space="preserve"> PAGE  \* MERGEFORMAT </w:instrText>
                </w:r>
                <w:r>
                  <w:fldChar w:fldCharType="separate"/>
                </w:r>
                <w:r>
                  <w:t>II</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rPr>
    </w:pPr>
    <w:r>
      <w:rPr>
        <w:sz w:val="20"/>
      </w:rPr>
      <w:pict>
        <v:shape id="_x0000_s2070" o:spid="_x0000_s2070"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2071" o:spid="_x0000_s2071"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t>DB43/ XXXXX—202</w:t>
    </w:r>
    <w:r>
      <w:rPr>
        <w:rFonts w:hint="eastAsia"/>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wordWrap w:val="0"/>
    </w:pPr>
    <w:r>
      <w:rPr>
        <w:rFonts w:hint="eastAsia"/>
      </w:rPr>
      <w:t xml:space="preserve">DB43/T   —2020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t>DB43/ XXXXX—</w:t>
    </w:r>
    <w:r>
      <w:rPr>
        <w:rFonts w:hint="eastAsia"/>
      </w:rPr>
      <w:t>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after="0"/>
    </w:pPr>
    <w:r>
      <w:t>DB43/ XXXXX—</w:t>
    </w:r>
    <w:r>
      <w:rPr>
        <w:rFonts w:hint="eastAsia"/>
      </w:rPr>
      <w:t>2021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after="0"/>
      <w:jc w:val="left"/>
      <w:rPr>
        <w:sz w:val="20"/>
      </w:rPr>
    </w:pPr>
    <w:r>
      <w:rPr>
        <w:rFonts w:hint="eastAsia"/>
        <w:sz w:val="20"/>
      </w:rPr>
      <w:t>DB43/ XXXXX—2021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96F0B"/>
    <w:multiLevelType w:val="multilevel"/>
    <w:tmpl w:val="69E96F0B"/>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pStyle w:val="28"/>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WFlNDJlMzkzZDc0OTU3YzJkNzcwZDRmNjJmYjcxZWYifQ=="/>
  </w:docVars>
  <w:rsids>
    <w:rsidRoot w:val="00D31D50"/>
    <w:rsid w:val="00022A7E"/>
    <w:rsid w:val="00026AAA"/>
    <w:rsid w:val="0003178A"/>
    <w:rsid w:val="00054D03"/>
    <w:rsid w:val="0005596C"/>
    <w:rsid w:val="000625B2"/>
    <w:rsid w:val="00076247"/>
    <w:rsid w:val="00096296"/>
    <w:rsid w:val="000A278C"/>
    <w:rsid w:val="000B14DB"/>
    <w:rsid w:val="000C0ED0"/>
    <w:rsid w:val="000C1290"/>
    <w:rsid w:val="000C6583"/>
    <w:rsid w:val="000D1DC2"/>
    <w:rsid w:val="000D7565"/>
    <w:rsid w:val="000D757C"/>
    <w:rsid w:val="000F283C"/>
    <w:rsid w:val="00101DC5"/>
    <w:rsid w:val="00105756"/>
    <w:rsid w:val="00115DC0"/>
    <w:rsid w:val="00121045"/>
    <w:rsid w:val="00121C54"/>
    <w:rsid w:val="00121DBF"/>
    <w:rsid w:val="00124772"/>
    <w:rsid w:val="001277DE"/>
    <w:rsid w:val="00131D6A"/>
    <w:rsid w:val="00133DDF"/>
    <w:rsid w:val="00135248"/>
    <w:rsid w:val="0013588F"/>
    <w:rsid w:val="001379FD"/>
    <w:rsid w:val="00137A1E"/>
    <w:rsid w:val="0014607C"/>
    <w:rsid w:val="00146331"/>
    <w:rsid w:val="00165E48"/>
    <w:rsid w:val="00184EEF"/>
    <w:rsid w:val="001921AE"/>
    <w:rsid w:val="00197F96"/>
    <w:rsid w:val="001B1C85"/>
    <w:rsid w:val="001B346B"/>
    <w:rsid w:val="001B39BF"/>
    <w:rsid w:val="001B3EEB"/>
    <w:rsid w:val="001B64E5"/>
    <w:rsid w:val="001E4552"/>
    <w:rsid w:val="001E51F0"/>
    <w:rsid w:val="001E6530"/>
    <w:rsid w:val="001F10FC"/>
    <w:rsid w:val="001F12DD"/>
    <w:rsid w:val="001F20C6"/>
    <w:rsid w:val="001F2CA0"/>
    <w:rsid w:val="002045D6"/>
    <w:rsid w:val="00205A9E"/>
    <w:rsid w:val="00215932"/>
    <w:rsid w:val="00230F5E"/>
    <w:rsid w:val="00243DAF"/>
    <w:rsid w:val="00245CCA"/>
    <w:rsid w:val="0025121E"/>
    <w:rsid w:val="00253D0C"/>
    <w:rsid w:val="00272BF0"/>
    <w:rsid w:val="00273034"/>
    <w:rsid w:val="002815DC"/>
    <w:rsid w:val="00282B49"/>
    <w:rsid w:val="002906E3"/>
    <w:rsid w:val="00292EA8"/>
    <w:rsid w:val="002A4D6F"/>
    <w:rsid w:val="002A73F0"/>
    <w:rsid w:val="002C2796"/>
    <w:rsid w:val="002C3B62"/>
    <w:rsid w:val="002D1E36"/>
    <w:rsid w:val="002E3525"/>
    <w:rsid w:val="002E3719"/>
    <w:rsid w:val="002E61AE"/>
    <w:rsid w:val="002F3A26"/>
    <w:rsid w:val="0030318F"/>
    <w:rsid w:val="00313B1F"/>
    <w:rsid w:val="00323B43"/>
    <w:rsid w:val="00336C69"/>
    <w:rsid w:val="0035166A"/>
    <w:rsid w:val="003536F5"/>
    <w:rsid w:val="00357BDA"/>
    <w:rsid w:val="00372CAF"/>
    <w:rsid w:val="00373F44"/>
    <w:rsid w:val="003768F0"/>
    <w:rsid w:val="00377746"/>
    <w:rsid w:val="00383E69"/>
    <w:rsid w:val="003A0CE1"/>
    <w:rsid w:val="003A344E"/>
    <w:rsid w:val="003A38F2"/>
    <w:rsid w:val="003A54C3"/>
    <w:rsid w:val="003B3E6F"/>
    <w:rsid w:val="003B72D3"/>
    <w:rsid w:val="003C15FE"/>
    <w:rsid w:val="003C57F7"/>
    <w:rsid w:val="003D37D8"/>
    <w:rsid w:val="003E01A7"/>
    <w:rsid w:val="003E0E84"/>
    <w:rsid w:val="003E4106"/>
    <w:rsid w:val="003F1C40"/>
    <w:rsid w:val="004037FB"/>
    <w:rsid w:val="004042E5"/>
    <w:rsid w:val="004117CF"/>
    <w:rsid w:val="00412FF7"/>
    <w:rsid w:val="00416216"/>
    <w:rsid w:val="004200FF"/>
    <w:rsid w:val="0042553D"/>
    <w:rsid w:val="00425775"/>
    <w:rsid w:val="00426133"/>
    <w:rsid w:val="00432197"/>
    <w:rsid w:val="004358AB"/>
    <w:rsid w:val="004424AE"/>
    <w:rsid w:val="00456D34"/>
    <w:rsid w:val="00464B78"/>
    <w:rsid w:val="004771AA"/>
    <w:rsid w:val="004825D6"/>
    <w:rsid w:val="00492DB2"/>
    <w:rsid w:val="004A3808"/>
    <w:rsid w:val="004A38CE"/>
    <w:rsid w:val="004A7DB8"/>
    <w:rsid w:val="004B0778"/>
    <w:rsid w:val="004B2ACB"/>
    <w:rsid w:val="004C0ED7"/>
    <w:rsid w:val="004C4BB3"/>
    <w:rsid w:val="004C630F"/>
    <w:rsid w:val="004E093C"/>
    <w:rsid w:val="004E0954"/>
    <w:rsid w:val="004E19F4"/>
    <w:rsid w:val="004F059F"/>
    <w:rsid w:val="004F3C1E"/>
    <w:rsid w:val="00513C09"/>
    <w:rsid w:val="0051453C"/>
    <w:rsid w:val="00527A38"/>
    <w:rsid w:val="005471D2"/>
    <w:rsid w:val="00553062"/>
    <w:rsid w:val="00554745"/>
    <w:rsid w:val="00560D65"/>
    <w:rsid w:val="00573C48"/>
    <w:rsid w:val="00574268"/>
    <w:rsid w:val="00575377"/>
    <w:rsid w:val="00586C20"/>
    <w:rsid w:val="005871CD"/>
    <w:rsid w:val="00595CA0"/>
    <w:rsid w:val="005A2121"/>
    <w:rsid w:val="005A2820"/>
    <w:rsid w:val="005B126C"/>
    <w:rsid w:val="005B49E4"/>
    <w:rsid w:val="005B6DC1"/>
    <w:rsid w:val="005B7E9C"/>
    <w:rsid w:val="005C55A4"/>
    <w:rsid w:val="005D4D3C"/>
    <w:rsid w:val="005E23C7"/>
    <w:rsid w:val="005E25EA"/>
    <w:rsid w:val="006000C5"/>
    <w:rsid w:val="00600F61"/>
    <w:rsid w:val="00603C07"/>
    <w:rsid w:val="00610711"/>
    <w:rsid w:val="00612927"/>
    <w:rsid w:val="00635EDA"/>
    <w:rsid w:val="00636DAF"/>
    <w:rsid w:val="0064344E"/>
    <w:rsid w:val="00645682"/>
    <w:rsid w:val="00657BB7"/>
    <w:rsid w:val="00684F14"/>
    <w:rsid w:val="0068614E"/>
    <w:rsid w:val="006863BC"/>
    <w:rsid w:val="006917B3"/>
    <w:rsid w:val="006A0A0A"/>
    <w:rsid w:val="006A5B96"/>
    <w:rsid w:val="006B0477"/>
    <w:rsid w:val="006B5FCE"/>
    <w:rsid w:val="006C35C8"/>
    <w:rsid w:val="006C4445"/>
    <w:rsid w:val="006C709D"/>
    <w:rsid w:val="006C7BBD"/>
    <w:rsid w:val="006D0AB2"/>
    <w:rsid w:val="006E0567"/>
    <w:rsid w:val="006E20E2"/>
    <w:rsid w:val="006E2777"/>
    <w:rsid w:val="006E5AFD"/>
    <w:rsid w:val="006E6C3D"/>
    <w:rsid w:val="006F30DF"/>
    <w:rsid w:val="006F4773"/>
    <w:rsid w:val="006F570C"/>
    <w:rsid w:val="00705D80"/>
    <w:rsid w:val="00711DF2"/>
    <w:rsid w:val="007154E8"/>
    <w:rsid w:val="00716675"/>
    <w:rsid w:val="00717627"/>
    <w:rsid w:val="007211FB"/>
    <w:rsid w:val="00723C48"/>
    <w:rsid w:val="00723E96"/>
    <w:rsid w:val="00730DFC"/>
    <w:rsid w:val="007457D1"/>
    <w:rsid w:val="00751341"/>
    <w:rsid w:val="00753AB3"/>
    <w:rsid w:val="00753AD3"/>
    <w:rsid w:val="007547E7"/>
    <w:rsid w:val="007557E4"/>
    <w:rsid w:val="0076037A"/>
    <w:rsid w:val="007662EB"/>
    <w:rsid w:val="007671D5"/>
    <w:rsid w:val="00772F25"/>
    <w:rsid w:val="00782979"/>
    <w:rsid w:val="00783807"/>
    <w:rsid w:val="00791212"/>
    <w:rsid w:val="007917DF"/>
    <w:rsid w:val="007B4AC7"/>
    <w:rsid w:val="007B76FB"/>
    <w:rsid w:val="007C76ED"/>
    <w:rsid w:val="007D6352"/>
    <w:rsid w:val="007E06B3"/>
    <w:rsid w:val="007F306E"/>
    <w:rsid w:val="007F7E6C"/>
    <w:rsid w:val="00827B4F"/>
    <w:rsid w:val="00830362"/>
    <w:rsid w:val="00830FA8"/>
    <w:rsid w:val="008338DC"/>
    <w:rsid w:val="00834FD4"/>
    <w:rsid w:val="008350DF"/>
    <w:rsid w:val="00835A8F"/>
    <w:rsid w:val="0084362C"/>
    <w:rsid w:val="00857E99"/>
    <w:rsid w:val="0086147C"/>
    <w:rsid w:val="008657EB"/>
    <w:rsid w:val="0087213E"/>
    <w:rsid w:val="0088186A"/>
    <w:rsid w:val="00897B95"/>
    <w:rsid w:val="008A3905"/>
    <w:rsid w:val="008A4FDB"/>
    <w:rsid w:val="008B7214"/>
    <w:rsid w:val="008B7726"/>
    <w:rsid w:val="008C3458"/>
    <w:rsid w:val="008D4DAB"/>
    <w:rsid w:val="008D6A61"/>
    <w:rsid w:val="008D7B40"/>
    <w:rsid w:val="008D7B61"/>
    <w:rsid w:val="008E3355"/>
    <w:rsid w:val="008E3571"/>
    <w:rsid w:val="008E4BAA"/>
    <w:rsid w:val="008E7460"/>
    <w:rsid w:val="008F7C10"/>
    <w:rsid w:val="009063DC"/>
    <w:rsid w:val="009075ED"/>
    <w:rsid w:val="00910D85"/>
    <w:rsid w:val="00912A75"/>
    <w:rsid w:val="009135F6"/>
    <w:rsid w:val="00927322"/>
    <w:rsid w:val="00930CB4"/>
    <w:rsid w:val="00944225"/>
    <w:rsid w:val="00945658"/>
    <w:rsid w:val="0094683B"/>
    <w:rsid w:val="00953118"/>
    <w:rsid w:val="00956DA1"/>
    <w:rsid w:val="009607FE"/>
    <w:rsid w:val="0096372B"/>
    <w:rsid w:val="0096450F"/>
    <w:rsid w:val="00970637"/>
    <w:rsid w:val="00987AAA"/>
    <w:rsid w:val="009908D8"/>
    <w:rsid w:val="00991E3C"/>
    <w:rsid w:val="009A0899"/>
    <w:rsid w:val="009A78F6"/>
    <w:rsid w:val="009B7532"/>
    <w:rsid w:val="009B7E6F"/>
    <w:rsid w:val="009E036B"/>
    <w:rsid w:val="009E0B4E"/>
    <w:rsid w:val="009E6706"/>
    <w:rsid w:val="009E7786"/>
    <w:rsid w:val="009F7857"/>
    <w:rsid w:val="00A10277"/>
    <w:rsid w:val="00A21EF0"/>
    <w:rsid w:val="00A24C99"/>
    <w:rsid w:val="00A30A73"/>
    <w:rsid w:val="00A34FB1"/>
    <w:rsid w:val="00A37F69"/>
    <w:rsid w:val="00A600E0"/>
    <w:rsid w:val="00A609F1"/>
    <w:rsid w:val="00A612AD"/>
    <w:rsid w:val="00A63A0F"/>
    <w:rsid w:val="00A64630"/>
    <w:rsid w:val="00A656F1"/>
    <w:rsid w:val="00A7152A"/>
    <w:rsid w:val="00A728A7"/>
    <w:rsid w:val="00A74542"/>
    <w:rsid w:val="00A80FF4"/>
    <w:rsid w:val="00A81295"/>
    <w:rsid w:val="00A823C4"/>
    <w:rsid w:val="00AA4F4B"/>
    <w:rsid w:val="00AB0845"/>
    <w:rsid w:val="00AB0D15"/>
    <w:rsid w:val="00AB6EA9"/>
    <w:rsid w:val="00AB708D"/>
    <w:rsid w:val="00AC154D"/>
    <w:rsid w:val="00AC277D"/>
    <w:rsid w:val="00AC4D47"/>
    <w:rsid w:val="00B47C64"/>
    <w:rsid w:val="00B515A5"/>
    <w:rsid w:val="00B52AD6"/>
    <w:rsid w:val="00B568AD"/>
    <w:rsid w:val="00B705D7"/>
    <w:rsid w:val="00B709C4"/>
    <w:rsid w:val="00B77591"/>
    <w:rsid w:val="00B8055F"/>
    <w:rsid w:val="00B814AA"/>
    <w:rsid w:val="00B836BB"/>
    <w:rsid w:val="00BA0A20"/>
    <w:rsid w:val="00BA37E0"/>
    <w:rsid w:val="00BA3AED"/>
    <w:rsid w:val="00BA52E6"/>
    <w:rsid w:val="00BB5C89"/>
    <w:rsid w:val="00BD0EF5"/>
    <w:rsid w:val="00BD49D8"/>
    <w:rsid w:val="00BE7C58"/>
    <w:rsid w:val="00C0044D"/>
    <w:rsid w:val="00C1028E"/>
    <w:rsid w:val="00C22382"/>
    <w:rsid w:val="00C22A5B"/>
    <w:rsid w:val="00C27AB2"/>
    <w:rsid w:val="00C45010"/>
    <w:rsid w:val="00C505D7"/>
    <w:rsid w:val="00C53FF0"/>
    <w:rsid w:val="00C57F00"/>
    <w:rsid w:val="00C62BA6"/>
    <w:rsid w:val="00C62FB8"/>
    <w:rsid w:val="00C636F8"/>
    <w:rsid w:val="00C7245E"/>
    <w:rsid w:val="00C84627"/>
    <w:rsid w:val="00C90925"/>
    <w:rsid w:val="00C925CF"/>
    <w:rsid w:val="00C92D16"/>
    <w:rsid w:val="00CA1CD2"/>
    <w:rsid w:val="00CA1D16"/>
    <w:rsid w:val="00CA68AC"/>
    <w:rsid w:val="00CB5A29"/>
    <w:rsid w:val="00CC6F45"/>
    <w:rsid w:val="00CC7440"/>
    <w:rsid w:val="00CD160B"/>
    <w:rsid w:val="00CD5EE6"/>
    <w:rsid w:val="00CD6878"/>
    <w:rsid w:val="00CF3FF4"/>
    <w:rsid w:val="00D03E28"/>
    <w:rsid w:val="00D20542"/>
    <w:rsid w:val="00D2264C"/>
    <w:rsid w:val="00D30B60"/>
    <w:rsid w:val="00D31D50"/>
    <w:rsid w:val="00D3454D"/>
    <w:rsid w:val="00D403A3"/>
    <w:rsid w:val="00D409A8"/>
    <w:rsid w:val="00D40C3E"/>
    <w:rsid w:val="00D5091C"/>
    <w:rsid w:val="00D5595F"/>
    <w:rsid w:val="00D60297"/>
    <w:rsid w:val="00D66EB2"/>
    <w:rsid w:val="00D677B5"/>
    <w:rsid w:val="00D67A03"/>
    <w:rsid w:val="00D724A1"/>
    <w:rsid w:val="00D84AF3"/>
    <w:rsid w:val="00D87A0D"/>
    <w:rsid w:val="00D90133"/>
    <w:rsid w:val="00D95E04"/>
    <w:rsid w:val="00D970F7"/>
    <w:rsid w:val="00DA3072"/>
    <w:rsid w:val="00DA320A"/>
    <w:rsid w:val="00DA4903"/>
    <w:rsid w:val="00DB1CEF"/>
    <w:rsid w:val="00DB41D3"/>
    <w:rsid w:val="00DD1545"/>
    <w:rsid w:val="00DD1F64"/>
    <w:rsid w:val="00DD4051"/>
    <w:rsid w:val="00DD5B9D"/>
    <w:rsid w:val="00DE2DA0"/>
    <w:rsid w:val="00DF211B"/>
    <w:rsid w:val="00DF6B8D"/>
    <w:rsid w:val="00E02E13"/>
    <w:rsid w:val="00E11C52"/>
    <w:rsid w:val="00E16D1C"/>
    <w:rsid w:val="00E2029A"/>
    <w:rsid w:val="00E22732"/>
    <w:rsid w:val="00E23FF8"/>
    <w:rsid w:val="00E2494A"/>
    <w:rsid w:val="00E37526"/>
    <w:rsid w:val="00E37605"/>
    <w:rsid w:val="00E40994"/>
    <w:rsid w:val="00E4402E"/>
    <w:rsid w:val="00E5248E"/>
    <w:rsid w:val="00E52E86"/>
    <w:rsid w:val="00E567BF"/>
    <w:rsid w:val="00E62136"/>
    <w:rsid w:val="00E77CFC"/>
    <w:rsid w:val="00E81969"/>
    <w:rsid w:val="00E84909"/>
    <w:rsid w:val="00E86F41"/>
    <w:rsid w:val="00E87CB6"/>
    <w:rsid w:val="00E97243"/>
    <w:rsid w:val="00EA4BFD"/>
    <w:rsid w:val="00EB0F6A"/>
    <w:rsid w:val="00EB4168"/>
    <w:rsid w:val="00EB7772"/>
    <w:rsid w:val="00EC0F62"/>
    <w:rsid w:val="00EC3560"/>
    <w:rsid w:val="00ED1D31"/>
    <w:rsid w:val="00EF5EF4"/>
    <w:rsid w:val="00EF7FBB"/>
    <w:rsid w:val="00F05E3C"/>
    <w:rsid w:val="00F13668"/>
    <w:rsid w:val="00F279CC"/>
    <w:rsid w:val="00F37916"/>
    <w:rsid w:val="00F46C5E"/>
    <w:rsid w:val="00F622A5"/>
    <w:rsid w:val="00F62A51"/>
    <w:rsid w:val="00F64338"/>
    <w:rsid w:val="00F6798D"/>
    <w:rsid w:val="00F8017A"/>
    <w:rsid w:val="00F814CB"/>
    <w:rsid w:val="00F82464"/>
    <w:rsid w:val="00F907AD"/>
    <w:rsid w:val="00F92F1D"/>
    <w:rsid w:val="00F948DA"/>
    <w:rsid w:val="00F96169"/>
    <w:rsid w:val="00FB0074"/>
    <w:rsid w:val="00FB146C"/>
    <w:rsid w:val="00FB6213"/>
    <w:rsid w:val="00FC7210"/>
    <w:rsid w:val="00FD06F0"/>
    <w:rsid w:val="00FD0A08"/>
    <w:rsid w:val="00FE3B72"/>
    <w:rsid w:val="00FE6757"/>
    <w:rsid w:val="00FF0683"/>
    <w:rsid w:val="00FF1FF5"/>
    <w:rsid w:val="00FF4F3F"/>
    <w:rsid w:val="00FF57FF"/>
    <w:rsid w:val="02767209"/>
    <w:rsid w:val="03322372"/>
    <w:rsid w:val="03345DAA"/>
    <w:rsid w:val="04C94CE9"/>
    <w:rsid w:val="055D2517"/>
    <w:rsid w:val="05DA3A9D"/>
    <w:rsid w:val="05FF67A0"/>
    <w:rsid w:val="067A7015"/>
    <w:rsid w:val="0754211B"/>
    <w:rsid w:val="078F0143"/>
    <w:rsid w:val="07E41DF1"/>
    <w:rsid w:val="08255EBC"/>
    <w:rsid w:val="08322119"/>
    <w:rsid w:val="0AB92ECE"/>
    <w:rsid w:val="0ABD2CD9"/>
    <w:rsid w:val="0B131B16"/>
    <w:rsid w:val="0B5C0337"/>
    <w:rsid w:val="0B5F526A"/>
    <w:rsid w:val="0B8C138D"/>
    <w:rsid w:val="0CB30211"/>
    <w:rsid w:val="0CC55FD3"/>
    <w:rsid w:val="0D756A75"/>
    <w:rsid w:val="0D8A7886"/>
    <w:rsid w:val="0DC43F13"/>
    <w:rsid w:val="0E333791"/>
    <w:rsid w:val="0F9856F8"/>
    <w:rsid w:val="1045329A"/>
    <w:rsid w:val="109E26AB"/>
    <w:rsid w:val="11B41A14"/>
    <w:rsid w:val="11B76B93"/>
    <w:rsid w:val="11BF3F11"/>
    <w:rsid w:val="11F036D1"/>
    <w:rsid w:val="12025113"/>
    <w:rsid w:val="1212430F"/>
    <w:rsid w:val="12252115"/>
    <w:rsid w:val="12274324"/>
    <w:rsid w:val="12656236"/>
    <w:rsid w:val="128B340A"/>
    <w:rsid w:val="1330120F"/>
    <w:rsid w:val="13580D46"/>
    <w:rsid w:val="141B51DB"/>
    <w:rsid w:val="163266EA"/>
    <w:rsid w:val="165E66DF"/>
    <w:rsid w:val="167608C0"/>
    <w:rsid w:val="16BE59B1"/>
    <w:rsid w:val="186E479F"/>
    <w:rsid w:val="18F75E14"/>
    <w:rsid w:val="1A4D62AF"/>
    <w:rsid w:val="1B1F351D"/>
    <w:rsid w:val="1C290C1E"/>
    <w:rsid w:val="1C7531CE"/>
    <w:rsid w:val="1CB249E3"/>
    <w:rsid w:val="1CF06806"/>
    <w:rsid w:val="1D4041FC"/>
    <w:rsid w:val="1D4F00DF"/>
    <w:rsid w:val="1DC64231"/>
    <w:rsid w:val="1E2A5309"/>
    <w:rsid w:val="1E574968"/>
    <w:rsid w:val="1E8F2C82"/>
    <w:rsid w:val="1ED01D01"/>
    <w:rsid w:val="20596671"/>
    <w:rsid w:val="20F90108"/>
    <w:rsid w:val="219814D6"/>
    <w:rsid w:val="21A2749A"/>
    <w:rsid w:val="21F26C8C"/>
    <w:rsid w:val="221B3F4A"/>
    <w:rsid w:val="228D62F5"/>
    <w:rsid w:val="22C562A7"/>
    <w:rsid w:val="233A5FC3"/>
    <w:rsid w:val="23403308"/>
    <w:rsid w:val="23D56D53"/>
    <w:rsid w:val="244628CC"/>
    <w:rsid w:val="24B16465"/>
    <w:rsid w:val="24C6039F"/>
    <w:rsid w:val="24CA6282"/>
    <w:rsid w:val="26275AD5"/>
    <w:rsid w:val="26572BB8"/>
    <w:rsid w:val="26647622"/>
    <w:rsid w:val="26761BC3"/>
    <w:rsid w:val="26D63A86"/>
    <w:rsid w:val="270E102F"/>
    <w:rsid w:val="274A5E0F"/>
    <w:rsid w:val="27760F78"/>
    <w:rsid w:val="27C15111"/>
    <w:rsid w:val="282510F3"/>
    <w:rsid w:val="29211E81"/>
    <w:rsid w:val="2A5E5035"/>
    <w:rsid w:val="2AF620E2"/>
    <w:rsid w:val="2B1D0D41"/>
    <w:rsid w:val="2B7A78CF"/>
    <w:rsid w:val="2BA339EE"/>
    <w:rsid w:val="2C682A44"/>
    <w:rsid w:val="2CCE0487"/>
    <w:rsid w:val="2CF4246E"/>
    <w:rsid w:val="2D1B6943"/>
    <w:rsid w:val="2D1E6DD8"/>
    <w:rsid w:val="2D680BA1"/>
    <w:rsid w:val="2DB0184F"/>
    <w:rsid w:val="2DC44ED8"/>
    <w:rsid w:val="2E0D6188"/>
    <w:rsid w:val="2E754DB5"/>
    <w:rsid w:val="2E7C1EE7"/>
    <w:rsid w:val="2EB826A2"/>
    <w:rsid w:val="2EBE121F"/>
    <w:rsid w:val="2ED86187"/>
    <w:rsid w:val="2EE1597E"/>
    <w:rsid w:val="2F057210"/>
    <w:rsid w:val="2F546F3E"/>
    <w:rsid w:val="2F5D7D82"/>
    <w:rsid w:val="2FD91129"/>
    <w:rsid w:val="30871318"/>
    <w:rsid w:val="30E3438B"/>
    <w:rsid w:val="30E9006F"/>
    <w:rsid w:val="310009AE"/>
    <w:rsid w:val="316C20DB"/>
    <w:rsid w:val="317602A8"/>
    <w:rsid w:val="31831CB7"/>
    <w:rsid w:val="32BB5CAC"/>
    <w:rsid w:val="32C161AE"/>
    <w:rsid w:val="32DB75A7"/>
    <w:rsid w:val="33051939"/>
    <w:rsid w:val="33B8124C"/>
    <w:rsid w:val="37333921"/>
    <w:rsid w:val="373D01F8"/>
    <w:rsid w:val="374C297D"/>
    <w:rsid w:val="376C4909"/>
    <w:rsid w:val="37AB0AD0"/>
    <w:rsid w:val="37D158AA"/>
    <w:rsid w:val="382A6177"/>
    <w:rsid w:val="38485A79"/>
    <w:rsid w:val="38CF35E8"/>
    <w:rsid w:val="393C18DA"/>
    <w:rsid w:val="393D7D4F"/>
    <w:rsid w:val="3A32366E"/>
    <w:rsid w:val="3A705048"/>
    <w:rsid w:val="3B0A6B5A"/>
    <w:rsid w:val="3C4E3232"/>
    <w:rsid w:val="3C9335D1"/>
    <w:rsid w:val="3D1E61BA"/>
    <w:rsid w:val="3DDB74AF"/>
    <w:rsid w:val="3EB3705E"/>
    <w:rsid w:val="3EC73ED5"/>
    <w:rsid w:val="3F434B93"/>
    <w:rsid w:val="3F4B37F5"/>
    <w:rsid w:val="3FC765EA"/>
    <w:rsid w:val="402211DA"/>
    <w:rsid w:val="40C17FB6"/>
    <w:rsid w:val="410B1FBB"/>
    <w:rsid w:val="411E2FD8"/>
    <w:rsid w:val="412F50D2"/>
    <w:rsid w:val="41C841BC"/>
    <w:rsid w:val="41D45BDF"/>
    <w:rsid w:val="421052AC"/>
    <w:rsid w:val="4286503B"/>
    <w:rsid w:val="42D04D46"/>
    <w:rsid w:val="434766B3"/>
    <w:rsid w:val="43B36A25"/>
    <w:rsid w:val="44AA4F7F"/>
    <w:rsid w:val="459C76B8"/>
    <w:rsid w:val="461E2417"/>
    <w:rsid w:val="47C3575D"/>
    <w:rsid w:val="48AF1E75"/>
    <w:rsid w:val="48B33A33"/>
    <w:rsid w:val="494831A3"/>
    <w:rsid w:val="4A097911"/>
    <w:rsid w:val="4AD80FC3"/>
    <w:rsid w:val="4B0D6BB1"/>
    <w:rsid w:val="4BCF35E2"/>
    <w:rsid w:val="4BD20358"/>
    <w:rsid w:val="4BD81920"/>
    <w:rsid w:val="4BFB3343"/>
    <w:rsid w:val="4BFD6338"/>
    <w:rsid w:val="4C2F32BA"/>
    <w:rsid w:val="4C4C5EC4"/>
    <w:rsid w:val="4CB332E8"/>
    <w:rsid w:val="4E284939"/>
    <w:rsid w:val="4E652931"/>
    <w:rsid w:val="4E6B4FBA"/>
    <w:rsid w:val="4E7576BC"/>
    <w:rsid w:val="4ED01898"/>
    <w:rsid w:val="4FDE41C0"/>
    <w:rsid w:val="500D0320"/>
    <w:rsid w:val="502D27E8"/>
    <w:rsid w:val="50337261"/>
    <w:rsid w:val="513C5931"/>
    <w:rsid w:val="51422E7D"/>
    <w:rsid w:val="51BC3A40"/>
    <w:rsid w:val="52555E7D"/>
    <w:rsid w:val="525C6396"/>
    <w:rsid w:val="5269590A"/>
    <w:rsid w:val="52E921C4"/>
    <w:rsid w:val="531D19AB"/>
    <w:rsid w:val="53471D37"/>
    <w:rsid w:val="53EE6869"/>
    <w:rsid w:val="549A7C10"/>
    <w:rsid w:val="549E61BB"/>
    <w:rsid w:val="556C451B"/>
    <w:rsid w:val="55B913F5"/>
    <w:rsid w:val="55DE2E38"/>
    <w:rsid w:val="56790D0F"/>
    <w:rsid w:val="56BA42D9"/>
    <w:rsid w:val="576931DE"/>
    <w:rsid w:val="579D19A0"/>
    <w:rsid w:val="58C04010"/>
    <w:rsid w:val="59B406DB"/>
    <w:rsid w:val="5A4C4641"/>
    <w:rsid w:val="5AA23CF6"/>
    <w:rsid w:val="5AC70ADF"/>
    <w:rsid w:val="5AE90137"/>
    <w:rsid w:val="5AF16048"/>
    <w:rsid w:val="5B314532"/>
    <w:rsid w:val="5B59715B"/>
    <w:rsid w:val="5B9A2BB4"/>
    <w:rsid w:val="5C87267E"/>
    <w:rsid w:val="5CD144E8"/>
    <w:rsid w:val="5DAE5CB5"/>
    <w:rsid w:val="5DE87DA3"/>
    <w:rsid w:val="5F4E1EA0"/>
    <w:rsid w:val="60625DC2"/>
    <w:rsid w:val="60C50D69"/>
    <w:rsid w:val="61505C50"/>
    <w:rsid w:val="6263559B"/>
    <w:rsid w:val="63E67570"/>
    <w:rsid w:val="63E977BF"/>
    <w:rsid w:val="64A64340"/>
    <w:rsid w:val="67CD5FD9"/>
    <w:rsid w:val="689E4E1F"/>
    <w:rsid w:val="69AE2F6F"/>
    <w:rsid w:val="69B96D2E"/>
    <w:rsid w:val="6A127955"/>
    <w:rsid w:val="6A690621"/>
    <w:rsid w:val="6B4353B3"/>
    <w:rsid w:val="6B8A55FC"/>
    <w:rsid w:val="6B94292D"/>
    <w:rsid w:val="6BAF672D"/>
    <w:rsid w:val="6C03585F"/>
    <w:rsid w:val="6C7039EB"/>
    <w:rsid w:val="6C9B701C"/>
    <w:rsid w:val="6D7A5EC7"/>
    <w:rsid w:val="6E00312E"/>
    <w:rsid w:val="6E587628"/>
    <w:rsid w:val="6EDB4BB5"/>
    <w:rsid w:val="70106B54"/>
    <w:rsid w:val="702458C1"/>
    <w:rsid w:val="70A4108E"/>
    <w:rsid w:val="715334AA"/>
    <w:rsid w:val="71632723"/>
    <w:rsid w:val="71CB0A58"/>
    <w:rsid w:val="71D420A1"/>
    <w:rsid w:val="71F53F08"/>
    <w:rsid w:val="71F620DF"/>
    <w:rsid w:val="721176A6"/>
    <w:rsid w:val="72422F35"/>
    <w:rsid w:val="73012F7C"/>
    <w:rsid w:val="732A0D86"/>
    <w:rsid w:val="736B08D4"/>
    <w:rsid w:val="73A6633A"/>
    <w:rsid w:val="73BC109A"/>
    <w:rsid w:val="73D025BE"/>
    <w:rsid w:val="73E465A4"/>
    <w:rsid w:val="74600137"/>
    <w:rsid w:val="746702F4"/>
    <w:rsid w:val="756037CB"/>
    <w:rsid w:val="75653612"/>
    <w:rsid w:val="76220B22"/>
    <w:rsid w:val="79871CFD"/>
    <w:rsid w:val="79BD1C38"/>
    <w:rsid w:val="79D262F1"/>
    <w:rsid w:val="7A18697A"/>
    <w:rsid w:val="7A5622D3"/>
    <w:rsid w:val="7AD85BDB"/>
    <w:rsid w:val="7B293562"/>
    <w:rsid w:val="7B9D78C6"/>
    <w:rsid w:val="7BA2126D"/>
    <w:rsid w:val="7BAA7E0A"/>
    <w:rsid w:val="7BDF5408"/>
    <w:rsid w:val="7BEB0074"/>
    <w:rsid w:val="7C59001F"/>
    <w:rsid w:val="7C682070"/>
    <w:rsid w:val="7C723CA5"/>
    <w:rsid w:val="7D092F6A"/>
    <w:rsid w:val="7DC62AAD"/>
    <w:rsid w:val="7DFB6BBB"/>
    <w:rsid w:val="7E0A3CF0"/>
    <w:rsid w:val="7F095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qFormat="1" w:uiPriority="39" w:name="toc 2"/>
    <w:lsdException w:uiPriority="39" w:name="toc 3"/>
    <w:lsdException w:qFormat="1" w:uiPriority="39" w:name="toc 4"/>
    <w:lsdException w:qFormat="1" w:uiPriority="39" w:name="toc 5"/>
    <w:lsdException w:uiPriority="39" w:name="toc 6"/>
    <w:lsdException w:qFormat="1" w:uiPriority="39" w:name="toc 7"/>
    <w:lsdException w:qFormat="1"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1"/>
    <w:qFormat/>
    <w:uiPriority w:val="9"/>
    <w:pPr>
      <w:keepNext/>
      <w:keepLines/>
      <w:numPr>
        <w:ilvl w:val="0"/>
        <w:numId w:val="1"/>
      </w:numPr>
      <w:adjustRightInd/>
      <w:snapToGrid/>
      <w:spacing w:after="0" w:line="578" w:lineRule="auto"/>
      <w:outlineLvl w:val="0"/>
    </w:pPr>
    <w:rPr>
      <w:rFonts w:ascii="Times New Roman" w:hAnsi="Times New Roman" w:eastAsia="黑体-简" w:cs="Times New Roman"/>
      <w:b/>
      <w:bCs/>
      <w:kern w:val="44"/>
      <w:sz w:val="24"/>
      <w:szCs w:val="44"/>
    </w:rPr>
  </w:style>
  <w:style w:type="paragraph" w:styleId="3">
    <w:name w:val="heading 2"/>
    <w:basedOn w:val="1"/>
    <w:next w:val="1"/>
    <w:link w:val="22"/>
    <w:unhideWhenUsed/>
    <w:qFormat/>
    <w:uiPriority w:val="9"/>
    <w:pPr>
      <w:keepNext/>
      <w:keepLines/>
      <w:numPr>
        <w:ilvl w:val="1"/>
        <w:numId w:val="1"/>
      </w:numPr>
      <w:adjustRightInd/>
      <w:snapToGrid/>
      <w:spacing w:after="0" w:line="415" w:lineRule="auto"/>
      <w:outlineLvl w:val="1"/>
    </w:pPr>
    <w:rPr>
      <w:rFonts w:eastAsia="黑体-简" w:asciiTheme="majorHAnsi" w:hAnsiTheme="majorHAnsi" w:cstheme="majorBidi"/>
      <w:b/>
      <w:bCs/>
      <w:sz w:val="24"/>
      <w:szCs w:val="32"/>
    </w:rPr>
  </w:style>
  <w:style w:type="paragraph" w:styleId="4">
    <w:name w:val="heading 3"/>
    <w:basedOn w:val="1"/>
    <w:next w:val="1"/>
    <w:link w:val="29"/>
    <w:unhideWhenUsed/>
    <w:qFormat/>
    <w:uiPriority w:val="9"/>
    <w:pPr>
      <w:keepNext/>
      <w:keepLines/>
      <w:widowControl w:val="0"/>
      <w:adjustRightInd/>
      <w:snapToGrid/>
      <w:spacing w:before="260" w:after="260" w:line="416" w:lineRule="auto"/>
      <w:jc w:val="both"/>
      <w:outlineLvl w:val="2"/>
    </w:pPr>
    <w:rPr>
      <w:rFonts w:asciiTheme="minorHAnsi" w:hAnsiTheme="minorHAnsi" w:eastAsiaTheme="minorEastAsia"/>
      <w:b/>
      <w:bCs/>
      <w:kern w:val="2"/>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2"/>
    <w:unhideWhenUsed/>
    <w:qFormat/>
    <w:uiPriority w:val="99"/>
    <w:pPr>
      <w:widowControl w:val="0"/>
      <w:adjustRightInd/>
      <w:snapToGrid/>
      <w:spacing w:after="0"/>
      <w:jc w:val="both"/>
    </w:pPr>
    <w:rPr>
      <w:rFonts w:ascii="宋体" w:eastAsia="宋体" w:hAnsiTheme="minorHAnsi"/>
      <w:kern w:val="2"/>
      <w:sz w:val="18"/>
      <w:szCs w:val="18"/>
    </w:rPr>
  </w:style>
  <w:style w:type="paragraph" w:styleId="6">
    <w:name w:val="annotation text"/>
    <w:basedOn w:val="1"/>
    <w:link w:val="30"/>
    <w:unhideWhenUsed/>
    <w:qFormat/>
    <w:uiPriority w:val="99"/>
  </w:style>
  <w:style w:type="paragraph" w:styleId="7">
    <w:name w:val="Body Text"/>
    <w:basedOn w:val="1"/>
    <w:link w:val="25"/>
    <w:qFormat/>
    <w:uiPriority w:val="1"/>
    <w:pPr>
      <w:widowControl w:val="0"/>
      <w:autoSpaceDE w:val="0"/>
      <w:autoSpaceDN w:val="0"/>
      <w:adjustRightInd/>
      <w:snapToGrid/>
      <w:spacing w:after="0"/>
    </w:pPr>
    <w:rPr>
      <w:rFonts w:ascii="宋体" w:hAnsi="宋体" w:eastAsia="宋体" w:cs="宋体"/>
      <w:sz w:val="21"/>
      <w:szCs w:val="21"/>
      <w:lang w:eastAsia="en-US"/>
    </w:rPr>
  </w:style>
  <w:style w:type="paragraph" w:styleId="8">
    <w:name w:val="Date"/>
    <w:basedOn w:val="1"/>
    <w:next w:val="1"/>
    <w:link w:val="33"/>
    <w:unhideWhenUsed/>
    <w:qFormat/>
    <w:uiPriority w:val="99"/>
    <w:pPr>
      <w:widowControl w:val="0"/>
      <w:adjustRightInd/>
      <w:snapToGrid/>
      <w:spacing w:after="0"/>
      <w:ind w:left="100" w:leftChars="2500"/>
      <w:jc w:val="both"/>
    </w:pPr>
    <w:rPr>
      <w:rFonts w:asciiTheme="minorHAnsi" w:hAnsiTheme="minorHAnsi" w:eastAsiaTheme="minorEastAsia"/>
      <w:kern w:val="2"/>
      <w:sz w:val="21"/>
    </w:rPr>
  </w:style>
  <w:style w:type="paragraph" w:styleId="9">
    <w:name w:val="Balloon Text"/>
    <w:basedOn w:val="1"/>
    <w:link w:val="34"/>
    <w:unhideWhenUsed/>
    <w:qFormat/>
    <w:uiPriority w:val="99"/>
    <w:pPr>
      <w:widowControl w:val="0"/>
      <w:adjustRightInd/>
      <w:snapToGrid/>
      <w:spacing w:after="0"/>
      <w:jc w:val="both"/>
    </w:pPr>
    <w:rPr>
      <w:rFonts w:asciiTheme="minorHAnsi" w:hAnsiTheme="minorHAnsi" w:eastAsiaTheme="minorEastAsia"/>
      <w:kern w:val="2"/>
      <w:sz w:val="16"/>
      <w:szCs w:val="16"/>
    </w:rPr>
  </w:style>
  <w:style w:type="paragraph" w:styleId="10">
    <w:name w:val="footer"/>
    <w:basedOn w:val="1"/>
    <w:link w:val="24"/>
    <w:unhideWhenUsed/>
    <w:qFormat/>
    <w:uiPriority w:val="99"/>
    <w:pPr>
      <w:tabs>
        <w:tab w:val="center" w:pos="4153"/>
        <w:tab w:val="right" w:pos="8306"/>
      </w:tabs>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iPriority w:val="0"/>
    <w:pPr>
      <w:tabs>
        <w:tab w:val="right" w:leader="dot" w:pos="9241"/>
      </w:tabs>
      <w:spacing w:beforeLines="25" w:afterLines="25"/>
    </w:pPr>
    <w:rPr>
      <w:rFonts w:ascii="宋体"/>
      <w:szCs w:val="21"/>
    </w:rPr>
  </w:style>
  <w:style w:type="paragraph" w:styleId="13">
    <w:name w:val="Body Text 2"/>
    <w:basedOn w:val="1"/>
    <w:link w:val="35"/>
    <w:qFormat/>
    <w:uiPriority w:val="0"/>
    <w:pPr>
      <w:widowControl w:val="0"/>
      <w:snapToGrid/>
      <w:spacing w:after="0" w:line="360" w:lineRule="auto"/>
      <w:jc w:val="both"/>
    </w:pPr>
    <w:rPr>
      <w:rFonts w:hint="eastAsia" w:ascii="宋体" w:hAnsi="宋体" w:eastAsia="宋体" w:cs="Times New Roman"/>
      <w:color w:val="FF6600"/>
      <w:sz w:val="21"/>
      <w:szCs w:val="20"/>
    </w:rPr>
  </w:style>
  <w:style w:type="paragraph" w:styleId="1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5">
    <w:name w:val="annotation subject"/>
    <w:basedOn w:val="6"/>
    <w:next w:val="6"/>
    <w:link w:val="31"/>
    <w:unhideWhenUsed/>
    <w:qFormat/>
    <w:uiPriority w:val="99"/>
    <w:pPr>
      <w:widowControl w:val="0"/>
      <w:adjustRightInd/>
      <w:snapToGrid/>
      <w:spacing w:after="0"/>
    </w:pPr>
    <w:rPr>
      <w:rFonts w:asciiTheme="minorHAnsi" w:hAnsiTheme="minorHAnsi" w:eastAsiaTheme="minorEastAsia"/>
      <w:b/>
      <w:bCs/>
      <w:kern w:val="2"/>
      <w:sz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Hyperlink"/>
    <w:basedOn w:val="18"/>
    <w:qFormat/>
    <w:uiPriority w:val="0"/>
    <w:rPr>
      <w:rFonts w:ascii="Times New Roman" w:hAnsi="Times New Roman" w:eastAsia="宋体" w:cs="Times New Roman"/>
      <w:color w:val="0000FF"/>
      <w:spacing w:val="0"/>
      <w:w w:val="100"/>
      <w:szCs w:val="21"/>
      <w:u w:val="single"/>
    </w:rPr>
  </w:style>
  <w:style w:type="character" w:customStyle="1" w:styleId="21">
    <w:name w:val="标题 1 Char"/>
    <w:basedOn w:val="18"/>
    <w:link w:val="2"/>
    <w:qFormat/>
    <w:uiPriority w:val="9"/>
    <w:rPr>
      <w:rFonts w:ascii="Times New Roman" w:hAnsi="Times New Roman" w:eastAsia="黑体-简" w:cs="Times New Roman"/>
      <w:b/>
      <w:bCs/>
      <w:kern w:val="44"/>
      <w:sz w:val="24"/>
      <w:szCs w:val="44"/>
    </w:rPr>
  </w:style>
  <w:style w:type="character" w:customStyle="1" w:styleId="22">
    <w:name w:val="标题 2 Char"/>
    <w:basedOn w:val="18"/>
    <w:link w:val="3"/>
    <w:qFormat/>
    <w:uiPriority w:val="9"/>
    <w:rPr>
      <w:rFonts w:eastAsia="黑体-简" w:asciiTheme="majorHAnsi" w:hAnsiTheme="majorHAnsi" w:cstheme="majorBidi"/>
      <w:b/>
      <w:bCs/>
      <w:sz w:val="24"/>
      <w:szCs w:val="32"/>
    </w:rPr>
  </w:style>
  <w:style w:type="character" w:customStyle="1" w:styleId="23">
    <w:name w:val="页眉 Char"/>
    <w:basedOn w:val="18"/>
    <w:link w:val="11"/>
    <w:qFormat/>
    <w:uiPriority w:val="99"/>
    <w:rPr>
      <w:rFonts w:ascii="Tahoma" w:hAnsi="Tahoma"/>
      <w:sz w:val="18"/>
      <w:szCs w:val="18"/>
    </w:rPr>
  </w:style>
  <w:style w:type="character" w:customStyle="1" w:styleId="24">
    <w:name w:val="页脚 Char"/>
    <w:basedOn w:val="18"/>
    <w:link w:val="10"/>
    <w:qFormat/>
    <w:uiPriority w:val="99"/>
    <w:rPr>
      <w:rFonts w:ascii="Tahoma" w:hAnsi="Tahoma"/>
      <w:sz w:val="18"/>
      <w:szCs w:val="18"/>
    </w:rPr>
  </w:style>
  <w:style w:type="character" w:customStyle="1" w:styleId="25">
    <w:name w:val="正文文本 Char"/>
    <w:basedOn w:val="18"/>
    <w:link w:val="7"/>
    <w:qFormat/>
    <w:uiPriority w:val="1"/>
    <w:rPr>
      <w:rFonts w:ascii="宋体" w:hAnsi="宋体" w:eastAsia="宋体" w:cs="宋体"/>
      <w:sz w:val="21"/>
      <w:szCs w:val="21"/>
      <w:lang w:eastAsia="en-US"/>
    </w:rPr>
  </w:style>
  <w:style w:type="paragraph" w:customStyle="1" w:styleId="26">
    <w:name w:val="标题 11"/>
    <w:basedOn w:val="1"/>
    <w:qFormat/>
    <w:uiPriority w:val="1"/>
    <w:pPr>
      <w:widowControl w:val="0"/>
      <w:autoSpaceDE w:val="0"/>
      <w:autoSpaceDN w:val="0"/>
      <w:adjustRightInd/>
      <w:snapToGrid/>
      <w:spacing w:before="56" w:after="0"/>
      <w:ind w:right="33"/>
      <w:jc w:val="center"/>
      <w:outlineLvl w:val="1"/>
    </w:pPr>
    <w:rPr>
      <w:rFonts w:ascii="黑体" w:hAnsi="黑体" w:eastAsia="黑体" w:cs="黑体"/>
      <w:sz w:val="32"/>
      <w:szCs w:val="32"/>
      <w:lang w:eastAsia="en-US"/>
    </w:rPr>
  </w:style>
  <w:style w:type="paragraph" w:styleId="27">
    <w:name w:val="List Paragraph"/>
    <w:basedOn w:val="1"/>
    <w:qFormat/>
    <w:uiPriority w:val="1"/>
    <w:pPr>
      <w:widowControl w:val="0"/>
      <w:autoSpaceDE w:val="0"/>
      <w:autoSpaceDN w:val="0"/>
      <w:adjustRightInd/>
      <w:snapToGrid/>
      <w:spacing w:after="0"/>
      <w:ind w:left="1132" w:hanging="736"/>
    </w:pPr>
    <w:rPr>
      <w:rFonts w:ascii="宋体" w:hAnsi="宋体" w:eastAsia="宋体" w:cs="宋体"/>
      <w:lang w:eastAsia="en-US"/>
    </w:rPr>
  </w:style>
  <w:style w:type="paragraph" w:customStyle="1" w:styleId="28">
    <w:name w:val="二级无"/>
    <w:basedOn w:val="1"/>
    <w:qFormat/>
    <w:uiPriority w:val="0"/>
    <w:pPr>
      <w:numPr>
        <w:ilvl w:val="2"/>
        <w:numId w:val="1"/>
      </w:numPr>
      <w:adjustRightInd/>
      <w:snapToGrid/>
      <w:spacing w:before="50" w:after="50"/>
      <w:outlineLvl w:val="3"/>
    </w:pPr>
    <w:rPr>
      <w:rFonts w:ascii="宋体" w:hAnsi="Times New Roman" w:eastAsia="宋体" w:cs="Times New Roman"/>
      <w:sz w:val="21"/>
      <w:szCs w:val="21"/>
    </w:rPr>
  </w:style>
  <w:style w:type="character" w:customStyle="1" w:styleId="29">
    <w:name w:val="标题 3 Char"/>
    <w:basedOn w:val="18"/>
    <w:link w:val="4"/>
    <w:qFormat/>
    <w:uiPriority w:val="9"/>
    <w:rPr>
      <w:rFonts w:eastAsiaTheme="minorEastAsia"/>
      <w:b/>
      <w:bCs/>
      <w:kern w:val="2"/>
      <w:sz w:val="32"/>
      <w:szCs w:val="32"/>
    </w:rPr>
  </w:style>
  <w:style w:type="character" w:customStyle="1" w:styleId="30">
    <w:name w:val="批注文字 Char"/>
    <w:basedOn w:val="18"/>
    <w:link w:val="6"/>
    <w:semiHidden/>
    <w:qFormat/>
    <w:uiPriority w:val="99"/>
    <w:rPr>
      <w:rFonts w:ascii="Tahoma" w:hAnsi="Tahoma"/>
    </w:rPr>
  </w:style>
  <w:style w:type="character" w:customStyle="1" w:styleId="31">
    <w:name w:val="批注主题 Char"/>
    <w:basedOn w:val="30"/>
    <w:link w:val="15"/>
    <w:qFormat/>
    <w:uiPriority w:val="99"/>
    <w:rPr>
      <w:rFonts w:ascii="Tahoma" w:hAnsi="Tahoma" w:eastAsiaTheme="minorEastAsia"/>
      <w:b/>
      <w:bCs/>
      <w:kern w:val="2"/>
      <w:sz w:val="21"/>
    </w:rPr>
  </w:style>
  <w:style w:type="character" w:customStyle="1" w:styleId="32">
    <w:name w:val="文档结构图 Char"/>
    <w:basedOn w:val="18"/>
    <w:link w:val="5"/>
    <w:qFormat/>
    <w:uiPriority w:val="99"/>
    <w:rPr>
      <w:rFonts w:ascii="宋体" w:eastAsia="宋体"/>
      <w:kern w:val="2"/>
      <w:sz w:val="18"/>
      <w:szCs w:val="18"/>
    </w:rPr>
  </w:style>
  <w:style w:type="character" w:customStyle="1" w:styleId="33">
    <w:name w:val="日期 Char"/>
    <w:basedOn w:val="18"/>
    <w:link w:val="8"/>
    <w:qFormat/>
    <w:uiPriority w:val="99"/>
    <w:rPr>
      <w:rFonts w:eastAsiaTheme="minorEastAsia"/>
      <w:kern w:val="2"/>
      <w:sz w:val="21"/>
    </w:rPr>
  </w:style>
  <w:style w:type="character" w:customStyle="1" w:styleId="34">
    <w:name w:val="批注框文本 Char"/>
    <w:basedOn w:val="18"/>
    <w:link w:val="9"/>
    <w:qFormat/>
    <w:uiPriority w:val="99"/>
    <w:rPr>
      <w:rFonts w:eastAsiaTheme="minorEastAsia"/>
      <w:kern w:val="2"/>
      <w:sz w:val="16"/>
      <w:szCs w:val="16"/>
    </w:rPr>
  </w:style>
  <w:style w:type="character" w:customStyle="1" w:styleId="35">
    <w:name w:val="正文文本 2 Char"/>
    <w:basedOn w:val="18"/>
    <w:link w:val="13"/>
    <w:qFormat/>
    <w:uiPriority w:val="0"/>
    <w:rPr>
      <w:rFonts w:ascii="宋体" w:hAnsi="宋体" w:eastAsia="宋体" w:cs="Times New Roman"/>
      <w:color w:val="FF6600"/>
      <w:sz w:val="21"/>
      <w:szCs w:val="20"/>
    </w:rPr>
  </w:style>
  <w:style w:type="paragraph" w:customStyle="1" w:styleId="36">
    <w:name w:val="列出段落1"/>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paragraph" w:customStyle="1" w:styleId="3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8">
    <w:name w:val="其他标准标志"/>
    <w:basedOn w:val="39"/>
    <w:qFormat/>
    <w:uiPriority w:val="0"/>
    <w:pPr>
      <w:framePr w:w="6101" w:wrap="around" w:vAnchor="page" w:hAnchor="page" w:x="4673" w:y="942"/>
    </w:pPr>
    <w:rPr>
      <w:w w:val="130"/>
    </w:rPr>
  </w:style>
  <w:style w:type="paragraph" w:customStyle="1" w:styleId="39">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0">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1">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封面标准英文名称"/>
    <w:basedOn w:val="43"/>
    <w:qFormat/>
    <w:uiPriority w:val="0"/>
    <w:pPr>
      <w:framePr w:wrap="around"/>
      <w:spacing w:before="370" w:line="400" w:lineRule="exact"/>
    </w:pPr>
    <w:rPr>
      <w:rFonts w:ascii="Times New Roman"/>
      <w:sz w:val="28"/>
      <w:szCs w:val="28"/>
    </w:rPr>
  </w:style>
  <w:style w:type="paragraph" w:customStyle="1" w:styleId="45">
    <w:name w:val="封面一致性程度标识"/>
    <w:basedOn w:val="44"/>
    <w:uiPriority w:val="0"/>
    <w:pPr>
      <w:framePr w:wrap="around"/>
      <w:spacing w:before="440"/>
    </w:pPr>
    <w:rPr>
      <w:rFonts w:ascii="宋体" w:eastAsia="宋体"/>
    </w:rPr>
  </w:style>
  <w:style w:type="paragraph" w:customStyle="1" w:styleId="46">
    <w:name w:val="封面标准文稿类别"/>
    <w:basedOn w:val="45"/>
    <w:qFormat/>
    <w:uiPriority w:val="0"/>
    <w:pPr>
      <w:framePr w:wrap="around"/>
      <w:spacing w:after="160" w:line="240" w:lineRule="auto"/>
    </w:pPr>
    <w:rPr>
      <w:sz w:val="24"/>
    </w:rPr>
  </w:style>
  <w:style w:type="paragraph" w:customStyle="1" w:styleId="47">
    <w:name w:val="封面标准文稿编辑信息"/>
    <w:basedOn w:val="46"/>
    <w:qFormat/>
    <w:uiPriority w:val="0"/>
    <w:pPr>
      <w:framePr w:wrap="around"/>
      <w:spacing w:before="180" w:line="180" w:lineRule="exact"/>
    </w:pPr>
    <w:rPr>
      <w:sz w:val="21"/>
    </w:rPr>
  </w:style>
  <w:style w:type="paragraph" w:customStyle="1" w:styleId="48">
    <w:name w:val="其他发布日期"/>
    <w:basedOn w:val="49"/>
    <w:qFormat/>
    <w:uiPriority w:val="0"/>
    <w:pPr>
      <w:framePr w:wrap="around" w:vAnchor="page" w:hAnchor="text" w:x="1419"/>
    </w:pPr>
  </w:style>
  <w:style w:type="paragraph" w:customStyle="1" w:styleId="4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0">
    <w:name w:val="其他实施日期"/>
    <w:basedOn w:val="51"/>
    <w:qFormat/>
    <w:uiPriority w:val="0"/>
    <w:pPr>
      <w:framePr w:wrap="around"/>
    </w:pPr>
  </w:style>
  <w:style w:type="paragraph" w:customStyle="1" w:styleId="51">
    <w:name w:val="实施日期"/>
    <w:basedOn w:val="49"/>
    <w:qFormat/>
    <w:uiPriority w:val="0"/>
    <w:pPr>
      <w:framePr w:wrap="around" w:vAnchor="page" w:hAnchor="text"/>
      <w:jc w:val="right"/>
    </w:pPr>
  </w:style>
  <w:style w:type="paragraph" w:customStyle="1" w:styleId="52">
    <w:name w:val="其他发布部门"/>
    <w:basedOn w:val="53"/>
    <w:qFormat/>
    <w:uiPriority w:val="0"/>
    <w:pPr>
      <w:framePr w:wrap="around" w:y="15310"/>
      <w:spacing w:line="0" w:lineRule="atLeast"/>
    </w:pPr>
    <w:rPr>
      <w:rFonts w:ascii="黑体" w:eastAsia="黑体"/>
      <w:b w:val="0"/>
    </w:rPr>
  </w:style>
  <w:style w:type="paragraph" w:customStyle="1" w:styleId="53">
    <w:name w:val="发布部门"/>
    <w:next w:val="5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4">
    <w:name w:val="段"/>
    <w:link w:val="6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5">
    <w:name w:val="发布"/>
    <w:basedOn w:val="18"/>
    <w:qFormat/>
    <w:uiPriority w:val="0"/>
    <w:rPr>
      <w:rFonts w:ascii="黑体" w:hAnsi="Times New Roman" w:eastAsia="黑体" w:cs="Times New Roman"/>
      <w:spacing w:val="85"/>
      <w:w w:val="100"/>
      <w:position w:val="3"/>
      <w:sz w:val="28"/>
      <w:szCs w:val="28"/>
    </w:rPr>
  </w:style>
  <w:style w:type="paragraph" w:customStyle="1" w:styleId="56">
    <w:name w:val="目次、标准名称标题"/>
    <w:basedOn w:val="1"/>
    <w:next w:val="54"/>
    <w:qFormat/>
    <w:uiPriority w:val="0"/>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57">
    <w:name w:val="标准书眉_偶数页"/>
    <w:basedOn w:val="58"/>
    <w:next w:val="1"/>
    <w:qFormat/>
    <w:uiPriority w:val="0"/>
    <w:pPr>
      <w:tabs>
        <w:tab w:val="center" w:pos="4154"/>
        <w:tab w:val="right" w:pos="8306"/>
      </w:tabs>
      <w:jc w:val="left"/>
    </w:pPr>
  </w:style>
  <w:style w:type="paragraph" w:customStyle="1" w:styleId="5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0">
    <w:name w:val="前言、引言标题"/>
    <w:next w:val="5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61">
    <w:name w:val="段 Char"/>
    <w:basedOn w:val="18"/>
    <w:link w:val="54"/>
    <w:qFormat/>
    <w:uiPriority w:val="0"/>
    <w:rPr>
      <w:rFonts w:ascii="宋体" w:hAnsi="Times New Roman" w:eastAsia="宋体" w:cs="Times New Roman"/>
      <w:sz w:val="21"/>
    </w:rPr>
  </w:style>
  <w:style w:type="paragraph" w:customStyle="1" w:styleId="62">
    <w:name w:val="中等深浅网格 21"/>
    <w:qFormat/>
    <w:uiPriority w:val="0"/>
    <w:pPr>
      <w:widowControl w:val="0"/>
      <w:jc w:val="both"/>
    </w:pPr>
    <w:rPr>
      <w:rFonts w:ascii="Calibri" w:hAnsi="Calibri"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1"/>
    <customShpInfo spid="_x0000_s2060"/>
    <customShpInfo spid="_x0000_s2070"/>
    <customShpInfo spid="_x0000_s2071"/>
    <customShpInfo spid="_x0000_s1026"/>
    <customShpInfo spid="_x0000_s1027"/>
    <customShpInfo spid="_x0000_s1033"/>
    <customShpInfo spid="_x0000_s102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22DDA-8349-4AB2-8117-753ECA8198D3}">
  <ds:schemaRefs/>
</ds:datastoreItem>
</file>

<file path=docProps/app.xml><?xml version="1.0" encoding="utf-8"?>
<Properties xmlns="http://schemas.openxmlformats.org/officeDocument/2006/extended-properties" xmlns:vt="http://schemas.openxmlformats.org/officeDocument/2006/docPropsVTypes">
  <Template>Normal</Template>
  <Pages>25</Pages>
  <Words>7810</Words>
  <Characters>8744</Characters>
  <Lines>110</Lines>
  <Paragraphs>31</Paragraphs>
  <TotalTime>1</TotalTime>
  <ScaleCrop>false</ScaleCrop>
  <LinksUpToDate>false</LinksUpToDate>
  <CharactersWithSpaces>10714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2021-04-22T08:13:00Z</dcterms:created>
  <dc:creator>asus</dc:creator>
  <cp:lastModifiedBy>魏涛</cp:lastModifiedBy>
  <dcterms:modified xsi:type="dcterms:W3CDTF">2022-05-20T03:08:17Z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4112950F35D7480686D2024C80997E5C</vt:lpwstr>
  </property>
</Properties>
</file>