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附件</w:t>
      </w:r>
    </w:p>
    <w:p>
      <w:pPr>
        <w:spacing w:before="156" w:beforeLines="50" w:after="156" w:afterLines="50" w:line="600" w:lineRule="exact"/>
        <w:jc w:val="center"/>
      </w:pPr>
      <w:r>
        <w:rPr>
          <w:rFonts w:eastAsia="方正小标宋简体"/>
          <w:sz w:val="44"/>
          <w:szCs w:val="44"/>
        </w:rPr>
        <w:t>浙江省医疗卫生事业单位法治建设基本标准（试行）</w:t>
      </w:r>
    </w:p>
    <w:tbl>
      <w:tblPr>
        <w:tblStyle w:val="3"/>
        <w:tblW w:w="9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714"/>
        <w:gridCol w:w="1688"/>
        <w:gridCol w:w="5093"/>
        <w:gridCol w:w="87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tblHeader/>
          <w:jc w:val="center"/>
        </w:trPr>
        <w:tc>
          <w:tcPr>
            <w:tcW w:w="7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168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重点任务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主要内容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医院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卫生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组织领导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（一）党政主要负责人履行推进法治建设第一责任人职责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1.学习习近平法治思想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2.成立党政主要负责人任组长的法治建设领导小组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3.党政会议每年专题研究本单位法治建设工作</w:t>
            </w:r>
            <w:r>
              <w:rPr>
                <w:rFonts w:eastAsia="仿宋_GB2312"/>
                <w:color w:val="000000"/>
                <w:sz w:val="24"/>
              </w:rPr>
              <w:t>至少1次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4.党政领导班子每年集中学法</w:t>
            </w:r>
            <w:r>
              <w:rPr>
                <w:rFonts w:eastAsia="仿宋_GB2312"/>
                <w:color w:val="000000"/>
                <w:sz w:val="24"/>
              </w:rPr>
              <w:t>不少于2次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5.单位领导干部年度述法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工作制度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（二）依法决策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</w:t>
            </w:r>
            <w:r>
              <w:rPr>
                <w:rFonts w:eastAsia="仿宋_GB2312"/>
                <w:sz w:val="24"/>
                <w:lang w:val="zh-CN"/>
              </w:rPr>
              <w:t>制订单位决策议事规则或制度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7.涉及单位长远发展和全体员工利益的事项要召开职工代表大会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8.重大决策事项需经专家咨询和可行性论证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9.涉法事项应当先咨询法律顾问或法治工作部门的意见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（三）合法性审核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10.重大决策前应当进行合法性审核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zh-CN"/>
              </w:rPr>
              <w:t>1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  <w:lang w:val="zh-CN"/>
              </w:rPr>
              <w:t>.签订重大经济、人事劳动、物资采购、基建等合同前应当进行合法性审核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12.下发重要文件、制定涉及员工重大利益的管理制度前应当进行合法性审核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（四）法治监督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13.定期对本单位管理运行各环节进行自查，梳理法律风险点，进行闭环整改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14.对发生的投诉、纠纷、诉讼案件和行政处罚案件进行评析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（五）设立法治工作部门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15.明确负责法治工作的部门（三级公立医院应当明确特定部门承担法治工作，条件成熟的可以单设法治工作部门）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16.法治工作部门配备专兼职工作人员（三级公立医院原则上至少应有一名专职人员，专职人员一般为法律专业毕业）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7.法治工作办公场地、经费、设备和设施有保障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18.明确法治工作部门的职责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协作</w:t>
            </w:r>
          </w:p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机制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（六）与内设部门的衔接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19.建立法治工作部门与行政部门在依法决策、督办督查的工作机制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20.建立法治工作部门与医务、保卫部门在医疗纠纷的工作机制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（七）医院“四室”建设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21.设有医院警务室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22.设有医院监控室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23.设有医院投诉室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24.设有医院调解室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（八）与外部机构的工作协调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25.与驻院警务室的联系机制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26.与医疗纠纷人民调解委员会及司法审判机构的联系机制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27.参加医疗责任保险（风险金）情况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法律</w:t>
            </w:r>
          </w:p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顾问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（九）建立法律顾问制度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28.单独或联合聘请法律顾问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29.法律顾问参与重要文件、合同审核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30.法律顾问代理诉讼案件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31.法律顾问开展法治讲座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法治</w:t>
            </w:r>
          </w:p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意识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（十）单位内部培训考试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32.新入职人员的法治教育培训及反诈防诈宣传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33.单位职工年度法治教育培训及反诈防诈宣传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（十一）普法宣传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34.制定法治宣传教育实施</w:t>
            </w:r>
            <w:r>
              <w:rPr>
                <w:rFonts w:eastAsia="仿宋_GB2312"/>
                <w:sz w:val="24"/>
                <w:lang w:val="zh-CN"/>
              </w:rPr>
              <w:t>规划</w:t>
            </w:r>
            <w:r>
              <w:rPr>
                <w:rFonts w:eastAsia="仿宋_GB2312"/>
                <w:sz w:val="24"/>
              </w:rPr>
              <w:t>或方案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35.加强宣传阵地的法治建设，面向社会和服务对象开展法治宣传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36.加强普法志愿者队伍建设，扩大普法及防诈反诈宣传覆盖面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评估</w:t>
            </w:r>
          </w:p>
        </w:tc>
        <w:tc>
          <w:tcPr>
            <w:tcW w:w="168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（十二）法治建设纳入绩效考核</w:t>
            </w: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37.法治建设纳入单位绩效考核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38.</w:t>
            </w:r>
            <w:r>
              <w:rPr>
                <w:rFonts w:eastAsia="仿宋_GB2312"/>
                <w:spacing w:val="-6"/>
                <w:sz w:val="24"/>
              </w:rPr>
              <w:t>因违法执业被行政处罚或停止执业活动的情况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39.每年3月1日前向主管部门报告年度法治建设</w:t>
            </w:r>
            <w:r>
              <w:rPr>
                <w:rFonts w:eastAsia="仿宋_GB2312"/>
                <w:spacing w:val="-6"/>
                <w:sz w:val="24"/>
              </w:rPr>
              <w:t>情况，以及对照《法治建设基本标准》的落实情况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509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40.受到上级部门在法治建设方面的表彰、奖励和经验推广情况</w:t>
            </w:r>
          </w:p>
        </w:tc>
        <w:tc>
          <w:tcPr>
            <w:tcW w:w="87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C7845"/>
    <w:rsid w:val="31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2022-05-31T01:10:00Z</dcterms:created>
  <dc:creator>admin</dc:creator>
  <cp:lastModifiedBy>admin</cp:lastModifiedBy>
  <dcterms:modified xsi:type="dcterms:W3CDTF">2022-05-31T01:11:54Z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