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辽宁省深入开展职业病危害</w:t>
      </w:r>
    </w:p>
    <w:p>
      <w:pPr>
        <w:spacing w:line="660" w:lineRule="exact"/>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44"/>
          <w:szCs w:val="44"/>
        </w:rPr>
        <w:t>专项治理工作实施方案</w:t>
      </w:r>
    </w:p>
    <w:bookmarkEnd w:id="0"/>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为巩固和深化尘肺病防治攻坚行动成果，大力推进“十四五”时期职业病防治工作，保障劳动者职业健康权益，按照国家统一部署，省卫生健康委决定自2022年4月起至2025年12月在全省范围深入开展职业病危害专项治理工作。为确保专项治理工作取得实效，制定本实施方案。</w:t>
      </w:r>
    </w:p>
    <w:p>
      <w:pPr>
        <w:ind w:firstLine="640"/>
        <w:rPr>
          <w:rFonts w:hint="eastAsia" w:ascii="黑体" w:hAnsi="黑体" w:eastAsia="黑体" w:cs="黑体"/>
          <w:sz w:val="32"/>
          <w:szCs w:val="32"/>
        </w:rPr>
      </w:pPr>
      <w:r>
        <w:rPr>
          <w:rFonts w:hint="eastAsia" w:ascii="黑体" w:hAnsi="黑体" w:eastAsia="黑体" w:cs="黑体"/>
          <w:sz w:val="32"/>
          <w:szCs w:val="32"/>
        </w:rPr>
        <w:t>一、目标要求</w:t>
      </w:r>
    </w:p>
    <w:p>
      <w:pPr>
        <w:ind w:firstLine="640"/>
        <w:rPr>
          <w:rFonts w:hint="eastAsia" w:ascii="楷体" w:hAnsi="楷体" w:eastAsia="楷体" w:cs="楷体"/>
          <w:sz w:val="32"/>
          <w:szCs w:val="32"/>
        </w:rPr>
      </w:pPr>
      <w:r>
        <w:rPr>
          <w:rFonts w:hint="eastAsia" w:ascii="楷体" w:hAnsi="楷体" w:eastAsia="楷体" w:cs="楷体"/>
          <w:sz w:val="32"/>
          <w:szCs w:val="32"/>
        </w:rPr>
        <w:t>（一）总体要求。</w:t>
      </w:r>
    </w:p>
    <w:p>
      <w:pPr>
        <w:ind w:firstLine="640"/>
        <w:rPr>
          <w:rFonts w:hint="eastAsia" w:ascii="仿宋" w:hAnsi="仿宋" w:eastAsia="仿宋" w:cs="仿宋"/>
          <w:sz w:val="32"/>
          <w:szCs w:val="32"/>
        </w:rPr>
      </w:pPr>
      <w:r>
        <w:rPr>
          <w:rFonts w:hint="eastAsia" w:ascii="仿宋" w:hAnsi="仿宋" w:eastAsia="仿宋" w:cs="仿宋"/>
          <w:sz w:val="32"/>
          <w:szCs w:val="32"/>
        </w:rPr>
        <w:t>认真贯彻落实《职业病防治法》和《辽宁省职业病防治规划（2021-2025年）》的相关要求，坚持以人民健康为中心，深入实施健康辽宁建设行动，以治理粉尘、化学毒物、噪声超标为主要任务，加强职业健康监督管理，改善工作场所劳动条件，从源头控制和减少职业病危害，保障广大劳动者职业健康。</w:t>
      </w:r>
    </w:p>
    <w:p>
      <w:pPr>
        <w:ind w:firstLine="640"/>
        <w:rPr>
          <w:rFonts w:hint="eastAsia" w:ascii="楷体" w:hAnsi="楷体" w:eastAsia="楷体" w:cs="楷体"/>
          <w:sz w:val="32"/>
          <w:szCs w:val="32"/>
        </w:rPr>
      </w:pPr>
      <w:r>
        <w:rPr>
          <w:rFonts w:hint="eastAsia" w:ascii="楷体" w:hAnsi="楷体" w:eastAsia="楷体" w:cs="楷体"/>
          <w:sz w:val="32"/>
          <w:szCs w:val="32"/>
        </w:rPr>
        <w:t>（二）治理范围。</w:t>
      </w:r>
    </w:p>
    <w:p>
      <w:pPr>
        <w:ind w:firstLine="640"/>
        <w:rPr>
          <w:rFonts w:hint="eastAsia" w:ascii="仿宋" w:hAnsi="仿宋" w:eastAsia="仿宋" w:cs="仿宋"/>
          <w:sz w:val="32"/>
          <w:szCs w:val="32"/>
        </w:rPr>
      </w:pPr>
      <w:r>
        <w:rPr>
          <w:rFonts w:hint="eastAsia" w:ascii="仿宋" w:hAnsi="仿宋" w:eastAsia="仿宋" w:cs="仿宋"/>
          <w:sz w:val="32"/>
          <w:szCs w:val="32"/>
        </w:rPr>
        <w:t>本次专项治理的范围为存在粉尘、化学毒物、噪声危害因素浓（强）度超标，且从业人员10人及以上的工业企业（以下简称“治理企业”）。10人以下工业企业的专项治理工作由各市根据本地区实际工作量自行决定是否纳入治理。</w:t>
      </w:r>
    </w:p>
    <w:p>
      <w:pPr>
        <w:ind w:firstLine="640"/>
        <w:rPr>
          <w:rFonts w:hint="eastAsia" w:ascii="楷体" w:hAnsi="楷体" w:eastAsia="楷体" w:cs="楷体"/>
          <w:sz w:val="32"/>
          <w:szCs w:val="32"/>
        </w:rPr>
      </w:pPr>
      <w:r>
        <w:rPr>
          <w:rFonts w:hint="eastAsia" w:ascii="楷体" w:hAnsi="楷体" w:eastAsia="楷体" w:cs="楷体"/>
          <w:sz w:val="32"/>
          <w:szCs w:val="32"/>
        </w:rPr>
        <w:t>（三）工作目标。</w:t>
      </w:r>
    </w:p>
    <w:p>
      <w:pPr>
        <w:ind w:firstLine="640"/>
        <w:rPr>
          <w:rFonts w:hint="eastAsia" w:ascii="仿宋" w:hAnsi="仿宋" w:eastAsia="仿宋" w:cs="仿宋"/>
          <w:sz w:val="32"/>
          <w:szCs w:val="32"/>
        </w:rPr>
      </w:pPr>
      <w:r>
        <w:rPr>
          <w:rFonts w:hint="eastAsia" w:ascii="仿宋" w:hAnsi="仿宋" w:eastAsia="仿宋" w:cs="仿宋"/>
          <w:sz w:val="32"/>
          <w:szCs w:val="32"/>
        </w:rPr>
        <w:t>到2025年底，全省工业企业职业病防治主体责任基本落实，职业病危害源头得到有效遏制，职业病危害治理能力显著增强，工作场所粉尘、化学毒物、噪声等职业病危害状况明显好转，劳动者职业健康权益得到有效保障，职业病防治工作全面达到国家和我省职业病防治“十四五”规划的要求。</w:t>
      </w:r>
    </w:p>
    <w:p>
      <w:pPr>
        <w:ind w:firstLine="640"/>
        <w:rPr>
          <w:rFonts w:hint="eastAsia" w:ascii="仿宋" w:hAnsi="仿宋" w:eastAsia="仿宋" w:cs="仿宋"/>
          <w:sz w:val="32"/>
          <w:szCs w:val="32"/>
        </w:rPr>
      </w:pPr>
      <w:r>
        <w:rPr>
          <w:rFonts w:hint="eastAsia" w:ascii="仿宋" w:hAnsi="仿宋" w:eastAsia="仿宋" w:cs="仿宋"/>
          <w:b/>
          <w:sz w:val="32"/>
          <w:szCs w:val="32"/>
        </w:rPr>
        <w:t>——工业企业职业病防治主体责任基本落实。</w:t>
      </w:r>
      <w:r>
        <w:rPr>
          <w:rFonts w:hint="eastAsia" w:ascii="仿宋" w:hAnsi="仿宋" w:eastAsia="仿宋" w:cs="仿宋"/>
          <w:sz w:val="32"/>
          <w:szCs w:val="32"/>
        </w:rPr>
        <w:t>治理企业工作场所粉尘、化学毒物、噪声等岗位合格率达到85%以上，职业病危害项目申报率达到90%以上，工作场所职业病危害因素监测合格率达到85%以上。分年度主要指标：</w:t>
      </w:r>
    </w:p>
    <w:p>
      <w:pPr>
        <w:jc w:val="center"/>
        <w:rPr>
          <w:rFonts w:ascii="仿宋" w:hAnsi="仿宋" w:eastAsia="仿宋" w:cs="仿宋"/>
          <w:b/>
          <w:sz w:val="32"/>
          <w:szCs w:val="32"/>
        </w:rPr>
      </w:pPr>
      <w:r>
        <w:rPr>
          <w:rFonts w:hint="eastAsia" w:ascii="仿宋" w:hAnsi="仿宋" w:eastAsia="仿宋" w:cs="仿宋"/>
          <w:b/>
          <w:sz w:val="32"/>
          <w:szCs w:val="32"/>
        </w:rPr>
        <w:t>2022-2025年专项治理分年度主要指标</w:t>
      </w:r>
    </w:p>
    <w:tbl>
      <w:tblPr>
        <w:tblStyle w:val="3"/>
        <w:tblW w:w="857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92"/>
        <w:gridCol w:w="4111"/>
        <w:gridCol w:w="1096"/>
        <w:gridCol w:w="992"/>
        <w:gridCol w:w="992"/>
        <w:gridCol w:w="9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503" w:type="dxa"/>
            <w:gridSpan w:val="2"/>
            <w:vMerge w:val="restart"/>
            <w:noWrap w:val="0"/>
            <w:vAlign w:val="center"/>
          </w:tcPr>
          <w:p>
            <w:pPr>
              <w:jc w:val="center"/>
              <w:rPr>
                <w:rFonts w:hint="eastAsia" w:ascii="仿宋" w:hAnsi="仿宋" w:eastAsia="仿宋" w:cs="仿宋"/>
                <w:sz w:val="24"/>
              </w:rPr>
            </w:pPr>
            <w:r>
              <w:rPr>
                <w:rFonts w:hint="eastAsia" w:ascii="仿宋" w:hAnsi="仿宋" w:eastAsia="仿宋" w:cs="仿宋"/>
                <w:sz w:val="24"/>
              </w:rPr>
              <w:t>指标名称</w:t>
            </w:r>
          </w:p>
        </w:tc>
        <w:tc>
          <w:tcPr>
            <w:tcW w:w="4072" w:type="dxa"/>
            <w:gridSpan w:val="4"/>
            <w:noWrap w:val="0"/>
            <w:vAlign w:val="center"/>
          </w:tcPr>
          <w:p>
            <w:pPr>
              <w:jc w:val="center"/>
              <w:rPr>
                <w:rFonts w:hint="eastAsia" w:ascii="仿宋" w:hAnsi="仿宋" w:eastAsia="仿宋" w:cs="仿宋"/>
                <w:sz w:val="24"/>
              </w:rPr>
            </w:pPr>
            <w:r>
              <w:rPr>
                <w:rFonts w:hint="eastAsia" w:ascii="仿宋" w:hAnsi="仿宋" w:eastAsia="仿宋" w:cs="仿宋"/>
                <w:sz w:val="24"/>
              </w:rPr>
              <w:t>目标值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503" w:type="dxa"/>
            <w:gridSpan w:val="2"/>
            <w:vMerge w:val="continue"/>
            <w:noWrap w:val="0"/>
            <w:vAlign w:val="center"/>
          </w:tcPr>
          <w:p>
            <w:pPr>
              <w:rPr>
                <w:rFonts w:hint="eastAsia" w:ascii="仿宋" w:hAnsi="仿宋" w:eastAsia="仿宋" w:cs="仿宋"/>
                <w:sz w:val="24"/>
              </w:rPr>
            </w:pPr>
          </w:p>
        </w:tc>
        <w:tc>
          <w:tcPr>
            <w:tcW w:w="1096" w:type="dxa"/>
            <w:noWrap w:val="0"/>
            <w:vAlign w:val="center"/>
          </w:tcPr>
          <w:p>
            <w:pPr>
              <w:jc w:val="center"/>
              <w:rPr>
                <w:rFonts w:hint="eastAsia" w:ascii="仿宋" w:hAnsi="仿宋" w:eastAsia="仿宋" w:cs="仿宋"/>
                <w:sz w:val="24"/>
              </w:rPr>
            </w:pPr>
            <w:r>
              <w:rPr>
                <w:rFonts w:hint="eastAsia" w:ascii="仿宋" w:hAnsi="仿宋" w:eastAsia="仿宋" w:cs="仿宋"/>
                <w:sz w:val="24"/>
              </w:rPr>
              <w:t>2022年</w:t>
            </w:r>
          </w:p>
        </w:tc>
        <w:tc>
          <w:tcPr>
            <w:tcW w:w="992" w:type="dxa"/>
            <w:noWrap w:val="0"/>
            <w:vAlign w:val="center"/>
          </w:tcPr>
          <w:p>
            <w:pPr>
              <w:jc w:val="center"/>
              <w:rPr>
                <w:rFonts w:hint="eastAsia" w:ascii="仿宋" w:hAnsi="仿宋" w:eastAsia="仿宋" w:cs="仿宋"/>
                <w:sz w:val="24"/>
              </w:rPr>
            </w:pPr>
            <w:r>
              <w:rPr>
                <w:rFonts w:hint="eastAsia" w:ascii="仿宋" w:hAnsi="仿宋" w:eastAsia="仿宋" w:cs="仿宋"/>
                <w:sz w:val="24"/>
              </w:rPr>
              <w:t>2023年</w:t>
            </w:r>
          </w:p>
        </w:tc>
        <w:tc>
          <w:tcPr>
            <w:tcW w:w="992" w:type="dxa"/>
            <w:noWrap w:val="0"/>
            <w:vAlign w:val="center"/>
          </w:tcPr>
          <w:p>
            <w:pPr>
              <w:jc w:val="center"/>
              <w:rPr>
                <w:rFonts w:hint="eastAsia" w:ascii="仿宋" w:hAnsi="仿宋" w:eastAsia="仿宋" w:cs="仿宋"/>
                <w:sz w:val="24"/>
              </w:rPr>
            </w:pPr>
            <w:r>
              <w:rPr>
                <w:rFonts w:hint="eastAsia" w:ascii="仿宋" w:hAnsi="仿宋" w:eastAsia="仿宋" w:cs="仿宋"/>
                <w:sz w:val="24"/>
              </w:rPr>
              <w:t>2024年</w:t>
            </w:r>
          </w:p>
        </w:tc>
        <w:tc>
          <w:tcPr>
            <w:tcW w:w="992" w:type="dxa"/>
            <w:noWrap w:val="0"/>
            <w:vAlign w:val="center"/>
          </w:tcPr>
          <w:p>
            <w:pPr>
              <w:jc w:val="center"/>
              <w:rPr>
                <w:rFonts w:hint="eastAsia" w:ascii="仿宋" w:hAnsi="仿宋" w:eastAsia="仿宋" w:cs="仿宋"/>
                <w:sz w:val="24"/>
              </w:rPr>
            </w:pPr>
            <w:r>
              <w:rPr>
                <w:rFonts w:hint="eastAsia" w:ascii="仿宋" w:hAnsi="仿宋" w:eastAsia="仿宋" w:cs="仿宋"/>
                <w:sz w:val="24"/>
              </w:rPr>
              <w:t>2025年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dxa"/>
            <w:noWrap w:val="0"/>
            <w:vAlign w:val="center"/>
          </w:tcPr>
          <w:p>
            <w:pPr>
              <w:rPr>
                <w:rFonts w:hint="eastAsia" w:ascii="仿宋" w:hAnsi="仿宋" w:eastAsia="仿宋" w:cs="仿宋"/>
                <w:sz w:val="24"/>
              </w:rPr>
            </w:pPr>
            <w:r>
              <w:rPr>
                <w:rFonts w:hint="eastAsia" w:ascii="仿宋" w:hAnsi="仿宋" w:eastAsia="仿宋" w:cs="仿宋"/>
                <w:sz w:val="24"/>
              </w:rPr>
              <w:t>1</w:t>
            </w:r>
          </w:p>
        </w:tc>
        <w:tc>
          <w:tcPr>
            <w:tcW w:w="4111" w:type="dxa"/>
            <w:noWrap w:val="0"/>
            <w:vAlign w:val="center"/>
          </w:tcPr>
          <w:p>
            <w:pPr>
              <w:rPr>
                <w:rFonts w:hint="eastAsia" w:ascii="仿宋" w:hAnsi="仿宋" w:eastAsia="仿宋" w:cs="仿宋"/>
                <w:sz w:val="24"/>
              </w:rPr>
            </w:pPr>
            <w:r>
              <w:rPr>
                <w:rFonts w:hint="eastAsia" w:ascii="仿宋" w:hAnsi="仿宋" w:eastAsia="仿宋" w:cs="仿宋"/>
                <w:sz w:val="24"/>
              </w:rPr>
              <w:t>工业企业职业病危害项目申报率</w:t>
            </w:r>
          </w:p>
        </w:tc>
        <w:tc>
          <w:tcPr>
            <w:tcW w:w="1096"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4</w:t>
            </w:r>
            <w:r>
              <w:rPr>
                <w:rFonts w:ascii="仿宋" w:hAnsi="仿宋" w:eastAsia="仿宋" w:cs="仿宋"/>
                <w:sz w:val="24"/>
              </w:rPr>
              <w:t>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w:t>
            </w:r>
            <w:r>
              <w:rPr>
                <w:rFonts w:ascii="仿宋" w:hAnsi="仿宋" w:eastAsia="仿宋" w:cs="仿宋"/>
                <w:sz w:val="24"/>
              </w:rPr>
              <w:t>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85</w:t>
            </w:r>
            <w:r>
              <w:rPr>
                <w:rFonts w:ascii="仿宋" w:hAnsi="仿宋" w:eastAsia="仿宋" w:cs="仿宋"/>
                <w:sz w:val="24"/>
              </w:rPr>
              <w:t>%</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90</w:t>
            </w:r>
            <w:r>
              <w:rPr>
                <w:rFonts w:ascii="仿宋" w:hAnsi="仿宋" w:eastAsia="仿宋" w:cs="仿宋"/>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dxa"/>
            <w:noWrap w:val="0"/>
            <w:vAlign w:val="center"/>
          </w:tcPr>
          <w:p>
            <w:pPr>
              <w:rPr>
                <w:rFonts w:hint="eastAsia" w:ascii="仿宋" w:hAnsi="仿宋" w:eastAsia="仿宋" w:cs="仿宋"/>
                <w:sz w:val="24"/>
              </w:rPr>
            </w:pPr>
            <w:r>
              <w:rPr>
                <w:rFonts w:hint="eastAsia" w:ascii="仿宋" w:hAnsi="仿宋" w:eastAsia="仿宋" w:cs="仿宋"/>
                <w:sz w:val="24"/>
              </w:rPr>
              <w:t>2</w:t>
            </w:r>
          </w:p>
        </w:tc>
        <w:tc>
          <w:tcPr>
            <w:tcW w:w="4111" w:type="dxa"/>
            <w:noWrap w:val="0"/>
            <w:vAlign w:val="center"/>
          </w:tcPr>
          <w:p>
            <w:pPr>
              <w:rPr>
                <w:rFonts w:hint="eastAsia" w:ascii="仿宋" w:hAnsi="仿宋" w:eastAsia="仿宋" w:cs="仿宋"/>
                <w:sz w:val="24"/>
              </w:rPr>
            </w:pPr>
            <w:r>
              <w:rPr>
                <w:rFonts w:hint="eastAsia" w:ascii="仿宋" w:hAnsi="仿宋" w:eastAsia="仿宋" w:cs="仿宋"/>
                <w:sz w:val="24"/>
              </w:rPr>
              <w:t>工业企业职业病危害因素检测评价率</w:t>
            </w:r>
          </w:p>
        </w:tc>
        <w:tc>
          <w:tcPr>
            <w:tcW w:w="1096"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30%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60%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dxa"/>
            <w:noWrap w:val="0"/>
            <w:vAlign w:val="center"/>
          </w:tcPr>
          <w:p>
            <w:pPr>
              <w:rPr>
                <w:rFonts w:hint="eastAsia" w:ascii="仿宋" w:hAnsi="仿宋" w:eastAsia="仿宋" w:cs="仿宋"/>
                <w:sz w:val="24"/>
              </w:rPr>
            </w:pPr>
            <w:r>
              <w:rPr>
                <w:rFonts w:hint="eastAsia" w:ascii="仿宋" w:hAnsi="仿宋" w:eastAsia="仿宋" w:cs="仿宋"/>
                <w:sz w:val="24"/>
              </w:rPr>
              <w:t>3</w:t>
            </w:r>
          </w:p>
        </w:tc>
        <w:tc>
          <w:tcPr>
            <w:tcW w:w="4111" w:type="dxa"/>
            <w:noWrap w:val="0"/>
            <w:vAlign w:val="center"/>
          </w:tcPr>
          <w:p>
            <w:pPr>
              <w:rPr>
                <w:rFonts w:hint="eastAsia" w:ascii="仿宋" w:hAnsi="仿宋" w:eastAsia="仿宋" w:cs="仿宋"/>
                <w:sz w:val="24"/>
              </w:rPr>
            </w:pPr>
            <w:r>
              <w:rPr>
                <w:rFonts w:hint="eastAsia" w:ascii="仿宋" w:hAnsi="仿宋" w:eastAsia="仿宋" w:cs="仿宋"/>
                <w:sz w:val="24"/>
              </w:rPr>
              <w:t>治理企业工作场所粉尘、化学毒物、噪声的岗位合格率</w:t>
            </w:r>
          </w:p>
        </w:tc>
        <w:tc>
          <w:tcPr>
            <w:tcW w:w="1096"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30%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50%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70%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92" w:type="dxa"/>
            <w:noWrap w:val="0"/>
            <w:vAlign w:val="center"/>
          </w:tcPr>
          <w:p>
            <w:pPr>
              <w:rPr>
                <w:rFonts w:hint="eastAsia" w:ascii="仿宋" w:hAnsi="仿宋" w:eastAsia="仿宋" w:cs="仿宋"/>
                <w:sz w:val="24"/>
              </w:rPr>
            </w:pPr>
            <w:r>
              <w:rPr>
                <w:rFonts w:hint="eastAsia" w:ascii="仿宋" w:hAnsi="仿宋" w:eastAsia="仿宋" w:cs="仿宋"/>
                <w:sz w:val="24"/>
              </w:rPr>
              <w:t>4</w:t>
            </w:r>
          </w:p>
        </w:tc>
        <w:tc>
          <w:tcPr>
            <w:tcW w:w="4111" w:type="dxa"/>
            <w:noWrap w:val="0"/>
            <w:vAlign w:val="center"/>
          </w:tcPr>
          <w:p>
            <w:pPr>
              <w:rPr>
                <w:rFonts w:hint="eastAsia" w:ascii="仿宋" w:hAnsi="仿宋" w:eastAsia="仿宋" w:cs="仿宋"/>
                <w:sz w:val="24"/>
              </w:rPr>
            </w:pPr>
            <w:r>
              <w:rPr>
                <w:rFonts w:hint="eastAsia" w:ascii="仿宋" w:hAnsi="仿宋" w:eastAsia="仿宋" w:cs="仿宋"/>
                <w:sz w:val="24"/>
              </w:rPr>
              <w:t>工作场所职业病危害因素监测合格率</w:t>
            </w:r>
          </w:p>
        </w:tc>
        <w:tc>
          <w:tcPr>
            <w:tcW w:w="1096"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50%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65%</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80%</w:t>
            </w:r>
          </w:p>
        </w:tc>
        <w:tc>
          <w:tcPr>
            <w:tcW w:w="992" w:type="dxa"/>
            <w:noWrap w:val="0"/>
            <w:vAlign w:val="center"/>
          </w:tcPr>
          <w:p>
            <w:pPr>
              <w:jc w:val="center"/>
              <w:rPr>
                <w:rFonts w:hint="eastAsia" w:ascii="仿宋" w:hAnsi="仿宋" w:eastAsia="仿宋" w:cs="仿宋"/>
                <w:sz w:val="24"/>
              </w:rPr>
            </w:pPr>
            <w:r>
              <w:rPr>
                <w:rFonts w:ascii="仿宋" w:hAnsi="仿宋" w:eastAsia="仿宋" w:cs="仿宋"/>
                <w:sz w:val="24"/>
              </w:rPr>
              <w:t>≥</w:t>
            </w:r>
            <w:r>
              <w:rPr>
                <w:rFonts w:hint="eastAsia" w:ascii="仿宋" w:hAnsi="仿宋" w:eastAsia="仿宋" w:cs="仿宋"/>
                <w:sz w:val="24"/>
              </w:rPr>
              <w:t>85%</w:t>
            </w:r>
          </w:p>
        </w:tc>
      </w:tr>
    </w:tbl>
    <w:p>
      <w:pPr>
        <w:ind w:firstLine="640"/>
        <w:rPr>
          <w:rFonts w:hint="eastAsia" w:ascii="仿宋" w:hAnsi="仿宋" w:eastAsia="仿宋" w:cs="仿宋"/>
          <w:sz w:val="32"/>
          <w:szCs w:val="32"/>
        </w:rPr>
      </w:pPr>
      <w:r>
        <w:rPr>
          <w:rFonts w:hint="eastAsia" w:ascii="仿宋" w:hAnsi="仿宋" w:eastAsia="仿宋" w:cs="仿宋"/>
          <w:b/>
          <w:sz w:val="32"/>
          <w:szCs w:val="32"/>
        </w:rPr>
        <w:t>——职业病危害源头得到有效遏制。</w:t>
      </w:r>
      <w:r>
        <w:rPr>
          <w:rFonts w:hint="eastAsia" w:ascii="仿宋" w:hAnsi="仿宋" w:eastAsia="仿宋" w:cs="仿宋"/>
          <w:bCs/>
          <w:sz w:val="32"/>
          <w:szCs w:val="32"/>
        </w:rPr>
        <w:t>治理</w:t>
      </w:r>
      <w:r>
        <w:rPr>
          <w:rFonts w:hint="eastAsia" w:ascii="仿宋" w:hAnsi="仿宋" w:eastAsia="仿宋" w:cs="仿宋"/>
          <w:sz w:val="32"/>
          <w:szCs w:val="32"/>
        </w:rPr>
        <w:t>企业建设项目职业病防护设施“三同时”实施率逐年提高，到2025年，“三同时”实施率达到90%以上。</w:t>
      </w:r>
    </w:p>
    <w:p>
      <w:pPr>
        <w:ind w:firstLine="640"/>
        <w:rPr>
          <w:rFonts w:hint="eastAsia" w:ascii="仿宋" w:hAnsi="仿宋" w:eastAsia="仿宋" w:cs="仿宋"/>
          <w:sz w:val="32"/>
          <w:szCs w:val="32"/>
        </w:rPr>
      </w:pPr>
      <w:r>
        <w:rPr>
          <w:rFonts w:hint="eastAsia" w:ascii="仿宋" w:hAnsi="仿宋" w:eastAsia="仿宋" w:cs="仿宋"/>
          <w:b/>
          <w:sz w:val="32"/>
          <w:szCs w:val="32"/>
        </w:rPr>
        <w:t>——全省职业病危害治理能力显著增强。</w:t>
      </w:r>
      <w:r>
        <w:rPr>
          <w:rFonts w:hint="eastAsia" w:ascii="仿宋" w:hAnsi="仿宋" w:eastAsia="仿宋" w:cs="仿宋"/>
          <w:sz w:val="32"/>
          <w:szCs w:val="32"/>
        </w:rPr>
        <w:t>加强职业健康培训，治理企业主要负责人和分管负责人职业健康培训率大幅提升，职业健康管理水平明显提升。基层职业健康监管人员和专业技术人员专业知识和技术水平显著提高。支持和鼓励治理企业开展“健康企业”创建和“职业健康达人”推荐评选，治理企业劳动者职业健康素养显著提高。</w:t>
      </w:r>
    </w:p>
    <w:p>
      <w:pPr>
        <w:ind w:firstLine="640"/>
        <w:rPr>
          <w:rFonts w:hint="eastAsia" w:ascii="黑体" w:hAnsi="黑体" w:eastAsia="黑体" w:cs="黑体"/>
          <w:sz w:val="32"/>
          <w:szCs w:val="32"/>
        </w:rPr>
      </w:pPr>
      <w:r>
        <w:rPr>
          <w:rFonts w:hint="eastAsia" w:ascii="黑体" w:hAnsi="黑体" w:eastAsia="黑体" w:cs="黑体"/>
          <w:sz w:val="32"/>
          <w:szCs w:val="32"/>
        </w:rPr>
        <w:t>二、步骤安排</w:t>
      </w:r>
    </w:p>
    <w:p>
      <w:pPr>
        <w:ind w:firstLine="640"/>
        <w:rPr>
          <w:rFonts w:hint="eastAsia" w:ascii="楷体" w:hAnsi="楷体" w:eastAsia="楷体" w:cs="楷体"/>
          <w:sz w:val="32"/>
          <w:szCs w:val="32"/>
        </w:rPr>
      </w:pPr>
      <w:r>
        <w:rPr>
          <w:rFonts w:hint="eastAsia" w:ascii="楷体" w:hAnsi="楷体" w:eastAsia="楷体" w:cs="楷体"/>
          <w:sz w:val="32"/>
          <w:szCs w:val="32"/>
        </w:rPr>
        <w:t>（一）安排部署阶段（2022年4月-8月）</w:t>
      </w:r>
    </w:p>
    <w:p>
      <w:pPr>
        <w:ind w:firstLine="640"/>
        <w:rPr>
          <w:rFonts w:hint="eastAsia" w:ascii="仿宋" w:hAnsi="仿宋" w:eastAsia="仿宋" w:cs="仿宋"/>
          <w:b/>
          <w:sz w:val="32"/>
          <w:szCs w:val="32"/>
        </w:rPr>
      </w:pPr>
      <w:r>
        <w:rPr>
          <w:rFonts w:hint="eastAsia" w:ascii="仿宋" w:hAnsi="仿宋" w:eastAsia="仿宋" w:cs="仿宋"/>
          <w:b/>
          <w:sz w:val="32"/>
          <w:szCs w:val="32"/>
        </w:rPr>
        <w:t>1.确定治理企业。</w:t>
      </w:r>
    </w:p>
    <w:p>
      <w:pPr>
        <w:ind w:firstLine="640"/>
        <w:rPr>
          <w:rFonts w:hint="eastAsia" w:ascii="仿宋" w:hAnsi="仿宋" w:eastAsia="仿宋" w:cs="仿宋"/>
          <w:sz w:val="32"/>
          <w:szCs w:val="32"/>
        </w:rPr>
      </w:pPr>
      <w:r>
        <w:rPr>
          <w:rFonts w:hint="eastAsia" w:ascii="仿宋" w:hAnsi="仿宋" w:eastAsia="仿宋" w:cs="仿宋"/>
          <w:sz w:val="32"/>
          <w:szCs w:val="32"/>
        </w:rPr>
        <w:t>国家卫生健康委在职业病危害项目申报系统中设立专项治理模块（预计2022年5-6月上线），并推送工业企业名单（已下发）。各市卫生健康委结合既往掌握的数据，包括2020年工业企业职业病危害现状调查、职业病危害项目申报、职业病危害因素监测等，对推送的工业企业名单进行筛选，剔除已关停或不存在职业病危害的企业（剔除后剩余的企业即附表中所称的“有效企业”），再移除有数据证明无超标岗位的企业（也应纳入申报），最终确定需要纳入治理的企业清单，建立本辖区治理企业基础台账。</w:t>
      </w:r>
    </w:p>
    <w:p>
      <w:pPr>
        <w:ind w:firstLine="640"/>
        <w:rPr>
          <w:rFonts w:hint="eastAsia" w:ascii="仿宋" w:hAnsi="仿宋" w:eastAsia="仿宋" w:cs="仿宋"/>
          <w:sz w:val="32"/>
          <w:szCs w:val="32"/>
        </w:rPr>
      </w:pPr>
      <w:r>
        <w:rPr>
          <w:rFonts w:hint="eastAsia" w:ascii="仿宋" w:hAnsi="仿宋" w:eastAsia="仿宋" w:cs="仿宋"/>
          <w:sz w:val="32"/>
          <w:szCs w:val="32"/>
        </w:rPr>
        <w:t>符合以下情形之一的从业人员10人及以上的工业企业，均应纳入治理企业清单：</w:t>
      </w:r>
    </w:p>
    <w:p>
      <w:pPr>
        <w:ind w:firstLine="640"/>
        <w:rPr>
          <w:rFonts w:hint="eastAsia" w:ascii="仿宋" w:hAnsi="仿宋" w:eastAsia="仿宋" w:cs="仿宋"/>
          <w:sz w:val="32"/>
          <w:szCs w:val="32"/>
        </w:rPr>
      </w:pPr>
      <w:r>
        <w:rPr>
          <w:rFonts w:hint="eastAsia" w:ascii="仿宋" w:hAnsi="仿宋" w:eastAsia="仿宋" w:cs="仿宋"/>
          <w:sz w:val="32"/>
          <w:szCs w:val="32"/>
        </w:rPr>
        <w:t>（1）2019年以来未开展职业病危害因素定期检测或评价的工业企业；</w:t>
      </w:r>
    </w:p>
    <w:p>
      <w:pPr>
        <w:ind w:firstLine="640"/>
        <w:rPr>
          <w:rFonts w:hint="eastAsia" w:ascii="仿宋" w:hAnsi="仿宋" w:eastAsia="仿宋" w:cs="仿宋"/>
          <w:sz w:val="32"/>
          <w:szCs w:val="32"/>
        </w:rPr>
      </w:pPr>
      <w:r>
        <w:rPr>
          <w:rFonts w:hint="eastAsia" w:ascii="仿宋" w:hAnsi="仿宋" w:eastAsia="仿宋" w:cs="仿宋"/>
          <w:sz w:val="32"/>
          <w:szCs w:val="32"/>
        </w:rPr>
        <w:t>（2）存在粉尘、化学毒物或噪声危害因素浓（强）度超标情况的工业企业；</w:t>
      </w:r>
    </w:p>
    <w:p>
      <w:pPr>
        <w:ind w:firstLine="640"/>
        <w:rPr>
          <w:rFonts w:hint="eastAsia" w:ascii="仿宋" w:hAnsi="仿宋" w:eastAsia="仿宋" w:cs="仿宋"/>
          <w:sz w:val="32"/>
          <w:szCs w:val="32"/>
        </w:rPr>
      </w:pPr>
      <w:r>
        <w:rPr>
          <w:rFonts w:hint="eastAsia" w:ascii="仿宋" w:hAnsi="仿宋" w:eastAsia="仿宋" w:cs="仿宋"/>
          <w:sz w:val="32"/>
          <w:szCs w:val="32"/>
        </w:rPr>
        <w:t>（3）2019年以来有新发疑似职业病（3例及以上）或确诊职业病病人的工业企业；</w:t>
      </w:r>
    </w:p>
    <w:p>
      <w:pPr>
        <w:ind w:firstLine="640"/>
        <w:rPr>
          <w:rFonts w:ascii="仿宋" w:hAnsi="仿宋" w:eastAsia="仿宋" w:cs="仿宋"/>
          <w:sz w:val="32"/>
          <w:szCs w:val="32"/>
        </w:rPr>
      </w:pPr>
      <w:r>
        <w:rPr>
          <w:rFonts w:hint="eastAsia" w:ascii="仿宋" w:hAnsi="仿宋" w:eastAsia="仿宋" w:cs="仿宋"/>
          <w:sz w:val="32"/>
          <w:szCs w:val="32"/>
        </w:rPr>
        <w:t>（4）2019年以来因职业卫生违法违规行为接受过行政处罚但整改仍未完成的工业企业。</w:t>
      </w:r>
    </w:p>
    <w:p>
      <w:pPr>
        <w:ind w:firstLine="640"/>
        <w:rPr>
          <w:rFonts w:hint="eastAsia" w:ascii="仿宋" w:hAnsi="仿宋" w:eastAsia="仿宋" w:cs="仿宋"/>
          <w:b/>
          <w:sz w:val="32"/>
          <w:szCs w:val="32"/>
        </w:rPr>
      </w:pPr>
      <w:r>
        <w:rPr>
          <w:rFonts w:hint="eastAsia" w:ascii="仿宋" w:hAnsi="仿宋" w:eastAsia="仿宋" w:cs="仿宋"/>
          <w:b/>
          <w:sz w:val="32"/>
          <w:szCs w:val="32"/>
        </w:rPr>
        <w:t>2.全力推进职业病危害项目申报。</w:t>
      </w:r>
    </w:p>
    <w:p>
      <w:pPr>
        <w:ind w:firstLine="640"/>
        <w:rPr>
          <w:rFonts w:ascii="仿宋" w:hAnsi="仿宋" w:eastAsia="仿宋" w:cs="仿宋"/>
          <w:sz w:val="32"/>
          <w:szCs w:val="32"/>
        </w:rPr>
      </w:pPr>
      <w:r>
        <w:rPr>
          <w:rFonts w:hint="eastAsia" w:ascii="仿宋" w:hAnsi="仿宋" w:eastAsia="仿宋" w:cs="仿宋"/>
          <w:sz w:val="32"/>
          <w:szCs w:val="32"/>
        </w:rPr>
        <w:t>各市对照国家推送的工业企业名单，通过实地走访或电话督导等方式，指导企业尽快履行职业病危害项目申报法定义务。广泛动员本地各类职业健康技术支撑机构积极参与，协助本级卫生健康行政部门推动工业企业开展申报和检测评价。各市卫生健康监督执法机构及时跟进，对于拒不履行法定义务的工业企业，开展严格监督执法。</w:t>
      </w:r>
    </w:p>
    <w:p>
      <w:pPr>
        <w:ind w:firstLine="640"/>
        <w:rPr>
          <w:rFonts w:hint="eastAsia" w:ascii="仿宋" w:hAnsi="仿宋" w:eastAsia="仿宋" w:cs="仿宋"/>
          <w:b/>
          <w:sz w:val="32"/>
          <w:szCs w:val="32"/>
        </w:rPr>
      </w:pPr>
      <w:r>
        <w:rPr>
          <w:rFonts w:hint="eastAsia" w:ascii="仿宋" w:hAnsi="仿宋" w:eastAsia="仿宋" w:cs="仿宋"/>
          <w:b/>
          <w:sz w:val="32"/>
          <w:szCs w:val="32"/>
        </w:rPr>
        <w:t>3.制定治理计划。</w:t>
      </w:r>
    </w:p>
    <w:p>
      <w:pPr>
        <w:ind w:firstLine="640"/>
        <w:rPr>
          <w:rFonts w:ascii="仿宋" w:hAnsi="仿宋" w:eastAsia="仿宋" w:cs="仿宋"/>
          <w:sz w:val="32"/>
          <w:szCs w:val="32"/>
        </w:rPr>
      </w:pPr>
      <w:r>
        <w:rPr>
          <w:rFonts w:hint="eastAsia" w:ascii="仿宋" w:hAnsi="仿宋" w:eastAsia="仿宋" w:cs="仿宋"/>
          <w:sz w:val="32"/>
          <w:szCs w:val="32"/>
        </w:rPr>
        <w:t>各市卫生健康行政部门对治理企业进行逐一梳理，按照职业病危害严重程度先“严重”后“一般”的顺序，结合工作量大小统筹纳入年度“双随机”执法检查，确保在2023年底前，所有的治理企业均应至少实地检查1次。各市要结合年度工作任务，制定详细的治理计划，将治理任务分解到市本级和各县（市）区，明确年度工作目标，列出详细的时间进度表。各市2022年度治理工作计划应于2022年8月底前报我委。</w:t>
      </w:r>
    </w:p>
    <w:p>
      <w:pPr>
        <w:ind w:firstLine="640"/>
        <w:rPr>
          <w:rFonts w:hint="eastAsia" w:ascii="仿宋" w:hAnsi="仿宋" w:eastAsia="仿宋" w:cs="仿宋"/>
          <w:b/>
          <w:sz w:val="32"/>
          <w:szCs w:val="32"/>
        </w:rPr>
      </w:pPr>
      <w:r>
        <w:rPr>
          <w:rFonts w:hint="eastAsia" w:ascii="仿宋" w:hAnsi="仿宋" w:eastAsia="仿宋" w:cs="仿宋"/>
          <w:b/>
          <w:sz w:val="32"/>
          <w:szCs w:val="32"/>
        </w:rPr>
        <w:t>4.宣传发动。</w:t>
      </w:r>
    </w:p>
    <w:p>
      <w:pPr>
        <w:ind w:firstLine="640"/>
        <w:rPr>
          <w:rFonts w:ascii="仿宋" w:hAnsi="仿宋" w:eastAsia="仿宋" w:cs="仿宋"/>
          <w:sz w:val="32"/>
          <w:szCs w:val="32"/>
        </w:rPr>
      </w:pPr>
      <w:r>
        <w:rPr>
          <w:rFonts w:hint="eastAsia" w:ascii="仿宋" w:hAnsi="仿宋" w:eastAsia="仿宋" w:cs="仿宋"/>
          <w:sz w:val="32"/>
          <w:szCs w:val="32"/>
        </w:rPr>
        <w:t>各市结合疫情防控形势，通过召开动员部署会、发放告知书、签订承诺书等方式，将治理要求传达至辖区内所有治理企业，确保专项治理工作宣传到位、部署到位。督促2019年以来未开展过职业病危害因素检测或评价的企业尽快完成一次定期检测或现状评价。</w:t>
      </w:r>
    </w:p>
    <w:p>
      <w:pPr>
        <w:ind w:firstLine="640"/>
        <w:rPr>
          <w:rFonts w:hint="eastAsia" w:ascii="楷体" w:hAnsi="楷体" w:eastAsia="楷体" w:cs="楷体"/>
          <w:sz w:val="32"/>
          <w:szCs w:val="32"/>
        </w:rPr>
      </w:pPr>
      <w:r>
        <w:rPr>
          <w:rFonts w:hint="eastAsia" w:ascii="楷体" w:hAnsi="楷体" w:eastAsia="楷体" w:cs="楷体"/>
          <w:sz w:val="32"/>
          <w:szCs w:val="32"/>
        </w:rPr>
        <w:t>（二）治理整改阶段（2022年9月-2025年6月）</w:t>
      </w:r>
    </w:p>
    <w:p>
      <w:pPr>
        <w:ind w:firstLine="640"/>
        <w:rPr>
          <w:rFonts w:hint="eastAsia" w:ascii="仿宋" w:hAnsi="仿宋" w:eastAsia="仿宋" w:cs="仿宋"/>
          <w:b/>
          <w:sz w:val="32"/>
          <w:szCs w:val="32"/>
        </w:rPr>
      </w:pPr>
      <w:r>
        <w:rPr>
          <w:rFonts w:hint="eastAsia" w:ascii="仿宋" w:hAnsi="仿宋" w:eastAsia="仿宋" w:cs="仿宋"/>
          <w:b/>
          <w:sz w:val="32"/>
          <w:szCs w:val="32"/>
        </w:rPr>
        <w:t>1.制定整改方案。</w:t>
      </w:r>
    </w:p>
    <w:p>
      <w:pPr>
        <w:ind w:firstLine="640"/>
        <w:rPr>
          <w:rFonts w:hint="eastAsia" w:ascii="仿宋" w:hAnsi="仿宋" w:eastAsia="仿宋" w:cs="仿宋"/>
          <w:sz w:val="32"/>
          <w:szCs w:val="32"/>
        </w:rPr>
      </w:pPr>
      <w:r>
        <w:rPr>
          <w:rFonts w:hint="eastAsia" w:ascii="仿宋" w:hAnsi="仿宋" w:eastAsia="仿宋" w:cs="仿宋"/>
          <w:sz w:val="32"/>
          <w:szCs w:val="32"/>
        </w:rPr>
        <w:t>治理企业是专项治理工作的责任主体，其主要负责人对本单位职业病危害专项治理工作负总责。治理企业应针对职业病危害超标岗位制定切实可行的整改方案。整改方案应当包括超标岗位名称、超标原因、整改措施、整改时限和资金投入等。治理企业应于2022年10月底前完成整改方案的制定，经主要负责人或授权指定的分管负责人签字，加盖单位公章后报负有监管权限的卫生健康行政部门。2023年开始新纳入的治理企业，要在2个月内完成整改方案的制定，并依程序报告。</w:t>
      </w:r>
    </w:p>
    <w:p>
      <w:pPr>
        <w:ind w:firstLine="640"/>
        <w:rPr>
          <w:rFonts w:ascii="仿宋" w:hAnsi="仿宋" w:eastAsia="仿宋" w:cs="仿宋"/>
          <w:b/>
          <w:sz w:val="32"/>
          <w:szCs w:val="32"/>
        </w:rPr>
      </w:pPr>
      <w:r>
        <w:rPr>
          <w:rFonts w:hint="eastAsia" w:ascii="仿宋" w:hAnsi="仿宋" w:eastAsia="仿宋" w:cs="仿宋"/>
          <w:b/>
          <w:sz w:val="32"/>
          <w:szCs w:val="32"/>
        </w:rPr>
        <w:t>2.有序推进治理。</w:t>
      </w:r>
    </w:p>
    <w:p>
      <w:pPr>
        <w:ind w:firstLine="640"/>
        <w:rPr>
          <w:rFonts w:hint="eastAsia" w:ascii="仿宋" w:hAnsi="仿宋" w:eastAsia="仿宋" w:cs="仿宋"/>
          <w:sz w:val="32"/>
          <w:szCs w:val="32"/>
        </w:rPr>
      </w:pPr>
      <w:r>
        <w:rPr>
          <w:rFonts w:hint="eastAsia" w:ascii="仿宋" w:hAnsi="仿宋" w:eastAsia="仿宋" w:cs="仿宋"/>
          <w:sz w:val="32"/>
          <w:szCs w:val="32"/>
        </w:rPr>
        <w:t>治理企业应根据整改方案开展治理工作，优先采用工程技术措施，从源头减少和降低职业病危害，使作业岗位危害因素浓（强）度达到限值要求。对于采取工程技术措施不能使作业岗位危害因素浓（强）度达到限值要求的，治理企业必须采取个体防护、减少作业时间等管理措施，降低劳动者接触水平，并切实做好职业病危害因素监测、职业健康检查等工作。针对管理措施是否满足防护要求，治理企业应组织开展评价工作，形成评价报告，并根据评价报告结论和建议进行整改完善。</w:t>
      </w:r>
    </w:p>
    <w:p>
      <w:pPr>
        <w:ind w:firstLine="640"/>
        <w:rPr>
          <w:rFonts w:hint="eastAsia" w:ascii="仿宋" w:hAnsi="仿宋" w:eastAsia="仿宋" w:cs="仿宋"/>
          <w:sz w:val="32"/>
          <w:szCs w:val="32"/>
        </w:rPr>
      </w:pPr>
      <w:r>
        <w:rPr>
          <w:rFonts w:hint="eastAsia" w:ascii="仿宋" w:hAnsi="仿宋" w:eastAsia="仿宋" w:cs="仿宋"/>
          <w:sz w:val="32"/>
          <w:szCs w:val="32"/>
        </w:rPr>
        <w:t>上年度未完成治理的治理企业要在下一年度继续开展治理，逐渐提高。已完成专项治理的治理企业应委托有资质的技术服务机构对工作场所职业病危害因素进行检测，由技术服务机构出具相应的检测报告。治理企业应在职业病危害项目申报系统专项治理模块中提交评价报告、检测报告等相关材料。鼓励技术服务机构协助治理企业完成危害项目申报和数据的录入上传。</w:t>
      </w:r>
    </w:p>
    <w:p>
      <w:pPr>
        <w:ind w:firstLine="640"/>
        <w:rPr>
          <w:rFonts w:hint="eastAsia" w:ascii="仿宋" w:hAnsi="仿宋" w:eastAsia="仿宋" w:cs="仿宋"/>
          <w:b/>
          <w:sz w:val="32"/>
          <w:szCs w:val="32"/>
        </w:rPr>
      </w:pPr>
      <w:r>
        <w:rPr>
          <w:rFonts w:hint="eastAsia" w:ascii="仿宋" w:hAnsi="仿宋" w:eastAsia="仿宋" w:cs="仿宋"/>
          <w:b/>
          <w:sz w:val="32"/>
          <w:szCs w:val="32"/>
        </w:rPr>
        <w:t>3.开展督促指导和监督检查。</w:t>
      </w:r>
    </w:p>
    <w:p>
      <w:pPr>
        <w:ind w:firstLine="640"/>
        <w:rPr>
          <w:rFonts w:hint="eastAsia" w:ascii="仿宋" w:hAnsi="仿宋" w:eastAsia="仿宋" w:cs="仿宋"/>
          <w:color w:val="0000FF"/>
          <w:sz w:val="32"/>
          <w:szCs w:val="32"/>
        </w:rPr>
      </w:pPr>
      <w:r>
        <w:rPr>
          <w:rFonts w:hint="eastAsia" w:ascii="仿宋" w:hAnsi="仿宋" w:eastAsia="仿宋" w:cs="仿宋"/>
          <w:sz w:val="32"/>
          <w:szCs w:val="32"/>
        </w:rPr>
        <w:t>各市、县（市）区卫生健康行政部门要加强对辖区内治理企业的督促指导和监督检查，督促治理企业主动整改。对于拒不制定整改方案或拖延整改的，要在第一时间下达限期整改指令，明确整改时限，并及时录入国家监督执法平台。对于中小微企业相对集中的区域，鼓励当地卫生健康行政部门通过政府采购的方式，委托第三方技术服务机构对辖区内治理企业实施中小微企业专项治理帮扶，建立“一企一策”精准指导等帮扶模式；对于大型治理企业，鼓励其自行整改，或委托第三方技术服务机构开展职业健康托管式服务。</w:t>
      </w:r>
    </w:p>
    <w:p>
      <w:pPr>
        <w:ind w:firstLine="640"/>
        <w:rPr>
          <w:rFonts w:hint="eastAsia" w:ascii="仿宋" w:hAnsi="仿宋" w:eastAsia="仿宋" w:cs="仿宋"/>
          <w:sz w:val="32"/>
          <w:szCs w:val="32"/>
        </w:rPr>
      </w:pPr>
      <w:r>
        <w:rPr>
          <w:rFonts w:hint="eastAsia" w:ascii="仿宋" w:hAnsi="仿宋" w:eastAsia="仿宋" w:cs="仿宋"/>
          <w:sz w:val="32"/>
          <w:szCs w:val="32"/>
        </w:rPr>
        <w:t>对治理积极、成效显著的治理企业，要鼓励其持续改进提高；对治理不到位的治理企业，要加大监督执法检查频次，督促其加大治理力度，按规定期限完成治理；对于治理后职业病危害因素仍超标且整改无望的治理企业，要依据《职业病防治法》第七十二条之规定，视其为“情节严重”行为，责令其停止相关作业或提请当地政府予以关闭。</w:t>
      </w:r>
    </w:p>
    <w:p>
      <w:pPr>
        <w:ind w:firstLine="640"/>
        <w:rPr>
          <w:rFonts w:hint="eastAsia" w:ascii="仿宋" w:hAnsi="仿宋" w:eastAsia="仿宋" w:cs="仿宋"/>
          <w:sz w:val="32"/>
          <w:szCs w:val="32"/>
        </w:rPr>
      </w:pPr>
      <w:r>
        <w:rPr>
          <w:rFonts w:hint="eastAsia" w:ascii="仿宋" w:hAnsi="仿宋" w:eastAsia="仿宋" w:cs="仿宋"/>
          <w:sz w:val="32"/>
          <w:szCs w:val="32"/>
        </w:rPr>
        <w:t>各负有监管权限的卫生健康行政部门要掌握辖区内治理企业治理工作进度，必要时可以带专家对治理企业进行现场指导。各市卫生健康行政部门要定期调度各县（市）区专项治理工作进展情况，发现问题及时督促、指导、改进。省级职业病防治综合技术支撑机构和工程防护技术指导中心，要对各市专项治理工作提供相应的技术支撑，接受全省专项治理工作工程防护技术咨询，着力解决治理工作技术难题。省卫生健康监督中心要对各市治理企业的整改进展进行跟踪督办和随机抽查。我委每年将对专项治理工作情况开展调研指导。</w:t>
      </w:r>
    </w:p>
    <w:p>
      <w:pPr>
        <w:ind w:firstLine="640"/>
        <w:rPr>
          <w:rFonts w:hint="eastAsia" w:ascii="仿宋" w:hAnsi="仿宋" w:eastAsia="仿宋" w:cs="仿宋"/>
          <w:b/>
          <w:sz w:val="32"/>
          <w:szCs w:val="32"/>
        </w:rPr>
      </w:pPr>
      <w:r>
        <w:rPr>
          <w:rFonts w:hint="eastAsia" w:ascii="仿宋" w:hAnsi="仿宋" w:eastAsia="仿宋" w:cs="仿宋"/>
          <w:b/>
          <w:sz w:val="32"/>
          <w:szCs w:val="32"/>
        </w:rPr>
        <w:t>4.做好年度总结。</w:t>
      </w:r>
    </w:p>
    <w:p>
      <w:pPr>
        <w:ind w:firstLine="640"/>
        <w:rPr>
          <w:rFonts w:hint="eastAsia" w:ascii="仿宋" w:hAnsi="仿宋" w:eastAsia="仿宋" w:cs="仿宋"/>
          <w:sz w:val="32"/>
          <w:szCs w:val="32"/>
        </w:rPr>
      </w:pPr>
      <w:r>
        <w:rPr>
          <w:rFonts w:hint="eastAsia" w:ascii="仿宋" w:hAnsi="仿宋" w:eastAsia="仿宋" w:cs="仿宋"/>
          <w:sz w:val="32"/>
          <w:szCs w:val="32"/>
        </w:rPr>
        <w:t>各市卫生健康行政部门要认真做好年度总结工作，于每年11月20日前将本年度专项治理工作总结、报表（见附件）以及下年度专项治理计划报送我委。年度总结报告应重点突出、数据详实，主要包括年度工作进展情况、取得的成效、存在的问题以及下年度工作打算等。我委每年对全省专项治理工作进行总结和通报。</w:t>
      </w:r>
    </w:p>
    <w:p>
      <w:pPr>
        <w:ind w:firstLine="640"/>
        <w:rPr>
          <w:rFonts w:hint="eastAsia" w:ascii="楷体" w:hAnsi="楷体" w:eastAsia="楷体" w:cs="楷体"/>
          <w:sz w:val="32"/>
          <w:szCs w:val="32"/>
        </w:rPr>
      </w:pPr>
      <w:r>
        <w:rPr>
          <w:rFonts w:hint="eastAsia" w:ascii="楷体" w:hAnsi="楷体" w:eastAsia="楷体" w:cs="楷体"/>
          <w:sz w:val="32"/>
          <w:szCs w:val="32"/>
        </w:rPr>
        <w:t>（三）全面总结阶段（2025年7月-12月）。</w:t>
      </w:r>
    </w:p>
    <w:p>
      <w:pPr>
        <w:ind w:firstLine="640"/>
        <w:rPr>
          <w:rFonts w:hint="eastAsia" w:ascii="仿宋" w:hAnsi="仿宋" w:eastAsia="仿宋" w:cs="仿宋"/>
          <w:sz w:val="32"/>
          <w:szCs w:val="32"/>
        </w:rPr>
      </w:pPr>
      <w:r>
        <w:rPr>
          <w:rFonts w:hint="eastAsia" w:ascii="仿宋" w:hAnsi="仿宋" w:eastAsia="仿宋" w:cs="仿宋"/>
          <w:sz w:val="32"/>
          <w:szCs w:val="32"/>
        </w:rPr>
        <w:t>各市卫生健康行政部门要做好全面总结工作，客观评价和总结专项治理工作成效。请各市于2025年11月20日前将专项治理工作总结报告报送我委。总结报告应包括治理工作开展情况、典型经验做法、取得成效等。我委将组织对专项治理工作进行总体评估和全面总结。</w:t>
      </w:r>
    </w:p>
    <w:p>
      <w:pPr>
        <w:ind w:firstLine="640"/>
        <w:rPr>
          <w:rFonts w:hint="eastAsia" w:ascii="黑体" w:hAnsi="黑体" w:eastAsia="黑体" w:cs="黑体"/>
          <w:sz w:val="32"/>
          <w:szCs w:val="32"/>
        </w:rPr>
      </w:pPr>
      <w:r>
        <w:rPr>
          <w:rFonts w:hint="eastAsia" w:ascii="黑体" w:hAnsi="黑体" w:eastAsia="黑体" w:cs="黑体"/>
          <w:sz w:val="32"/>
          <w:szCs w:val="32"/>
        </w:rPr>
        <w:t>三、工作要求</w:t>
      </w:r>
    </w:p>
    <w:p>
      <w:pPr>
        <w:ind w:firstLine="640"/>
        <w:rPr>
          <w:rFonts w:hint="eastAsia" w:ascii="楷体" w:hAnsi="楷体" w:eastAsia="楷体" w:cs="楷体"/>
          <w:sz w:val="32"/>
          <w:szCs w:val="32"/>
        </w:rPr>
      </w:pPr>
      <w:r>
        <w:rPr>
          <w:rFonts w:hint="eastAsia" w:ascii="楷体" w:hAnsi="楷体" w:eastAsia="楷体" w:cs="楷体"/>
          <w:sz w:val="32"/>
          <w:szCs w:val="32"/>
        </w:rPr>
        <w:t>（一）加强组织领导。</w:t>
      </w:r>
    </w:p>
    <w:p>
      <w:pPr>
        <w:ind w:firstLine="640"/>
        <w:rPr>
          <w:rFonts w:hint="eastAsia" w:ascii="仿宋" w:hAnsi="仿宋" w:eastAsia="仿宋" w:cs="仿宋"/>
          <w:sz w:val="32"/>
          <w:szCs w:val="32"/>
        </w:rPr>
      </w:pPr>
      <w:r>
        <w:rPr>
          <w:rFonts w:hint="eastAsia" w:ascii="仿宋" w:hAnsi="仿宋" w:eastAsia="仿宋" w:cs="仿宋"/>
          <w:sz w:val="32"/>
          <w:szCs w:val="32"/>
        </w:rPr>
        <w:t>专项治理工作将纳入“十四五”期间各市政府职业卫生工作专项考核，年度阶段性工作目标完成情况将作为考核重要依据。各市卫生健康行政部门要给予高度重视，切实加强组织领导，精心组织，周密部署，因地制宜，结合疫情防控形势，科学制定治理计划，细化治理工作任务，认真组织实施，确保专项治理工作取得实实在在的成效。</w:t>
      </w:r>
    </w:p>
    <w:p>
      <w:pPr>
        <w:ind w:firstLine="640"/>
        <w:rPr>
          <w:rFonts w:hint="eastAsia" w:ascii="楷体" w:hAnsi="楷体" w:eastAsia="楷体" w:cs="楷体"/>
          <w:sz w:val="32"/>
          <w:szCs w:val="32"/>
        </w:rPr>
      </w:pPr>
      <w:r>
        <w:rPr>
          <w:rFonts w:hint="eastAsia" w:ascii="楷体" w:hAnsi="楷体" w:eastAsia="楷体" w:cs="楷体"/>
          <w:sz w:val="32"/>
          <w:szCs w:val="32"/>
        </w:rPr>
        <w:t>（二）坚持综合施策。</w:t>
      </w:r>
    </w:p>
    <w:p>
      <w:pPr>
        <w:ind w:firstLine="640"/>
        <w:rPr>
          <w:rFonts w:hint="eastAsia" w:ascii="仿宋" w:hAnsi="仿宋" w:eastAsia="仿宋" w:cs="仿宋"/>
          <w:sz w:val="32"/>
          <w:szCs w:val="32"/>
        </w:rPr>
      </w:pPr>
      <w:r>
        <w:rPr>
          <w:rFonts w:hint="eastAsia" w:ascii="仿宋" w:hAnsi="仿宋" w:eastAsia="仿宋" w:cs="仿宋"/>
          <w:sz w:val="32"/>
          <w:szCs w:val="32"/>
        </w:rPr>
        <w:t>各级卫生健康行政部门要加强对企业落实职业病防护设施“三同时”制度的监管，强化源头治理。要督促治理企业以超标作业岗位为重点，以落实工程防护措施为关键，加大对现有设备设施升级改造力度，积极使用新技术、新工艺、新材料，提高设备机械化、自动化水平，淘汰落后工艺、设备和材料。对于无法采取工程技术措施，或工程技术措施无法使危害因素浓（强）度达到标准要求的治理企业，要督促其加强个体防护等措施，保护劳动者职业健康权益。</w:t>
      </w:r>
    </w:p>
    <w:p>
      <w:pPr>
        <w:ind w:firstLine="640"/>
        <w:rPr>
          <w:rFonts w:hint="eastAsia" w:ascii="楷体" w:hAnsi="楷体" w:eastAsia="楷体" w:cs="楷体"/>
          <w:sz w:val="32"/>
          <w:szCs w:val="32"/>
        </w:rPr>
      </w:pPr>
      <w:r>
        <w:rPr>
          <w:rFonts w:hint="eastAsia" w:ascii="楷体" w:hAnsi="楷体" w:eastAsia="楷体" w:cs="楷体"/>
          <w:sz w:val="32"/>
          <w:szCs w:val="32"/>
        </w:rPr>
        <w:t>（三）落实监管并行。</w:t>
      </w:r>
    </w:p>
    <w:p>
      <w:pPr>
        <w:ind w:firstLine="640"/>
        <w:rPr>
          <w:rFonts w:hint="eastAsia" w:ascii="仿宋" w:hAnsi="仿宋" w:eastAsia="仿宋" w:cs="仿宋"/>
          <w:sz w:val="32"/>
          <w:szCs w:val="32"/>
        </w:rPr>
      </w:pPr>
      <w:r>
        <w:rPr>
          <w:rFonts w:hint="eastAsia" w:ascii="仿宋" w:hAnsi="仿宋" w:eastAsia="仿宋" w:cs="仿宋"/>
          <w:sz w:val="32"/>
          <w:szCs w:val="32"/>
        </w:rPr>
        <w:t>各级卫生健康行政部门要坚持日常管理与监督执法并重，根据治理企业职业病危害程度及防治水平进行分类指导。对于超标严重、防治水平低的治理企业进行重点指导，同时加大监督执法检查频次和力度；对于专项治理效果好、防治水平高的治理企业，鼓励其创建“健康企业”。要统筹安排专项治理检查工作与工作场所职业病危害因素监测工作，避免重复交叉，提高监管效率。要加强信息化工作，做好治理企业台账动态管理与更新。</w:t>
      </w:r>
    </w:p>
    <w:p>
      <w:pPr>
        <w:ind w:firstLine="640"/>
        <w:rPr>
          <w:rFonts w:hint="eastAsia" w:ascii="楷体" w:hAnsi="楷体" w:eastAsia="楷体" w:cs="楷体"/>
          <w:sz w:val="32"/>
          <w:szCs w:val="32"/>
        </w:rPr>
      </w:pPr>
      <w:r>
        <w:rPr>
          <w:rFonts w:hint="eastAsia" w:ascii="楷体" w:hAnsi="楷体" w:eastAsia="楷体" w:cs="楷体"/>
          <w:sz w:val="32"/>
          <w:szCs w:val="32"/>
        </w:rPr>
        <w:t>（四）广泛宣传教育。</w:t>
      </w:r>
    </w:p>
    <w:p>
      <w:pPr>
        <w:ind w:firstLine="640"/>
        <w:rPr>
          <w:rFonts w:hint="eastAsia" w:ascii="仿宋" w:hAnsi="仿宋" w:eastAsia="仿宋" w:cs="仿宋"/>
          <w:sz w:val="32"/>
          <w:szCs w:val="32"/>
        </w:rPr>
      </w:pPr>
      <w:r>
        <w:rPr>
          <w:rFonts w:hint="eastAsia" w:ascii="仿宋" w:hAnsi="仿宋" w:eastAsia="仿宋" w:cs="仿宋"/>
          <w:sz w:val="32"/>
          <w:szCs w:val="32"/>
        </w:rPr>
        <w:t>各级卫生健康行政部门要充分利用各种媒体平台，采取多种方式，加强对专项治理工作的宣传报道，营造良好的治理工作氛围。要及时发现和宣传基层典型经验和先进做法，充分发挥示范引领作用，以点带面，促进专项治理工作深入开展。对应付了事、工作任务和指标没有按期完成，或未取得实际工作成效的，将适时进行通报。</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u w:val="single"/>
        </w:rPr>
        <w:t xml:space="preserve">     </w:t>
      </w:r>
      <w:r>
        <w:rPr>
          <w:rFonts w:hint="eastAsia" w:ascii="仿宋" w:hAnsi="仿宋" w:eastAsia="仿宋" w:cs="仿宋"/>
          <w:sz w:val="32"/>
          <w:szCs w:val="32"/>
        </w:rPr>
        <w:t>市</w:t>
      </w:r>
      <w:r>
        <w:rPr>
          <w:rFonts w:hint="eastAsia" w:ascii="仿宋" w:hAnsi="仿宋" w:eastAsia="仿宋" w:cs="仿宋"/>
          <w:sz w:val="32"/>
          <w:szCs w:val="32"/>
          <w:u w:val="single"/>
        </w:rPr>
        <w:t>202X</w:t>
      </w:r>
      <w:r>
        <w:rPr>
          <w:rFonts w:hint="eastAsia" w:ascii="仿宋" w:hAnsi="仿宋" w:eastAsia="仿宋" w:cs="仿宋"/>
          <w:sz w:val="32"/>
          <w:szCs w:val="32"/>
        </w:rPr>
        <w:t>年度职业病危害专项治理工作报表</w:t>
      </w:r>
    </w:p>
    <w:p>
      <w:pPr>
        <w:jc w:val="left"/>
        <w:rPr>
          <w:rFonts w:hint="eastAsia" w:ascii="黑体" w:hAnsi="黑体" w:eastAsia="黑体" w:cs="黑体"/>
          <w:sz w:val="32"/>
          <w:szCs w:val="32"/>
        </w:rPr>
        <w:sectPr>
          <w:footerReference r:id="rId3" w:type="default"/>
          <w:pgSz w:w="11906" w:h="16838"/>
          <w:pgMar w:top="2041" w:right="1588" w:bottom="1418" w:left="1588" w:header="851" w:footer="992" w:gutter="0"/>
          <w:pgNumType w:fmt="numberInDash"/>
          <w:cols w:space="720" w:num="1"/>
          <w:docGrid w:type="lines" w:linePitch="312" w:charSpace="0"/>
        </w:sectPr>
      </w:pPr>
    </w:p>
    <w:p>
      <w:pPr>
        <w:jc w:val="left"/>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u w:val="single"/>
        </w:rPr>
        <w:t xml:space="preserve">      </w:t>
      </w:r>
      <w:r>
        <w:rPr>
          <w:rFonts w:hint="eastAsia" w:ascii="方正小标宋简体" w:hAnsi="方正小标宋简体" w:eastAsia="方正小标宋简体" w:cs="方正小标宋简体"/>
          <w:sz w:val="36"/>
          <w:szCs w:val="36"/>
        </w:rPr>
        <w:t>市</w:t>
      </w:r>
      <w:r>
        <w:rPr>
          <w:rFonts w:hint="eastAsia" w:ascii="方正小标宋简体" w:hAnsi="方正小标宋简体" w:eastAsia="方正小标宋简体" w:cs="方正小标宋简体"/>
          <w:sz w:val="36"/>
          <w:szCs w:val="36"/>
          <w:u w:val="single"/>
        </w:rPr>
        <w:t>202X</w:t>
      </w:r>
      <w:r>
        <w:rPr>
          <w:rFonts w:hint="eastAsia" w:ascii="方正小标宋简体" w:hAnsi="方正小标宋简体" w:eastAsia="方正小标宋简体" w:cs="方正小标宋简体"/>
          <w:sz w:val="36"/>
          <w:szCs w:val="36"/>
        </w:rPr>
        <w:t>年度职业病危害专项治理工作报表</w:t>
      </w:r>
    </w:p>
    <w:p>
      <w:pPr>
        <w:spacing w:line="460" w:lineRule="exact"/>
        <w:rPr>
          <w:rFonts w:hint="eastAsia" w:ascii="仿宋" w:hAnsi="仿宋" w:eastAsia="仿宋" w:cs="方正小标宋简体"/>
          <w:b/>
          <w:sz w:val="28"/>
          <w:szCs w:val="28"/>
        </w:rPr>
      </w:pPr>
      <w:r>
        <w:rPr>
          <w:rFonts w:hint="eastAsia" w:ascii="仿宋" w:hAnsi="仿宋" w:eastAsia="仿宋" w:cs="方正小标宋简体"/>
          <w:b/>
          <w:sz w:val="28"/>
          <w:szCs w:val="28"/>
        </w:rPr>
        <w:t>填表单位（公章）：</w:t>
      </w:r>
      <w:r>
        <w:rPr>
          <w:rFonts w:hint="eastAsia" w:ascii="仿宋" w:hAnsi="仿宋" w:eastAsia="仿宋" w:cs="方正小标宋简体"/>
          <w:b/>
          <w:sz w:val="28"/>
          <w:szCs w:val="28"/>
          <w:u w:val="single"/>
        </w:rPr>
        <w:t xml:space="preserve">      </w:t>
      </w:r>
      <w:r>
        <w:rPr>
          <w:rFonts w:hint="eastAsia" w:ascii="仿宋" w:hAnsi="仿宋" w:eastAsia="仿宋" w:cs="方正小标宋简体"/>
          <w:b/>
          <w:sz w:val="28"/>
          <w:szCs w:val="28"/>
        </w:rPr>
        <w:t>市卫生健康委</w:t>
      </w:r>
    </w:p>
    <w:tbl>
      <w:tblPr>
        <w:tblStyle w:val="3"/>
        <w:tblW w:w="15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741"/>
        <w:gridCol w:w="622"/>
        <w:gridCol w:w="585"/>
        <w:gridCol w:w="789"/>
        <w:gridCol w:w="759"/>
        <w:gridCol w:w="746"/>
        <w:gridCol w:w="713"/>
        <w:gridCol w:w="648"/>
        <w:gridCol w:w="666"/>
        <w:gridCol w:w="667"/>
        <w:gridCol w:w="813"/>
        <w:gridCol w:w="646"/>
        <w:gridCol w:w="677"/>
        <w:gridCol w:w="764"/>
        <w:gridCol w:w="807"/>
        <w:gridCol w:w="709"/>
        <w:gridCol w:w="641"/>
        <w:gridCol w:w="590"/>
        <w:gridCol w:w="648"/>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51"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行业</w:t>
            </w:r>
          </w:p>
        </w:tc>
        <w:tc>
          <w:tcPr>
            <w:tcW w:w="709" w:type="dxa"/>
            <w:vMerge w:val="restart"/>
            <w:noWrap w:val="0"/>
            <w:vAlign w:val="center"/>
          </w:tcPr>
          <w:p>
            <w:pPr>
              <w:spacing w:line="240" w:lineRule="exact"/>
              <w:ind w:left="-147" w:leftChars="-70" w:right="-107" w:rightChars="-51"/>
              <w:jc w:val="center"/>
              <w:rPr>
                <w:rFonts w:hint="eastAsia" w:ascii="仿宋" w:hAnsi="仿宋" w:eastAsia="仿宋" w:cs="仿宋"/>
                <w:szCs w:val="21"/>
              </w:rPr>
            </w:pPr>
            <w:r>
              <w:rPr>
                <w:rFonts w:hint="eastAsia" w:ascii="仿宋" w:hAnsi="仿宋" w:eastAsia="仿宋" w:cs="仿宋"/>
                <w:szCs w:val="21"/>
              </w:rPr>
              <w:t>国家推送企业数量（家）</w:t>
            </w:r>
          </w:p>
        </w:tc>
        <w:tc>
          <w:tcPr>
            <w:tcW w:w="741" w:type="dxa"/>
            <w:vMerge w:val="restart"/>
            <w:noWrap w:val="0"/>
            <w:vAlign w:val="center"/>
          </w:tcPr>
          <w:p>
            <w:pPr>
              <w:spacing w:line="240" w:lineRule="exact"/>
              <w:ind w:left="-53" w:leftChars="-25" w:right="-76" w:rightChars="-36"/>
              <w:jc w:val="center"/>
              <w:rPr>
                <w:rFonts w:hint="eastAsia" w:ascii="仿宋" w:hAnsi="仿宋" w:eastAsia="仿宋" w:cs="仿宋"/>
                <w:szCs w:val="21"/>
              </w:rPr>
            </w:pPr>
            <w:r>
              <w:rPr>
                <w:rFonts w:hint="eastAsia" w:ascii="仿宋" w:hAnsi="仿宋" w:eastAsia="仿宋" w:cs="仿宋"/>
                <w:szCs w:val="21"/>
              </w:rPr>
              <w:t>经核实有效企业数量</w:t>
            </w:r>
            <w:r>
              <w:rPr>
                <w:rFonts w:hint="eastAsia" w:ascii="仿宋" w:hAnsi="仿宋" w:eastAsia="仿宋" w:cs="仿宋"/>
                <w:szCs w:val="21"/>
                <w:vertAlign w:val="superscript"/>
              </w:rPr>
              <w:t>1</w:t>
            </w:r>
            <w:r>
              <w:rPr>
                <w:rFonts w:hint="eastAsia" w:ascii="仿宋" w:hAnsi="仿宋" w:eastAsia="仿宋" w:cs="仿宋"/>
                <w:szCs w:val="21"/>
              </w:rPr>
              <w:t>（家）</w:t>
            </w:r>
          </w:p>
        </w:tc>
        <w:tc>
          <w:tcPr>
            <w:tcW w:w="622" w:type="dxa"/>
            <w:vMerge w:val="restart"/>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已申报企业数量</w:t>
            </w:r>
            <w:r>
              <w:rPr>
                <w:rFonts w:hint="eastAsia" w:ascii="仿宋" w:hAnsi="仿宋" w:eastAsia="仿宋" w:cs="仿宋"/>
                <w:szCs w:val="21"/>
                <w:vertAlign w:val="superscript"/>
              </w:rPr>
              <w:t>2</w:t>
            </w:r>
            <w:r>
              <w:rPr>
                <w:rFonts w:hint="eastAsia" w:ascii="仿宋" w:hAnsi="仿宋" w:eastAsia="仿宋" w:cs="仿宋"/>
                <w:szCs w:val="21"/>
              </w:rPr>
              <w:t>（家）</w:t>
            </w:r>
          </w:p>
        </w:tc>
        <w:tc>
          <w:tcPr>
            <w:tcW w:w="585" w:type="dxa"/>
            <w:vMerge w:val="restart"/>
            <w:noWrap w:val="0"/>
            <w:vAlign w:val="center"/>
          </w:tcPr>
          <w:p>
            <w:pPr>
              <w:spacing w:line="240" w:lineRule="exact"/>
              <w:ind w:left="-103" w:leftChars="-49" w:right="-132" w:rightChars="-63"/>
              <w:jc w:val="center"/>
              <w:rPr>
                <w:rFonts w:hint="eastAsia" w:ascii="仿宋" w:hAnsi="仿宋" w:eastAsia="仿宋" w:cs="仿宋"/>
                <w:szCs w:val="21"/>
              </w:rPr>
            </w:pPr>
            <w:r>
              <w:rPr>
                <w:rFonts w:hint="eastAsia" w:ascii="仿宋" w:hAnsi="仿宋" w:eastAsia="仿宋" w:cs="仿宋"/>
                <w:szCs w:val="21"/>
              </w:rPr>
              <w:t>已检测评价企业数量</w:t>
            </w:r>
            <w:r>
              <w:rPr>
                <w:rFonts w:hint="eastAsia" w:ascii="仿宋" w:hAnsi="仿宋" w:eastAsia="仿宋" w:cs="仿宋"/>
                <w:szCs w:val="21"/>
                <w:vertAlign w:val="superscript"/>
              </w:rPr>
              <w:t>3</w:t>
            </w:r>
            <w:r>
              <w:rPr>
                <w:rFonts w:hint="eastAsia" w:ascii="仿宋" w:hAnsi="仿宋" w:eastAsia="仿宋" w:cs="仿宋"/>
                <w:szCs w:val="21"/>
              </w:rPr>
              <w:t>（家）</w:t>
            </w:r>
          </w:p>
        </w:tc>
        <w:tc>
          <w:tcPr>
            <w:tcW w:w="789"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2022年度纳入治理企业数量（家）</w:t>
            </w:r>
          </w:p>
        </w:tc>
        <w:tc>
          <w:tcPr>
            <w:tcW w:w="759"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本年度新增治理企业数量</w:t>
            </w:r>
            <w:r>
              <w:rPr>
                <w:rFonts w:hint="eastAsia" w:ascii="仿宋" w:hAnsi="仿宋" w:eastAsia="仿宋" w:cs="仿宋"/>
                <w:szCs w:val="21"/>
                <w:vertAlign w:val="superscript"/>
              </w:rPr>
              <w:t>4</w:t>
            </w:r>
            <w:r>
              <w:rPr>
                <w:rFonts w:hint="eastAsia" w:ascii="仿宋" w:hAnsi="仿宋" w:eastAsia="仿宋" w:cs="仿宋"/>
                <w:szCs w:val="21"/>
              </w:rPr>
              <w:t>（家）</w:t>
            </w:r>
          </w:p>
        </w:tc>
        <w:tc>
          <w:tcPr>
            <w:tcW w:w="746"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本年度监督执法检查治理企业数量（家）</w:t>
            </w:r>
          </w:p>
        </w:tc>
        <w:tc>
          <w:tcPr>
            <w:tcW w:w="713"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制定整改方案的企业数量（家）</w:t>
            </w:r>
          </w:p>
        </w:tc>
        <w:tc>
          <w:tcPr>
            <w:tcW w:w="4881" w:type="dxa"/>
            <w:gridSpan w:val="7"/>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治理企业岗位超标情况</w:t>
            </w:r>
          </w:p>
        </w:tc>
        <w:tc>
          <w:tcPr>
            <w:tcW w:w="807" w:type="dxa"/>
            <w:vMerge w:val="restart"/>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vertAlign w:val="superscript"/>
              </w:rPr>
            </w:pPr>
            <w:r>
              <w:rPr>
                <w:rFonts w:hint="eastAsia" w:ascii="仿宋" w:hAnsi="仿宋" w:eastAsia="仿宋" w:cs="仿宋"/>
                <w:szCs w:val="21"/>
              </w:rPr>
              <w:t>经治理，本年度超标岗位已全部合格企业数</w:t>
            </w:r>
            <w:r>
              <w:rPr>
                <w:rFonts w:hint="eastAsia" w:ascii="仿宋" w:hAnsi="仿宋" w:eastAsia="仿宋" w:cs="仿宋"/>
                <w:szCs w:val="21"/>
                <w:vertAlign w:val="superscript"/>
              </w:rPr>
              <w:t>6</w:t>
            </w:r>
          </w:p>
          <w:p>
            <w:pPr>
              <w:spacing w:line="240" w:lineRule="exact"/>
              <w:jc w:val="center"/>
              <w:rPr>
                <w:rFonts w:ascii="仿宋" w:hAnsi="仿宋" w:eastAsia="仿宋" w:cs="仿宋"/>
                <w:szCs w:val="21"/>
              </w:rPr>
            </w:pPr>
            <w:r>
              <w:rPr>
                <w:rFonts w:hint="eastAsia" w:ascii="仿宋" w:hAnsi="仿宋" w:eastAsia="仿宋" w:cs="仿宋"/>
                <w:szCs w:val="21"/>
              </w:rPr>
              <w:t>（家）</w:t>
            </w:r>
          </w:p>
        </w:tc>
        <w:tc>
          <w:tcPr>
            <w:tcW w:w="709"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已在申报系统上传检测报告企业数（家）</w:t>
            </w:r>
          </w:p>
        </w:tc>
        <w:tc>
          <w:tcPr>
            <w:tcW w:w="2527" w:type="dxa"/>
            <w:gridSpan w:val="4"/>
            <w:vMerge w:val="restart"/>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851"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09" w:type="dxa"/>
            <w:vMerge w:val="continue"/>
            <w:noWrap w:val="0"/>
            <w:vAlign w:val="center"/>
          </w:tcPr>
          <w:p>
            <w:pPr>
              <w:spacing w:line="240" w:lineRule="exact"/>
              <w:jc w:val="center"/>
              <w:rPr>
                <w:rFonts w:ascii="仿宋" w:hAnsi="仿宋" w:eastAsia="仿宋" w:cs="仿宋"/>
                <w:szCs w:val="21"/>
              </w:rPr>
            </w:pPr>
          </w:p>
        </w:tc>
        <w:tc>
          <w:tcPr>
            <w:tcW w:w="741" w:type="dxa"/>
            <w:vMerge w:val="continue"/>
            <w:noWrap w:val="0"/>
            <w:vAlign w:val="center"/>
          </w:tcPr>
          <w:p>
            <w:pPr>
              <w:spacing w:line="240" w:lineRule="exact"/>
              <w:jc w:val="center"/>
              <w:rPr>
                <w:rFonts w:ascii="仿宋" w:hAnsi="仿宋" w:eastAsia="仿宋" w:cs="仿宋"/>
                <w:szCs w:val="21"/>
              </w:rPr>
            </w:pPr>
          </w:p>
        </w:tc>
        <w:tc>
          <w:tcPr>
            <w:tcW w:w="622"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585" w:type="dxa"/>
            <w:vMerge w:val="continue"/>
            <w:noWrap w:val="0"/>
            <w:vAlign w:val="center"/>
          </w:tcPr>
          <w:p>
            <w:pPr>
              <w:spacing w:line="240" w:lineRule="exact"/>
              <w:jc w:val="center"/>
              <w:rPr>
                <w:rFonts w:ascii="仿宋" w:hAnsi="仿宋" w:eastAsia="仿宋" w:cs="仿宋"/>
                <w:szCs w:val="21"/>
              </w:rPr>
            </w:pPr>
          </w:p>
        </w:tc>
        <w:tc>
          <w:tcPr>
            <w:tcW w:w="789"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59"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46"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13"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648"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共检测岗位数量（个）</w:t>
            </w:r>
          </w:p>
        </w:tc>
        <w:tc>
          <w:tcPr>
            <w:tcW w:w="3469" w:type="dxa"/>
            <w:gridSpan w:val="5"/>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其中，超标岗位数量</w:t>
            </w:r>
            <w:r>
              <w:rPr>
                <w:rFonts w:hint="eastAsia" w:ascii="仿宋" w:hAnsi="仿宋" w:eastAsia="仿宋" w:cs="仿宋"/>
                <w:szCs w:val="21"/>
                <w:vertAlign w:val="superscript"/>
              </w:rPr>
              <w:t>5</w:t>
            </w:r>
            <w:r>
              <w:rPr>
                <w:rFonts w:hint="eastAsia" w:ascii="仿宋" w:hAnsi="仿宋" w:eastAsia="仿宋" w:cs="仿宋"/>
                <w:szCs w:val="21"/>
              </w:rPr>
              <w:t>（个）</w:t>
            </w:r>
          </w:p>
        </w:tc>
        <w:tc>
          <w:tcPr>
            <w:tcW w:w="764" w:type="dxa"/>
            <w:vMerge w:val="restart"/>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经治理，本年度已合格岗位数（个）</w:t>
            </w:r>
          </w:p>
        </w:tc>
        <w:tc>
          <w:tcPr>
            <w:tcW w:w="807"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09"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2527" w:type="dxa"/>
            <w:gridSpan w:val="4"/>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1"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09" w:type="dxa"/>
            <w:vMerge w:val="continue"/>
            <w:noWrap w:val="0"/>
            <w:vAlign w:val="center"/>
          </w:tcPr>
          <w:p>
            <w:pPr>
              <w:spacing w:line="240" w:lineRule="exact"/>
              <w:jc w:val="center"/>
              <w:rPr>
                <w:rFonts w:ascii="仿宋" w:hAnsi="仿宋" w:eastAsia="仿宋" w:cs="仿宋"/>
                <w:szCs w:val="21"/>
              </w:rPr>
            </w:pPr>
          </w:p>
        </w:tc>
        <w:tc>
          <w:tcPr>
            <w:tcW w:w="741" w:type="dxa"/>
            <w:vMerge w:val="continue"/>
            <w:noWrap w:val="0"/>
            <w:vAlign w:val="center"/>
          </w:tcPr>
          <w:p>
            <w:pPr>
              <w:spacing w:line="240" w:lineRule="exact"/>
              <w:jc w:val="center"/>
              <w:rPr>
                <w:rFonts w:ascii="仿宋" w:hAnsi="仿宋" w:eastAsia="仿宋" w:cs="仿宋"/>
                <w:szCs w:val="21"/>
              </w:rPr>
            </w:pPr>
          </w:p>
        </w:tc>
        <w:tc>
          <w:tcPr>
            <w:tcW w:w="622"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585" w:type="dxa"/>
            <w:vMerge w:val="continue"/>
            <w:noWrap w:val="0"/>
            <w:vAlign w:val="center"/>
          </w:tcPr>
          <w:p>
            <w:pPr>
              <w:spacing w:line="240" w:lineRule="exact"/>
              <w:jc w:val="center"/>
              <w:rPr>
                <w:rFonts w:ascii="仿宋" w:hAnsi="仿宋" w:eastAsia="仿宋" w:cs="仿宋"/>
                <w:szCs w:val="21"/>
              </w:rPr>
            </w:pPr>
          </w:p>
        </w:tc>
        <w:tc>
          <w:tcPr>
            <w:tcW w:w="789"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59"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46"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713"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648"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666" w:type="dxa"/>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超标岗位总数（个）</w:t>
            </w:r>
          </w:p>
        </w:tc>
        <w:tc>
          <w:tcPr>
            <w:tcW w:w="667" w:type="dxa"/>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粉尘超标岗位（个）</w:t>
            </w:r>
          </w:p>
        </w:tc>
        <w:tc>
          <w:tcPr>
            <w:tcW w:w="813" w:type="dxa"/>
            <w:noWrap w:val="0"/>
            <w:tcMar>
              <w:top w:w="0" w:type="dxa"/>
              <w:left w:w="6" w:type="dxa"/>
              <w:bottom w:w="0" w:type="dxa"/>
              <w:right w:w="6" w:type="dxa"/>
            </w:tcMar>
            <w:vAlign w:val="center"/>
          </w:tcPr>
          <w:p>
            <w:pPr>
              <w:spacing w:line="240" w:lineRule="exact"/>
              <w:ind w:right="8" w:rightChars="4"/>
              <w:jc w:val="center"/>
              <w:rPr>
                <w:rFonts w:ascii="仿宋" w:hAnsi="仿宋" w:eastAsia="仿宋" w:cs="仿宋"/>
                <w:szCs w:val="21"/>
              </w:rPr>
            </w:pPr>
            <w:r>
              <w:rPr>
                <w:rFonts w:hint="eastAsia" w:ascii="仿宋" w:hAnsi="仿宋" w:eastAsia="仿宋" w:cs="仿宋"/>
                <w:szCs w:val="21"/>
              </w:rPr>
              <w:t>化学毒物超标岗位（个）</w:t>
            </w:r>
          </w:p>
        </w:tc>
        <w:tc>
          <w:tcPr>
            <w:tcW w:w="646" w:type="dxa"/>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噪声超标岗位（个）</w:t>
            </w:r>
          </w:p>
        </w:tc>
        <w:tc>
          <w:tcPr>
            <w:tcW w:w="677" w:type="dxa"/>
            <w:noWrap w:val="0"/>
            <w:tcMar>
              <w:top w:w="0" w:type="dxa"/>
              <w:left w:w="6" w:type="dxa"/>
              <w:bottom w:w="0" w:type="dxa"/>
              <w:right w:w="6" w:type="dxa"/>
            </w:tcMar>
            <w:vAlign w:val="center"/>
          </w:tcPr>
          <w:p>
            <w:pPr>
              <w:spacing w:line="240" w:lineRule="exact"/>
              <w:jc w:val="center"/>
              <w:rPr>
                <w:rFonts w:ascii="仿宋" w:hAnsi="仿宋" w:eastAsia="仿宋" w:cs="仿宋"/>
                <w:szCs w:val="21"/>
              </w:rPr>
            </w:pPr>
            <w:r>
              <w:rPr>
                <w:rFonts w:hint="eastAsia" w:ascii="仿宋" w:hAnsi="仿宋" w:eastAsia="仿宋" w:cs="仿宋"/>
                <w:szCs w:val="21"/>
              </w:rPr>
              <w:t>其他因素超标岗位（个）</w:t>
            </w:r>
          </w:p>
        </w:tc>
        <w:tc>
          <w:tcPr>
            <w:tcW w:w="764" w:type="dxa"/>
            <w:vMerge w:val="continue"/>
            <w:noWrap w:val="0"/>
            <w:tcMar>
              <w:top w:w="0" w:type="dxa"/>
              <w:left w:w="6" w:type="dxa"/>
              <w:bottom w:w="0" w:type="dxa"/>
              <w:right w:w="6" w:type="dxa"/>
            </w:tcMar>
            <w:vAlign w:val="center"/>
          </w:tcPr>
          <w:p>
            <w:pPr>
              <w:spacing w:line="240" w:lineRule="exact"/>
              <w:jc w:val="center"/>
              <w:rPr>
                <w:rFonts w:ascii="仿宋" w:hAnsi="仿宋" w:eastAsia="仿宋" w:cs="仿宋"/>
                <w:szCs w:val="21"/>
              </w:rPr>
            </w:pPr>
          </w:p>
        </w:tc>
        <w:tc>
          <w:tcPr>
            <w:tcW w:w="807" w:type="dxa"/>
            <w:vMerge w:val="continue"/>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p>
        </w:tc>
        <w:tc>
          <w:tcPr>
            <w:tcW w:w="709" w:type="dxa"/>
            <w:vMerge w:val="continue"/>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p>
        </w:tc>
        <w:tc>
          <w:tcPr>
            <w:tcW w:w="641" w:type="dxa"/>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下达执法文书（份）</w:t>
            </w:r>
          </w:p>
        </w:tc>
        <w:tc>
          <w:tcPr>
            <w:tcW w:w="590" w:type="dxa"/>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警告，责令整改（家）</w:t>
            </w:r>
          </w:p>
        </w:tc>
        <w:tc>
          <w:tcPr>
            <w:tcW w:w="648" w:type="dxa"/>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罚款</w:t>
            </w:r>
          </w:p>
          <w:p>
            <w:pPr>
              <w:spacing w:line="240" w:lineRule="exact"/>
              <w:rPr>
                <w:rFonts w:hint="eastAsia" w:ascii="仿宋" w:hAnsi="仿宋" w:eastAsia="仿宋" w:cs="仿宋"/>
                <w:spacing w:val="-20"/>
                <w:szCs w:val="21"/>
              </w:rPr>
            </w:pPr>
            <w:r>
              <w:rPr>
                <w:rFonts w:hint="eastAsia" w:ascii="仿宋" w:hAnsi="仿宋" w:eastAsia="仿宋" w:cs="仿宋"/>
                <w:spacing w:val="-20"/>
                <w:szCs w:val="21"/>
              </w:rPr>
              <w:t>（万元）</w:t>
            </w:r>
          </w:p>
        </w:tc>
        <w:tc>
          <w:tcPr>
            <w:tcW w:w="648" w:type="dxa"/>
            <w:noWrap w:val="0"/>
            <w:tcMar>
              <w:top w:w="0" w:type="dxa"/>
              <w:left w:w="6" w:type="dxa"/>
              <w:bottom w:w="0" w:type="dxa"/>
              <w:right w:w="6" w:type="dxa"/>
            </w:tcMar>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提请关闭（家）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1" w:type="dxa"/>
            <w:noWrap w:val="0"/>
            <w:tcMar>
              <w:top w:w="0" w:type="dxa"/>
              <w:left w:w="6" w:type="dxa"/>
              <w:bottom w:w="0" w:type="dxa"/>
              <w:right w:w="6" w:type="dxa"/>
            </w:tcMar>
            <w:vAlign w:val="center"/>
          </w:tcPr>
          <w:p>
            <w:pPr>
              <w:jc w:val="left"/>
              <w:rPr>
                <w:rFonts w:ascii="仿宋" w:hAnsi="仿宋" w:eastAsia="仿宋" w:cs="仿宋"/>
                <w:szCs w:val="21"/>
              </w:rPr>
            </w:pPr>
            <w:r>
              <w:rPr>
                <w:rFonts w:ascii="仿宋" w:hAnsi="仿宋" w:eastAsia="仿宋" w:cs="仿宋"/>
                <w:szCs w:val="21"/>
              </w:rPr>
              <w:t>采矿业</w:t>
            </w:r>
          </w:p>
        </w:tc>
        <w:tc>
          <w:tcPr>
            <w:tcW w:w="709" w:type="dxa"/>
            <w:noWrap w:val="0"/>
            <w:vAlign w:val="center"/>
          </w:tcPr>
          <w:p>
            <w:pPr>
              <w:jc w:val="center"/>
              <w:rPr>
                <w:rFonts w:ascii="仿宋" w:hAnsi="仿宋" w:eastAsia="仿宋" w:cs="仿宋"/>
                <w:szCs w:val="21"/>
              </w:rPr>
            </w:pPr>
          </w:p>
        </w:tc>
        <w:tc>
          <w:tcPr>
            <w:tcW w:w="741" w:type="dxa"/>
            <w:noWrap w:val="0"/>
            <w:vAlign w:val="center"/>
          </w:tcPr>
          <w:p>
            <w:pPr>
              <w:jc w:val="center"/>
              <w:rPr>
                <w:rFonts w:ascii="仿宋" w:hAnsi="仿宋" w:eastAsia="仿宋" w:cs="仿宋"/>
                <w:szCs w:val="21"/>
              </w:rPr>
            </w:pPr>
          </w:p>
        </w:tc>
        <w:tc>
          <w:tcPr>
            <w:tcW w:w="622" w:type="dxa"/>
            <w:noWrap w:val="0"/>
            <w:tcMar>
              <w:top w:w="0" w:type="dxa"/>
              <w:left w:w="6" w:type="dxa"/>
              <w:bottom w:w="0" w:type="dxa"/>
              <w:right w:w="6" w:type="dxa"/>
            </w:tcMar>
            <w:vAlign w:val="center"/>
          </w:tcPr>
          <w:p>
            <w:pPr>
              <w:jc w:val="center"/>
              <w:rPr>
                <w:rFonts w:ascii="仿宋" w:hAnsi="仿宋" w:eastAsia="仿宋" w:cs="仿宋"/>
                <w:szCs w:val="21"/>
              </w:rPr>
            </w:pPr>
          </w:p>
        </w:tc>
        <w:tc>
          <w:tcPr>
            <w:tcW w:w="585" w:type="dxa"/>
            <w:noWrap w:val="0"/>
            <w:vAlign w:val="center"/>
          </w:tcPr>
          <w:p>
            <w:pPr>
              <w:jc w:val="center"/>
              <w:rPr>
                <w:rFonts w:ascii="仿宋" w:hAnsi="仿宋" w:eastAsia="仿宋" w:cs="仿宋"/>
                <w:szCs w:val="21"/>
              </w:rPr>
            </w:pPr>
          </w:p>
        </w:tc>
        <w:tc>
          <w:tcPr>
            <w:tcW w:w="789" w:type="dxa"/>
            <w:noWrap w:val="0"/>
            <w:tcMar>
              <w:top w:w="0" w:type="dxa"/>
              <w:left w:w="6" w:type="dxa"/>
              <w:bottom w:w="0" w:type="dxa"/>
              <w:right w:w="6" w:type="dxa"/>
            </w:tcMar>
            <w:vAlign w:val="center"/>
          </w:tcPr>
          <w:p>
            <w:pPr>
              <w:jc w:val="center"/>
              <w:rPr>
                <w:rFonts w:ascii="仿宋" w:hAnsi="仿宋" w:eastAsia="仿宋" w:cs="仿宋"/>
                <w:szCs w:val="21"/>
              </w:rPr>
            </w:pPr>
          </w:p>
        </w:tc>
        <w:tc>
          <w:tcPr>
            <w:tcW w:w="759" w:type="dxa"/>
            <w:noWrap w:val="0"/>
            <w:tcMar>
              <w:top w:w="0" w:type="dxa"/>
              <w:left w:w="6" w:type="dxa"/>
              <w:bottom w:w="0" w:type="dxa"/>
              <w:right w:w="6" w:type="dxa"/>
            </w:tcMar>
            <w:vAlign w:val="center"/>
          </w:tcPr>
          <w:p>
            <w:pPr>
              <w:jc w:val="center"/>
              <w:rPr>
                <w:rFonts w:ascii="仿宋" w:hAnsi="仿宋" w:eastAsia="仿宋" w:cs="仿宋"/>
                <w:szCs w:val="21"/>
              </w:rPr>
            </w:pPr>
          </w:p>
        </w:tc>
        <w:tc>
          <w:tcPr>
            <w:tcW w:w="746" w:type="dxa"/>
            <w:noWrap w:val="0"/>
            <w:tcMar>
              <w:top w:w="0" w:type="dxa"/>
              <w:left w:w="6" w:type="dxa"/>
              <w:bottom w:w="0" w:type="dxa"/>
              <w:right w:w="6" w:type="dxa"/>
            </w:tcMar>
            <w:vAlign w:val="center"/>
          </w:tcPr>
          <w:p>
            <w:pPr>
              <w:jc w:val="center"/>
              <w:rPr>
                <w:rFonts w:ascii="仿宋" w:hAnsi="仿宋" w:eastAsia="仿宋" w:cs="仿宋"/>
                <w:szCs w:val="21"/>
              </w:rPr>
            </w:pPr>
          </w:p>
        </w:tc>
        <w:tc>
          <w:tcPr>
            <w:tcW w:w="7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66" w:type="dxa"/>
            <w:noWrap w:val="0"/>
            <w:tcMar>
              <w:top w:w="0" w:type="dxa"/>
              <w:left w:w="6" w:type="dxa"/>
              <w:bottom w:w="0" w:type="dxa"/>
              <w:right w:w="6" w:type="dxa"/>
            </w:tcMar>
            <w:vAlign w:val="center"/>
          </w:tcPr>
          <w:p>
            <w:pPr>
              <w:jc w:val="center"/>
              <w:rPr>
                <w:rFonts w:ascii="仿宋" w:hAnsi="仿宋" w:eastAsia="仿宋" w:cs="仿宋"/>
                <w:szCs w:val="21"/>
              </w:rPr>
            </w:pPr>
          </w:p>
        </w:tc>
        <w:tc>
          <w:tcPr>
            <w:tcW w:w="667" w:type="dxa"/>
            <w:noWrap w:val="0"/>
            <w:tcMar>
              <w:top w:w="0" w:type="dxa"/>
              <w:left w:w="6" w:type="dxa"/>
              <w:bottom w:w="0" w:type="dxa"/>
              <w:right w:w="6" w:type="dxa"/>
            </w:tcMar>
            <w:vAlign w:val="center"/>
          </w:tcPr>
          <w:p>
            <w:pPr>
              <w:jc w:val="center"/>
              <w:rPr>
                <w:rFonts w:ascii="仿宋" w:hAnsi="仿宋" w:eastAsia="仿宋" w:cs="仿宋"/>
                <w:szCs w:val="21"/>
              </w:rPr>
            </w:pPr>
          </w:p>
        </w:tc>
        <w:tc>
          <w:tcPr>
            <w:tcW w:w="8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6" w:type="dxa"/>
            <w:noWrap w:val="0"/>
            <w:tcMar>
              <w:top w:w="0" w:type="dxa"/>
              <w:left w:w="6" w:type="dxa"/>
              <w:bottom w:w="0" w:type="dxa"/>
              <w:right w:w="6" w:type="dxa"/>
            </w:tcMar>
            <w:vAlign w:val="center"/>
          </w:tcPr>
          <w:p>
            <w:pPr>
              <w:jc w:val="center"/>
              <w:rPr>
                <w:rFonts w:ascii="仿宋" w:hAnsi="仿宋" w:eastAsia="仿宋" w:cs="仿宋"/>
                <w:szCs w:val="21"/>
              </w:rPr>
            </w:pPr>
          </w:p>
        </w:tc>
        <w:tc>
          <w:tcPr>
            <w:tcW w:w="677" w:type="dxa"/>
            <w:noWrap w:val="0"/>
            <w:tcMar>
              <w:top w:w="0" w:type="dxa"/>
              <w:left w:w="6" w:type="dxa"/>
              <w:bottom w:w="0" w:type="dxa"/>
              <w:right w:w="6" w:type="dxa"/>
            </w:tcMar>
            <w:vAlign w:val="center"/>
          </w:tcPr>
          <w:p>
            <w:pPr>
              <w:jc w:val="center"/>
              <w:rPr>
                <w:rFonts w:ascii="仿宋" w:hAnsi="仿宋" w:eastAsia="仿宋" w:cs="仿宋"/>
                <w:szCs w:val="21"/>
              </w:rPr>
            </w:pPr>
          </w:p>
        </w:tc>
        <w:tc>
          <w:tcPr>
            <w:tcW w:w="764" w:type="dxa"/>
            <w:noWrap w:val="0"/>
            <w:tcMar>
              <w:top w:w="0" w:type="dxa"/>
              <w:left w:w="6" w:type="dxa"/>
              <w:bottom w:w="0" w:type="dxa"/>
              <w:right w:w="6" w:type="dxa"/>
            </w:tcMar>
            <w:vAlign w:val="center"/>
          </w:tcPr>
          <w:p>
            <w:pPr>
              <w:jc w:val="center"/>
              <w:rPr>
                <w:rFonts w:ascii="仿宋" w:hAnsi="仿宋" w:eastAsia="仿宋" w:cs="仿宋"/>
                <w:szCs w:val="21"/>
              </w:rPr>
            </w:pPr>
          </w:p>
        </w:tc>
        <w:tc>
          <w:tcPr>
            <w:tcW w:w="807" w:type="dxa"/>
            <w:noWrap w:val="0"/>
            <w:tcMar>
              <w:top w:w="0" w:type="dxa"/>
              <w:left w:w="6" w:type="dxa"/>
              <w:bottom w:w="0" w:type="dxa"/>
              <w:right w:w="6" w:type="dxa"/>
            </w:tcMar>
            <w:vAlign w:val="center"/>
          </w:tcPr>
          <w:p>
            <w:pPr>
              <w:jc w:val="center"/>
              <w:rPr>
                <w:rFonts w:ascii="仿宋" w:hAnsi="仿宋" w:eastAsia="仿宋" w:cs="仿宋"/>
                <w:szCs w:val="21"/>
              </w:rPr>
            </w:pPr>
          </w:p>
        </w:tc>
        <w:tc>
          <w:tcPr>
            <w:tcW w:w="709" w:type="dxa"/>
            <w:noWrap w:val="0"/>
            <w:tcMar>
              <w:top w:w="0" w:type="dxa"/>
              <w:left w:w="6" w:type="dxa"/>
              <w:bottom w:w="0" w:type="dxa"/>
              <w:right w:w="6" w:type="dxa"/>
            </w:tcMar>
            <w:vAlign w:val="center"/>
          </w:tcPr>
          <w:p>
            <w:pPr>
              <w:jc w:val="center"/>
              <w:rPr>
                <w:rFonts w:ascii="仿宋" w:hAnsi="仿宋" w:eastAsia="仿宋" w:cs="仿宋"/>
                <w:szCs w:val="21"/>
              </w:rPr>
            </w:pPr>
          </w:p>
        </w:tc>
        <w:tc>
          <w:tcPr>
            <w:tcW w:w="641" w:type="dxa"/>
            <w:noWrap w:val="0"/>
            <w:tcMar>
              <w:top w:w="0" w:type="dxa"/>
              <w:left w:w="6" w:type="dxa"/>
              <w:bottom w:w="0" w:type="dxa"/>
              <w:right w:w="6" w:type="dxa"/>
            </w:tcMar>
            <w:vAlign w:val="center"/>
          </w:tcPr>
          <w:p>
            <w:pPr>
              <w:jc w:val="center"/>
              <w:rPr>
                <w:rFonts w:ascii="仿宋" w:hAnsi="仿宋" w:eastAsia="仿宋" w:cs="仿宋"/>
                <w:szCs w:val="21"/>
              </w:rPr>
            </w:pPr>
          </w:p>
        </w:tc>
        <w:tc>
          <w:tcPr>
            <w:tcW w:w="590"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1" w:type="dxa"/>
            <w:noWrap w:val="0"/>
            <w:tcMar>
              <w:top w:w="0" w:type="dxa"/>
              <w:left w:w="6" w:type="dxa"/>
              <w:bottom w:w="0" w:type="dxa"/>
              <w:right w:w="6" w:type="dxa"/>
            </w:tcMar>
            <w:vAlign w:val="center"/>
          </w:tcPr>
          <w:p>
            <w:pPr>
              <w:jc w:val="left"/>
              <w:rPr>
                <w:rFonts w:ascii="仿宋" w:hAnsi="仿宋" w:eastAsia="仿宋" w:cs="仿宋"/>
                <w:szCs w:val="21"/>
              </w:rPr>
            </w:pPr>
            <w:r>
              <w:rPr>
                <w:rFonts w:ascii="仿宋" w:hAnsi="仿宋" w:eastAsia="仿宋" w:cs="仿宋"/>
                <w:szCs w:val="21"/>
              </w:rPr>
              <w:t>制造业</w:t>
            </w:r>
          </w:p>
        </w:tc>
        <w:tc>
          <w:tcPr>
            <w:tcW w:w="709" w:type="dxa"/>
            <w:noWrap w:val="0"/>
            <w:vAlign w:val="center"/>
          </w:tcPr>
          <w:p>
            <w:pPr>
              <w:jc w:val="center"/>
              <w:rPr>
                <w:rFonts w:ascii="仿宋" w:hAnsi="仿宋" w:eastAsia="仿宋" w:cs="仿宋"/>
                <w:szCs w:val="21"/>
              </w:rPr>
            </w:pPr>
          </w:p>
        </w:tc>
        <w:tc>
          <w:tcPr>
            <w:tcW w:w="741" w:type="dxa"/>
            <w:noWrap w:val="0"/>
            <w:vAlign w:val="center"/>
          </w:tcPr>
          <w:p>
            <w:pPr>
              <w:jc w:val="center"/>
              <w:rPr>
                <w:rFonts w:ascii="仿宋" w:hAnsi="仿宋" w:eastAsia="仿宋" w:cs="仿宋"/>
                <w:szCs w:val="21"/>
              </w:rPr>
            </w:pPr>
          </w:p>
        </w:tc>
        <w:tc>
          <w:tcPr>
            <w:tcW w:w="622" w:type="dxa"/>
            <w:noWrap w:val="0"/>
            <w:tcMar>
              <w:top w:w="0" w:type="dxa"/>
              <w:left w:w="6" w:type="dxa"/>
              <w:bottom w:w="0" w:type="dxa"/>
              <w:right w:w="6" w:type="dxa"/>
            </w:tcMar>
            <w:vAlign w:val="center"/>
          </w:tcPr>
          <w:p>
            <w:pPr>
              <w:jc w:val="center"/>
              <w:rPr>
                <w:rFonts w:ascii="仿宋" w:hAnsi="仿宋" w:eastAsia="仿宋" w:cs="仿宋"/>
                <w:szCs w:val="21"/>
              </w:rPr>
            </w:pPr>
          </w:p>
        </w:tc>
        <w:tc>
          <w:tcPr>
            <w:tcW w:w="585" w:type="dxa"/>
            <w:noWrap w:val="0"/>
            <w:vAlign w:val="center"/>
          </w:tcPr>
          <w:p>
            <w:pPr>
              <w:jc w:val="center"/>
              <w:rPr>
                <w:rFonts w:ascii="仿宋" w:hAnsi="仿宋" w:eastAsia="仿宋" w:cs="仿宋"/>
                <w:szCs w:val="21"/>
              </w:rPr>
            </w:pPr>
          </w:p>
        </w:tc>
        <w:tc>
          <w:tcPr>
            <w:tcW w:w="789" w:type="dxa"/>
            <w:noWrap w:val="0"/>
            <w:tcMar>
              <w:top w:w="0" w:type="dxa"/>
              <w:left w:w="6" w:type="dxa"/>
              <w:bottom w:w="0" w:type="dxa"/>
              <w:right w:w="6" w:type="dxa"/>
            </w:tcMar>
            <w:vAlign w:val="center"/>
          </w:tcPr>
          <w:p>
            <w:pPr>
              <w:jc w:val="center"/>
              <w:rPr>
                <w:rFonts w:ascii="仿宋" w:hAnsi="仿宋" w:eastAsia="仿宋" w:cs="仿宋"/>
                <w:szCs w:val="21"/>
              </w:rPr>
            </w:pPr>
          </w:p>
        </w:tc>
        <w:tc>
          <w:tcPr>
            <w:tcW w:w="759" w:type="dxa"/>
            <w:noWrap w:val="0"/>
            <w:tcMar>
              <w:top w:w="0" w:type="dxa"/>
              <w:left w:w="6" w:type="dxa"/>
              <w:bottom w:w="0" w:type="dxa"/>
              <w:right w:w="6" w:type="dxa"/>
            </w:tcMar>
            <w:vAlign w:val="center"/>
          </w:tcPr>
          <w:p>
            <w:pPr>
              <w:jc w:val="center"/>
              <w:rPr>
                <w:rFonts w:ascii="仿宋" w:hAnsi="仿宋" w:eastAsia="仿宋" w:cs="仿宋"/>
                <w:szCs w:val="21"/>
              </w:rPr>
            </w:pPr>
          </w:p>
        </w:tc>
        <w:tc>
          <w:tcPr>
            <w:tcW w:w="746" w:type="dxa"/>
            <w:noWrap w:val="0"/>
            <w:tcMar>
              <w:top w:w="0" w:type="dxa"/>
              <w:left w:w="6" w:type="dxa"/>
              <w:bottom w:w="0" w:type="dxa"/>
              <w:right w:w="6" w:type="dxa"/>
            </w:tcMar>
            <w:vAlign w:val="center"/>
          </w:tcPr>
          <w:p>
            <w:pPr>
              <w:jc w:val="center"/>
              <w:rPr>
                <w:rFonts w:ascii="仿宋" w:hAnsi="仿宋" w:eastAsia="仿宋" w:cs="仿宋"/>
                <w:szCs w:val="21"/>
              </w:rPr>
            </w:pPr>
          </w:p>
        </w:tc>
        <w:tc>
          <w:tcPr>
            <w:tcW w:w="7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66" w:type="dxa"/>
            <w:noWrap w:val="0"/>
            <w:tcMar>
              <w:top w:w="0" w:type="dxa"/>
              <w:left w:w="6" w:type="dxa"/>
              <w:bottom w:w="0" w:type="dxa"/>
              <w:right w:w="6" w:type="dxa"/>
            </w:tcMar>
            <w:vAlign w:val="center"/>
          </w:tcPr>
          <w:p>
            <w:pPr>
              <w:jc w:val="center"/>
              <w:rPr>
                <w:rFonts w:ascii="仿宋" w:hAnsi="仿宋" w:eastAsia="仿宋" w:cs="仿宋"/>
                <w:szCs w:val="21"/>
              </w:rPr>
            </w:pPr>
          </w:p>
        </w:tc>
        <w:tc>
          <w:tcPr>
            <w:tcW w:w="667" w:type="dxa"/>
            <w:noWrap w:val="0"/>
            <w:tcMar>
              <w:top w:w="0" w:type="dxa"/>
              <w:left w:w="6" w:type="dxa"/>
              <w:bottom w:w="0" w:type="dxa"/>
              <w:right w:w="6" w:type="dxa"/>
            </w:tcMar>
            <w:vAlign w:val="center"/>
          </w:tcPr>
          <w:p>
            <w:pPr>
              <w:jc w:val="center"/>
              <w:rPr>
                <w:rFonts w:ascii="仿宋" w:hAnsi="仿宋" w:eastAsia="仿宋" w:cs="仿宋"/>
                <w:szCs w:val="21"/>
              </w:rPr>
            </w:pPr>
          </w:p>
        </w:tc>
        <w:tc>
          <w:tcPr>
            <w:tcW w:w="8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6" w:type="dxa"/>
            <w:noWrap w:val="0"/>
            <w:tcMar>
              <w:top w:w="0" w:type="dxa"/>
              <w:left w:w="6" w:type="dxa"/>
              <w:bottom w:w="0" w:type="dxa"/>
              <w:right w:w="6" w:type="dxa"/>
            </w:tcMar>
            <w:vAlign w:val="center"/>
          </w:tcPr>
          <w:p>
            <w:pPr>
              <w:jc w:val="center"/>
              <w:rPr>
                <w:rFonts w:ascii="仿宋" w:hAnsi="仿宋" w:eastAsia="仿宋" w:cs="仿宋"/>
                <w:szCs w:val="21"/>
              </w:rPr>
            </w:pPr>
          </w:p>
        </w:tc>
        <w:tc>
          <w:tcPr>
            <w:tcW w:w="677" w:type="dxa"/>
            <w:noWrap w:val="0"/>
            <w:tcMar>
              <w:top w:w="0" w:type="dxa"/>
              <w:left w:w="6" w:type="dxa"/>
              <w:bottom w:w="0" w:type="dxa"/>
              <w:right w:w="6" w:type="dxa"/>
            </w:tcMar>
            <w:vAlign w:val="center"/>
          </w:tcPr>
          <w:p>
            <w:pPr>
              <w:jc w:val="center"/>
              <w:rPr>
                <w:rFonts w:ascii="仿宋" w:hAnsi="仿宋" w:eastAsia="仿宋" w:cs="仿宋"/>
                <w:szCs w:val="21"/>
              </w:rPr>
            </w:pPr>
          </w:p>
        </w:tc>
        <w:tc>
          <w:tcPr>
            <w:tcW w:w="764" w:type="dxa"/>
            <w:noWrap w:val="0"/>
            <w:tcMar>
              <w:top w:w="0" w:type="dxa"/>
              <w:left w:w="6" w:type="dxa"/>
              <w:bottom w:w="0" w:type="dxa"/>
              <w:right w:w="6" w:type="dxa"/>
            </w:tcMar>
            <w:vAlign w:val="center"/>
          </w:tcPr>
          <w:p>
            <w:pPr>
              <w:jc w:val="center"/>
              <w:rPr>
                <w:rFonts w:ascii="仿宋" w:hAnsi="仿宋" w:eastAsia="仿宋" w:cs="仿宋"/>
                <w:szCs w:val="21"/>
              </w:rPr>
            </w:pPr>
          </w:p>
        </w:tc>
        <w:tc>
          <w:tcPr>
            <w:tcW w:w="807" w:type="dxa"/>
            <w:noWrap w:val="0"/>
            <w:tcMar>
              <w:top w:w="0" w:type="dxa"/>
              <w:left w:w="6" w:type="dxa"/>
              <w:bottom w:w="0" w:type="dxa"/>
              <w:right w:w="6" w:type="dxa"/>
            </w:tcMar>
            <w:vAlign w:val="center"/>
          </w:tcPr>
          <w:p>
            <w:pPr>
              <w:jc w:val="center"/>
              <w:rPr>
                <w:rFonts w:ascii="仿宋" w:hAnsi="仿宋" w:eastAsia="仿宋" w:cs="仿宋"/>
                <w:szCs w:val="21"/>
              </w:rPr>
            </w:pPr>
          </w:p>
        </w:tc>
        <w:tc>
          <w:tcPr>
            <w:tcW w:w="709" w:type="dxa"/>
            <w:noWrap w:val="0"/>
            <w:tcMar>
              <w:top w:w="0" w:type="dxa"/>
              <w:left w:w="6" w:type="dxa"/>
              <w:bottom w:w="0" w:type="dxa"/>
              <w:right w:w="6" w:type="dxa"/>
            </w:tcMar>
            <w:vAlign w:val="center"/>
          </w:tcPr>
          <w:p>
            <w:pPr>
              <w:jc w:val="center"/>
              <w:rPr>
                <w:rFonts w:ascii="仿宋" w:hAnsi="仿宋" w:eastAsia="仿宋" w:cs="仿宋"/>
                <w:szCs w:val="21"/>
              </w:rPr>
            </w:pPr>
          </w:p>
        </w:tc>
        <w:tc>
          <w:tcPr>
            <w:tcW w:w="641" w:type="dxa"/>
            <w:noWrap w:val="0"/>
            <w:tcMar>
              <w:top w:w="0" w:type="dxa"/>
              <w:left w:w="6" w:type="dxa"/>
              <w:bottom w:w="0" w:type="dxa"/>
              <w:right w:w="6" w:type="dxa"/>
            </w:tcMar>
            <w:vAlign w:val="center"/>
          </w:tcPr>
          <w:p>
            <w:pPr>
              <w:jc w:val="center"/>
              <w:rPr>
                <w:rFonts w:ascii="仿宋" w:hAnsi="仿宋" w:eastAsia="仿宋" w:cs="仿宋"/>
                <w:szCs w:val="21"/>
              </w:rPr>
            </w:pPr>
          </w:p>
        </w:tc>
        <w:tc>
          <w:tcPr>
            <w:tcW w:w="590"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1" w:type="dxa"/>
            <w:noWrap w:val="0"/>
            <w:tcMar>
              <w:top w:w="0" w:type="dxa"/>
              <w:left w:w="6" w:type="dxa"/>
              <w:bottom w:w="0" w:type="dxa"/>
              <w:right w:w="6" w:type="dxa"/>
            </w:tcMar>
            <w:vAlign w:val="center"/>
          </w:tcPr>
          <w:p>
            <w:pPr>
              <w:jc w:val="left"/>
              <w:rPr>
                <w:rFonts w:ascii="仿宋" w:hAnsi="仿宋" w:eastAsia="仿宋" w:cs="仿宋"/>
                <w:spacing w:val="-20"/>
                <w:szCs w:val="21"/>
              </w:rPr>
            </w:pPr>
            <w:r>
              <w:rPr>
                <w:rFonts w:ascii="仿宋" w:hAnsi="仿宋" w:eastAsia="仿宋" w:cs="仿宋"/>
                <w:spacing w:val="-20"/>
                <w:szCs w:val="21"/>
              </w:rPr>
              <w:t>电力</w:t>
            </w:r>
            <w:r>
              <w:rPr>
                <w:rFonts w:hint="eastAsia" w:ascii="仿宋" w:hAnsi="仿宋" w:eastAsia="仿宋" w:cs="仿宋"/>
                <w:spacing w:val="-20"/>
                <w:szCs w:val="21"/>
              </w:rPr>
              <w:t>、</w:t>
            </w:r>
            <w:r>
              <w:rPr>
                <w:rFonts w:ascii="仿宋" w:hAnsi="仿宋" w:eastAsia="仿宋" w:cs="仿宋"/>
                <w:spacing w:val="-20"/>
                <w:szCs w:val="21"/>
              </w:rPr>
              <w:t>燃气及水的生产和供应业</w:t>
            </w:r>
          </w:p>
        </w:tc>
        <w:tc>
          <w:tcPr>
            <w:tcW w:w="709" w:type="dxa"/>
            <w:noWrap w:val="0"/>
            <w:vAlign w:val="center"/>
          </w:tcPr>
          <w:p>
            <w:pPr>
              <w:jc w:val="center"/>
              <w:rPr>
                <w:rFonts w:ascii="仿宋" w:hAnsi="仿宋" w:eastAsia="仿宋" w:cs="仿宋"/>
                <w:szCs w:val="21"/>
              </w:rPr>
            </w:pPr>
          </w:p>
        </w:tc>
        <w:tc>
          <w:tcPr>
            <w:tcW w:w="741" w:type="dxa"/>
            <w:noWrap w:val="0"/>
            <w:vAlign w:val="center"/>
          </w:tcPr>
          <w:p>
            <w:pPr>
              <w:jc w:val="center"/>
              <w:rPr>
                <w:rFonts w:ascii="仿宋" w:hAnsi="仿宋" w:eastAsia="仿宋" w:cs="仿宋"/>
                <w:szCs w:val="21"/>
              </w:rPr>
            </w:pPr>
          </w:p>
        </w:tc>
        <w:tc>
          <w:tcPr>
            <w:tcW w:w="622" w:type="dxa"/>
            <w:noWrap w:val="0"/>
            <w:tcMar>
              <w:top w:w="0" w:type="dxa"/>
              <w:left w:w="6" w:type="dxa"/>
              <w:bottom w:w="0" w:type="dxa"/>
              <w:right w:w="6" w:type="dxa"/>
            </w:tcMar>
            <w:vAlign w:val="center"/>
          </w:tcPr>
          <w:p>
            <w:pPr>
              <w:jc w:val="center"/>
              <w:rPr>
                <w:rFonts w:ascii="仿宋" w:hAnsi="仿宋" w:eastAsia="仿宋" w:cs="仿宋"/>
                <w:szCs w:val="21"/>
              </w:rPr>
            </w:pPr>
          </w:p>
        </w:tc>
        <w:tc>
          <w:tcPr>
            <w:tcW w:w="585" w:type="dxa"/>
            <w:noWrap w:val="0"/>
            <w:vAlign w:val="center"/>
          </w:tcPr>
          <w:p>
            <w:pPr>
              <w:jc w:val="center"/>
              <w:rPr>
                <w:rFonts w:ascii="仿宋" w:hAnsi="仿宋" w:eastAsia="仿宋" w:cs="仿宋"/>
                <w:szCs w:val="21"/>
              </w:rPr>
            </w:pPr>
          </w:p>
        </w:tc>
        <w:tc>
          <w:tcPr>
            <w:tcW w:w="789" w:type="dxa"/>
            <w:noWrap w:val="0"/>
            <w:tcMar>
              <w:top w:w="0" w:type="dxa"/>
              <w:left w:w="6" w:type="dxa"/>
              <w:bottom w:w="0" w:type="dxa"/>
              <w:right w:w="6" w:type="dxa"/>
            </w:tcMar>
            <w:vAlign w:val="center"/>
          </w:tcPr>
          <w:p>
            <w:pPr>
              <w:jc w:val="center"/>
              <w:rPr>
                <w:rFonts w:ascii="仿宋" w:hAnsi="仿宋" w:eastAsia="仿宋" w:cs="仿宋"/>
                <w:szCs w:val="21"/>
              </w:rPr>
            </w:pPr>
          </w:p>
        </w:tc>
        <w:tc>
          <w:tcPr>
            <w:tcW w:w="759" w:type="dxa"/>
            <w:noWrap w:val="0"/>
            <w:tcMar>
              <w:top w:w="0" w:type="dxa"/>
              <w:left w:w="6" w:type="dxa"/>
              <w:bottom w:w="0" w:type="dxa"/>
              <w:right w:w="6" w:type="dxa"/>
            </w:tcMar>
            <w:vAlign w:val="center"/>
          </w:tcPr>
          <w:p>
            <w:pPr>
              <w:jc w:val="center"/>
              <w:rPr>
                <w:rFonts w:ascii="仿宋" w:hAnsi="仿宋" w:eastAsia="仿宋" w:cs="仿宋"/>
                <w:szCs w:val="21"/>
              </w:rPr>
            </w:pPr>
          </w:p>
        </w:tc>
        <w:tc>
          <w:tcPr>
            <w:tcW w:w="746" w:type="dxa"/>
            <w:noWrap w:val="0"/>
            <w:tcMar>
              <w:top w:w="0" w:type="dxa"/>
              <w:left w:w="6" w:type="dxa"/>
              <w:bottom w:w="0" w:type="dxa"/>
              <w:right w:w="6" w:type="dxa"/>
            </w:tcMar>
            <w:vAlign w:val="center"/>
          </w:tcPr>
          <w:p>
            <w:pPr>
              <w:jc w:val="center"/>
              <w:rPr>
                <w:rFonts w:ascii="仿宋" w:hAnsi="仿宋" w:eastAsia="仿宋" w:cs="仿宋"/>
                <w:szCs w:val="21"/>
              </w:rPr>
            </w:pPr>
          </w:p>
        </w:tc>
        <w:tc>
          <w:tcPr>
            <w:tcW w:w="7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66" w:type="dxa"/>
            <w:noWrap w:val="0"/>
            <w:tcMar>
              <w:top w:w="0" w:type="dxa"/>
              <w:left w:w="6" w:type="dxa"/>
              <w:bottom w:w="0" w:type="dxa"/>
              <w:right w:w="6" w:type="dxa"/>
            </w:tcMar>
            <w:vAlign w:val="center"/>
          </w:tcPr>
          <w:p>
            <w:pPr>
              <w:jc w:val="center"/>
              <w:rPr>
                <w:rFonts w:ascii="仿宋" w:hAnsi="仿宋" w:eastAsia="仿宋" w:cs="仿宋"/>
                <w:szCs w:val="21"/>
              </w:rPr>
            </w:pPr>
          </w:p>
        </w:tc>
        <w:tc>
          <w:tcPr>
            <w:tcW w:w="667" w:type="dxa"/>
            <w:noWrap w:val="0"/>
            <w:tcMar>
              <w:top w:w="0" w:type="dxa"/>
              <w:left w:w="6" w:type="dxa"/>
              <w:bottom w:w="0" w:type="dxa"/>
              <w:right w:w="6" w:type="dxa"/>
            </w:tcMar>
            <w:vAlign w:val="center"/>
          </w:tcPr>
          <w:p>
            <w:pPr>
              <w:jc w:val="center"/>
              <w:rPr>
                <w:rFonts w:ascii="仿宋" w:hAnsi="仿宋" w:eastAsia="仿宋" w:cs="仿宋"/>
                <w:szCs w:val="21"/>
              </w:rPr>
            </w:pPr>
          </w:p>
        </w:tc>
        <w:tc>
          <w:tcPr>
            <w:tcW w:w="8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6" w:type="dxa"/>
            <w:noWrap w:val="0"/>
            <w:tcMar>
              <w:top w:w="0" w:type="dxa"/>
              <w:left w:w="6" w:type="dxa"/>
              <w:bottom w:w="0" w:type="dxa"/>
              <w:right w:w="6" w:type="dxa"/>
            </w:tcMar>
            <w:vAlign w:val="center"/>
          </w:tcPr>
          <w:p>
            <w:pPr>
              <w:jc w:val="center"/>
              <w:rPr>
                <w:rFonts w:ascii="仿宋" w:hAnsi="仿宋" w:eastAsia="仿宋" w:cs="仿宋"/>
                <w:szCs w:val="21"/>
              </w:rPr>
            </w:pPr>
          </w:p>
        </w:tc>
        <w:tc>
          <w:tcPr>
            <w:tcW w:w="677" w:type="dxa"/>
            <w:noWrap w:val="0"/>
            <w:tcMar>
              <w:top w:w="0" w:type="dxa"/>
              <w:left w:w="6" w:type="dxa"/>
              <w:bottom w:w="0" w:type="dxa"/>
              <w:right w:w="6" w:type="dxa"/>
            </w:tcMar>
            <w:vAlign w:val="center"/>
          </w:tcPr>
          <w:p>
            <w:pPr>
              <w:jc w:val="center"/>
              <w:rPr>
                <w:rFonts w:ascii="仿宋" w:hAnsi="仿宋" w:eastAsia="仿宋" w:cs="仿宋"/>
                <w:szCs w:val="21"/>
              </w:rPr>
            </w:pPr>
          </w:p>
        </w:tc>
        <w:tc>
          <w:tcPr>
            <w:tcW w:w="764" w:type="dxa"/>
            <w:noWrap w:val="0"/>
            <w:tcMar>
              <w:top w:w="0" w:type="dxa"/>
              <w:left w:w="6" w:type="dxa"/>
              <w:bottom w:w="0" w:type="dxa"/>
              <w:right w:w="6" w:type="dxa"/>
            </w:tcMar>
            <w:vAlign w:val="center"/>
          </w:tcPr>
          <w:p>
            <w:pPr>
              <w:jc w:val="center"/>
              <w:rPr>
                <w:rFonts w:ascii="仿宋" w:hAnsi="仿宋" w:eastAsia="仿宋" w:cs="仿宋"/>
                <w:szCs w:val="21"/>
              </w:rPr>
            </w:pPr>
          </w:p>
        </w:tc>
        <w:tc>
          <w:tcPr>
            <w:tcW w:w="807" w:type="dxa"/>
            <w:noWrap w:val="0"/>
            <w:tcMar>
              <w:top w:w="0" w:type="dxa"/>
              <w:left w:w="6" w:type="dxa"/>
              <w:bottom w:w="0" w:type="dxa"/>
              <w:right w:w="6" w:type="dxa"/>
            </w:tcMar>
            <w:vAlign w:val="center"/>
          </w:tcPr>
          <w:p>
            <w:pPr>
              <w:jc w:val="center"/>
              <w:rPr>
                <w:rFonts w:ascii="仿宋" w:hAnsi="仿宋" w:eastAsia="仿宋" w:cs="仿宋"/>
                <w:szCs w:val="21"/>
              </w:rPr>
            </w:pPr>
          </w:p>
        </w:tc>
        <w:tc>
          <w:tcPr>
            <w:tcW w:w="709" w:type="dxa"/>
            <w:noWrap w:val="0"/>
            <w:tcMar>
              <w:top w:w="0" w:type="dxa"/>
              <w:left w:w="6" w:type="dxa"/>
              <w:bottom w:w="0" w:type="dxa"/>
              <w:right w:w="6" w:type="dxa"/>
            </w:tcMar>
            <w:vAlign w:val="center"/>
          </w:tcPr>
          <w:p>
            <w:pPr>
              <w:jc w:val="center"/>
              <w:rPr>
                <w:rFonts w:ascii="仿宋" w:hAnsi="仿宋" w:eastAsia="仿宋" w:cs="仿宋"/>
                <w:szCs w:val="21"/>
              </w:rPr>
            </w:pPr>
          </w:p>
        </w:tc>
        <w:tc>
          <w:tcPr>
            <w:tcW w:w="641" w:type="dxa"/>
            <w:noWrap w:val="0"/>
            <w:tcMar>
              <w:top w:w="0" w:type="dxa"/>
              <w:left w:w="6" w:type="dxa"/>
              <w:bottom w:w="0" w:type="dxa"/>
              <w:right w:w="6" w:type="dxa"/>
            </w:tcMar>
            <w:vAlign w:val="center"/>
          </w:tcPr>
          <w:p>
            <w:pPr>
              <w:jc w:val="center"/>
              <w:rPr>
                <w:rFonts w:ascii="仿宋" w:hAnsi="仿宋" w:eastAsia="仿宋" w:cs="仿宋"/>
                <w:szCs w:val="21"/>
              </w:rPr>
            </w:pPr>
          </w:p>
        </w:tc>
        <w:tc>
          <w:tcPr>
            <w:tcW w:w="590"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1" w:type="dxa"/>
            <w:noWrap w:val="0"/>
            <w:tcMar>
              <w:top w:w="0" w:type="dxa"/>
              <w:left w:w="6" w:type="dxa"/>
              <w:bottom w:w="0" w:type="dxa"/>
              <w:right w:w="6" w:type="dxa"/>
            </w:tcMar>
            <w:vAlign w:val="center"/>
          </w:tcPr>
          <w:p>
            <w:pPr>
              <w:jc w:val="left"/>
              <w:rPr>
                <w:rFonts w:ascii="仿宋" w:hAnsi="仿宋" w:eastAsia="仿宋" w:cs="仿宋"/>
                <w:szCs w:val="21"/>
              </w:rPr>
            </w:pPr>
            <w:r>
              <w:rPr>
                <w:rFonts w:ascii="仿宋" w:hAnsi="仿宋" w:eastAsia="仿宋" w:cs="仿宋"/>
                <w:szCs w:val="21"/>
              </w:rPr>
              <w:t>其他</w:t>
            </w:r>
          </w:p>
        </w:tc>
        <w:tc>
          <w:tcPr>
            <w:tcW w:w="709" w:type="dxa"/>
            <w:noWrap w:val="0"/>
            <w:vAlign w:val="center"/>
          </w:tcPr>
          <w:p>
            <w:pPr>
              <w:jc w:val="center"/>
              <w:rPr>
                <w:rFonts w:ascii="仿宋" w:hAnsi="仿宋" w:eastAsia="仿宋" w:cs="仿宋"/>
                <w:szCs w:val="21"/>
              </w:rPr>
            </w:pPr>
          </w:p>
        </w:tc>
        <w:tc>
          <w:tcPr>
            <w:tcW w:w="741" w:type="dxa"/>
            <w:noWrap w:val="0"/>
            <w:vAlign w:val="center"/>
          </w:tcPr>
          <w:p>
            <w:pPr>
              <w:jc w:val="center"/>
              <w:rPr>
                <w:rFonts w:ascii="仿宋" w:hAnsi="仿宋" w:eastAsia="仿宋" w:cs="仿宋"/>
                <w:szCs w:val="21"/>
              </w:rPr>
            </w:pPr>
          </w:p>
        </w:tc>
        <w:tc>
          <w:tcPr>
            <w:tcW w:w="622" w:type="dxa"/>
            <w:noWrap w:val="0"/>
            <w:tcMar>
              <w:top w:w="0" w:type="dxa"/>
              <w:left w:w="6" w:type="dxa"/>
              <w:bottom w:w="0" w:type="dxa"/>
              <w:right w:w="6" w:type="dxa"/>
            </w:tcMar>
            <w:vAlign w:val="center"/>
          </w:tcPr>
          <w:p>
            <w:pPr>
              <w:jc w:val="center"/>
              <w:rPr>
                <w:rFonts w:ascii="仿宋" w:hAnsi="仿宋" w:eastAsia="仿宋" w:cs="仿宋"/>
                <w:szCs w:val="21"/>
              </w:rPr>
            </w:pPr>
          </w:p>
        </w:tc>
        <w:tc>
          <w:tcPr>
            <w:tcW w:w="585" w:type="dxa"/>
            <w:noWrap w:val="0"/>
            <w:vAlign w:val="center"/>
          </w:tcPr>
          <w:p>
            <w:pPr>
              <w:jc w:val="center"/>
              <w:rPr>
                <w:rFonts w:ascii="仿宋" w:hAnsi="仿宋" w:eastAsia="仿宋" w:cs="仿宋"/>
                <w:szCs w:val="21"/>
              </w:rPr>
            </w:pPr>
          </w:p>
        </w:tc>
        <w:tc>
          <w:tcPr>
            <w:tcW w:w="789" w:type="dxa"/>
            <w:noWrap w:val="0"/>
            <w:tcMar>
              <w:top w:w="0" w:type="dxa"/>
              <w:left w:w="6" w:type="dxa"/>
              <w:bottom w:w="0" w:type="dxa"/>
              <w:right w:w="6" w:type="dxa"/>
            </w:tcMar>
            <w:vAlign w:val="center"/>
          </w:tcPr>
          <w:p>
            <w:pPr>
              <w:jc w:val="center"/>
              <w:rPr>
                <w:rFonts w:ascii="仿宋" w:hAnsi="仿宋" w:eastAsia="仿宋" w:cs="仿宋"/>
                <w:szCs w:val="21"/>
              </w:rPr>
            </w:pPr>
          </w:p>
        </w:tc>
        <w:tc>
          <w:tcPr>
            <w:tcW w:w="759" w:type="dxa"/>
            <w:noWrap w:val="0"/>
            <w:tcMar>
              <w:top w:w="0" w:type="dxa"/>
              <w:left w:w="6" w:type="dxa"/>
              <w:bottom w:w="0" w:type="dxa"/>
              <w:right w:w="6" w:type="dxa"/>
            </w:tcMar>
            <w:vAlign w:val="center"/>
          </w:tcPr>
          <w:p>
            <w:pPr>
              <w:jc w:val="center"/>
              <w:rPr>
                <w:rFonts w:ascii="仿宋" w:hAnsi="仿宋" w:eastAsia="仿宋" w:cs="仿宋"/>
                <w:szCs w:val="21"/>
              </w:rPr>
            </w:pPr>
          </w:p>
        </w:tc>
        <w:tc>
          <w:tcPr>
            <w:tcW w:w="746" w:type="dxa"/>
            <w:noWrap w:val="0"/>
            <w:tcMar>
              <w:top w:w="0" w:type="dxa"/>
              <w:left w:w="6" w:type="dxa"/>
              <w:bottom w:w="0" w:type="dxa"/>
              <w:right w:w="6" w:type="dxa"/>
            </w:tcMar>
            <w:vAlign w:val="center"/>
          </w:tcPr>
          <w:p>
            <w:pPr>
              <w:jc w:val="center"/>
              <w:rPr>
                <w:rFonts w:ascii="仿宋" w:hAnsi="仿宋" w:eastAsia="仿宋" w:cs="仿宋"/>
                <w:szCs w:val="21"/>
              </w:rPr>
            </w:pPr>
          </w:p>
        </w:tc>
        <w:tc>
          <w:tcPr>
            <w:tcW w:w="7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66" w:type="dxa"/>
            <w:noWrap w:val="0"/>
            <w:tcMar>
              <w:top w:w="0" w:type="dxa"/>
              <w:left w:w="6" w:type="dxa"/>
              <w:bottom w:w="0" w:type="dxa"/>
              <w:right w:w="6" w:type="dxa"/>
            </w:tcMar>
            <w:vAlign w:val="center"/>
          </w:tcPr>
          <w:p>
            <w:pPr>
              <w:jc w:val="center"/>
              <w:rPr>
                <w:rFonts w:ascii="仿宋" w:hAnsi="仿宋" w:eastAsia="仿宋" w:cs="仿宋"/>
                <w:szCs w:val="21"/>
              </w:rPr>
            </w:pPr>
          </w:p>
        </w:tc>
        <w:tc>
          <w:tcPr>
            <w:tcW w:w="667" w:type="dxa"/>
            <w:noWrap w:val="0"/>
            <w:tcMar>
              <w:top w:w="0" w:type="dxa"/>
              <w:left w:w="6" w:type="dxa"/>
              <w:bottom w:w="0" w:type="dxa"/>
              <w:right w:w="6" w:type="dxa"/>
            </w:tcMar>
            <w:vAlign w:val="center"/>
          </w:tcPr>
          <w:p>
            <w:pPr>
              <w:jc w:val="center"/>
              <w:rPr>
                <w:rFonts w:ascii="仿宋" w:hAnsi="仿宋" w:eastAsia="仿宋" w:cs="仿宋"/>
                <w:szCs w:val="21"/>
              </w:rPr>
            </w:pPr>
          </w:p>
        </w:tc>
        <w:tc>
          <w:tcPr>
            <w:tcW w:w="8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6" w:type="dxa"/>
            <w:noWrap w:val="0"/>
            <w:tcMar>
              <w:top w:w="0" w:type="dxa"/>
              <w:left w:w="6" w:type="dxa"/>
              <w:bottom w:w="0" w:type="dxa"/>
              <w:right w:w="6" w:type="dxa"/>
            </w:tcMar>
            <w:vAlign w:val="center"/>
          </w:tcPr>
          <w:p>
            <w:pPr>
              <w:jc w:val="center"/>
              <w:rPr>
                <w:rFonts w:ascii="仿宋" w:hAnsi="仿宋" w:eastAsia="仿宋" w:cs="仿宋"/>
                <w:szCs w:val="21"/>
              </w:rPr>
            </w:pPr>
          </w:p>
        </w:tc>
        <w:tc>
          <w:tcPr>
            <w:tcW w:w="677" w:type="dxa"/>
            <w:noWrap w:val="0"/>
            <w:tcMar>
              <w:top w:w="0" w:type="dxa"/>
              <w:left w:w="6" w:type="dxa"/>
              <w:bottom w:w="0" w:type="dxa"/>
              <w:right w:w="6" w:type="dxa"/>
            </w:tcMar>
            <w:vAlign w:val="center"/>
          </w:tcPr>
          <w:p>
            <w:pPr>
              <w:jc w:val="center"/>
              <w:rPr>
                <w:rFonts w:ascii="仿宋" w:hAnsi="仿宋" w:eastAsia="仿宋" w:cs="仿宋"/>
                <w:szCs w:val="21"/>
              </w:rPr>
            </w:pPr>
          </w:p>
        </w:tc>
        <w:tc>
          <w:tcPr>
            <w:tcW w:w="764" w:type="dxa"/>
            <w:noWrap w:val="0"/>
            <w:tcMar>
              <w:top w:w="0" w:type="dxa"/>
              <w:left w:w="6" w:type="dxa"/>
              <w:bottom w:w="0" w:type="dxa"/>
              <w:right w:w="6" w:type="dxa"/>
            </w:tcMar>
            <w:vAlign w:val="center"/>
          </w:tcPr>
          <w:p>
            <w:pPr>
              <w:jc w:val="center"/>
              <w:rPr>
                <w:rFonts w:ascii="仿宋" w:hAnsi="仿宋" w:eastAsia="仿宋" w:cs="仿宋"/>
                <w:szCs w:val="21"/>
              </w:rPr>
            </w:pPr>
          </w:p>
        </w:tc>
        <w:tc>
          <w:tcPr>
            <w:tcW w:w="807" w:type="dxa"/>
            <w:noWrap w:val="0"/>
            <w:tcMar>
              <w:top w:w="0" w:type="dxa"/>
              <w:left w:w="6" w:type="dxa"/>
              <w:bottom w:w="0" w:type="dxa"/>
              <w:right w:w="6" w:type="dxa"/>
            </w:tcMar>
            <w:vAlign w:val="center"/>
          </w:tcPr>
          <w:p>
            <w:pPr>
              <w:jc w:val="center"/>
              <w:rPr>
                <w:rFonts w:ascii="仿宋" w:hAnsi="仿宋" w:eastAsia="仿宋" w:cs="仿宋"/>
                <w:szCs w:val="21"/>
              </w:rPr>
            </w:pPr>
          </w:p>
        </w:tc>
        <w:tc>
          <w:tcPr>
            <w:tcW w:w="709" w:type="dxa"/>
            <w:noWrap w:val="0"/>
            <w:tcMar>
              <w:top w:w="0" w:type="dxa"/>
              <w:left w:w="6" w:type="dxa"/>
              <w:bottom w:w="0" w:type="dxa"/>
              <w:right w:w="6" w:type="dxa"/>
            </w:tcMar>
            <w:vAlign w:val="center"/>
          </w:tcPr>
          <w:p>
            <w:pPr>
              <w:jc w:val="center"/>
              <w:rPr>
                <w:rFonts w:ascii="仿宋" w:hAnsi="仿宋" w:eastAsia="仿宋" w:cs="仿宋"/>
                <w:szCs w:val="21"/>
              </w:rPr>
            </w:pPr>
          </w:p>
        </w:tc>
        <w:tc>
          <w:tcPr>
            <w:tcW w:w="641" w:type="dxa"/>
            <w:noWrap w:val="0"/>
            <w:tcMar>
              <w:top w:w="0" w:type="dxa"/>
              <w:left w:w="6" w:type="dxa"/>
              <w:bottom w:w="0" w:type="dxa"/>
              <w:right w:w="6" w:type="dxa"/>
            </w:tcMar>
            <w:vAlign w:val="center"/>
          </w:tcPr>
          <w:p>
            <w:pPr>
              <w:jc w:val="center"/>
              <w:rPr>
                <w:rFonts w:ascii="仿宋" w:hAnsi="仿宋" w:eastAsia="仿宋" w:cs="仿宋"/>
                <w:szCs w:val="21"/>
              </w:rPr>
            </w:pPr>
          </w:p>
        </w:tc>
        <w:tc>
          <w:tcPr>
            <w:tcW w:w="590"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51" w:type="dxa"/>
            <w:noWrap w:val="0"/>
            <w:tcMar>
              <w:top w:w="0" w:type="dxa"/>
              <w:left w:w="6" w:type="dxa"/>
              <w:bottom w:w="0" w:type="dxa"/>
              <w:right w:w="6" w:type="dxa"/>
            </w:tcMar>
            <w:vAlign w:val="center"/>
          </w:tcPr>
          <w:p>
            <w:pPr>
              <w:jc w:val="center"/>
              <w:rPr>
                <w:rFonts w:ascii="仿宋" w:hAnsi="仿宋" w:eastAsia="仿宋" w:cs="仿宋"/>
                <w:szCs w:val="21"/>
              </w:rPr>
            </w:pPr>
            <w:r>
              <w:rPr>
                <w:rFonts w:hint="eastAsia" w:ascii="仿宋" w:hAnsi="仿宋" w:eastAsia="仿宋" w:cs="仿宋"/>
                <w:szCs w:val="21"/>
              </w:rPr>
              <w:t>合计</w:t>
            </w:r>
          </w:p>
        </w:tc>
        <w:tc>
          <w:tcPr>
            <w:tcW w:w="709" w:type="dxa"/>
            <w:noWrap w:val="0"/>
            <w:vAlign w:val="center"/>
          </w:tcPr>
          <w:p>
            <w:pPr>
              <w:jc w:val="center"/>
              <w:rPr>
                <w:rFonts w:ascii="仿宋" w:hAnsi="仿宋" w:eastAsia="仿宋" w:cs="仿宋"/>
                <w:szCs w:val="21"/>
              </w:rPr>
            </w:pPr>
          </w:p>
        </w:tc>
        <w:tc>
          <w:tcPr>
            <w:tcW w:w="741" w:type="dxa"/>
            <w:noWrap w:val="0"/>
            <w:vAlign w:val="center"/>
          </w:tcPr>
          <w:p>
            <w:pPr>
              <w:jc w:val="center"/>
              <w:rPr>
                <w:rFonts w:ascii="仿宋" w:hAnsi="仿宋" w:eastAsia="仿宋" w:cs="仿宋"/>
                <w:szCs w:val="21"/>
              </w:rPr>
            </w:pPr>
          </w:p>
        </w:tc>
        <w:tc>
          <w:tcPr>
            <w:tcW w:w="622" w:type="dxa"/>
            <w:noWrap w:val="0"/>
            <w:tcMar>
              <w:top w:w="0" w:type="dxa"/>
              <w:left w:w="6" w:type="dxa"/>
              <w:bottom w:w="0" w:type="dxa"/>
              <w:right w:w="6" w:type="dxa"/>
            </w:tcMar>
            <w:vAlign w:val="center"/>
          </w:tcPr>
          <w:p>
            <w:pPr>
              <w:jc w:val="center"/>
              <w:rPr>
                <w:rFonts w:ascii="仿宋" w:hAnsi="仿宋" w:eastAsia="仿宋" w:cs="仿宋"/>
                <w:szCs w:val="21"/>
              </w:rPr>
            </w:pPr>
          </w:p>
        </w:tc>
        <w:tc>
          <w:tcPr>
            <w:tcW w:w="585" w:type="dxa"/>
            <w:noWrap w:val="0"/>
            <w:vAlign w:val="center"/>
          </w:tcPr>
          <w:p>
            <w:pPr>
              <w:jc w:val="center"/>
              <w:rPr>
                <w:rFonts w:ascii="仿宋" w:hAnsi="仿宋" w:eastAsia="仿宋" w:cs="仿宋"/>
                <w:szCs w:val="21"/>
              </w:rPr>
            </w:pPr>
          </w:p>
        </w:tc>
        <w:tc>
          <w:tcPr>
            <w:tcW w:w="789" w:type="dxa"/>
            <w:noWrap w:val="0"/>
            <w:tcMar>
              <w:top w:w="0" w:type="dxa"/>
              <w:left w:w="6" w:type="dxa"/>
              <w:bottom w:w="0" w:type="dxa"/>
              <w:right w:w="6" w:type="dxa"/>
            </w:tcMar>
            <w:vAlign w:val="center"/>
          </w:tcPr>
          <w:p>
            <w:pPr>
              <w:jc w:val="center"/>
              <w:rPr>
                <w:rFonts w:ascii="仿宋" w:hAnsi="仿宋" w:eastAsia="仿宋" w:cs="仿宋"/>
                <w:szCs w:val="21"/>
              </w:rPr>
            </w:pPr>
          </w:p>
        </w:tc>
        <w:tc>
          <w:tcPr>
            <w:tcW w:w="759" w:type="dxa"/>
            <w:noWrap w:val="0"/>
            <w:tcMar>
              <w:top w:w="0" w:type="dxa"/>
              <w:left w:w="6" w:type="dxa"/>
              <w:bottom w:w="0" w:type="dxa"/>
              <w:right w:w="6" w:type="dxa"/>
            </w:tcMar>
            <w:vAlign w:val="center"/>
          </w:tcPr>
          <w:p>
            <w:pPr>
              <w:jc w:val="center"/>
              <w:rPr>
                <w:rFonts w:ascii="仿宋" w:hAnsi="仿宋" w:eastAsia="仿宋" w:cs="仿宋"/>
                <w:szCs w:val="21"/>
              </w:rPr>
            </w:pPr>
          </w:p>
        </w:tc>
        <w:tc>
          <w:tcPr>
            <w:tcW w:w="746" w:type="dxa"/>
            <w:noWrap w:val="0"/>
            <w:tcMar>
              <w:top w:w="0" w:type="dxa"/>
              <w:left w:w="6" w:type="dxa"/>
              <w:bottom w:w="0" w:type="dxa"/>
              <w:right w:w="6" w:type="dxa"/>
            </w:tcMar>
            <w:vAlign w:val="center"/>
          </w:tcPr>
          <w:p>
            <w:pPr>
              <w:jc w:val="center"/>
              <w:rPr>
                <w:rFonts w:ascii="仿宋" w:hAnsi="仿宋" w:eastAsia="仿宋" w:cs="仿宋"/>
                <w:szCs w:val="21"/>
              </w:rPr>
            </w:pPr>
          </w:p>
        </w:tc>
        <w:tc>
          <w:tcPr>
            <w:tcW w:w="7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66" w:type="dxa"/>
            <w:noWrap w:val="0"/>
            <w:tcMar>
              <w:top w:w="0" w:type="dxa"/>
              <w:left w:w="6" w:type="dxa"/>
              <w:bottom w:w="0" w:type="dxa"/>
              <w:right w:w="6" w:type="dxa"/>
            </w:tcMar>
            <w:vAlign w:val="center"/>
          </w:tcPr>
          <w:p>
            <w:pPr>
              <w:jc w:val="center"/>
              <w:rPr>
                <w:rFonts w:ascii="仿宋" w:hAnsi="仿宋" w:eastAsia="仿宋" w:cs="仿宋"/>
                <w:szCs w:val="21"/>
              </w:rPr>
            </w:pPr>
          </w:p>
        </w:tc>
        <w:tc>
          <w:tcPr>
            <w:tcW w:w="667" w:type="dxa"/>
            <w:noWrap w:val="0"/>
            <w:tcMar>
              <w:top w:w="0" w:type="dxa"/>
              <w:left w:w="6" w:type="dxa"/>
              <w:bottom w:w="0" w:type="dxa"/>
              <w:right w:w="6" w:type="dxa"/>
            </w:tcMar>
            <w:vAlign w:val="center"/>
          </w:tcPr>
          <w:p>
            <w:pPr>
              <w:jc w:val="center"/>
              <w:rPr>
                <w:rFonts w:ascii="仿宋" w:hAnsi="仿宋" w:eastAsia="仿宋" w:cs="仿宋"/>
                <w:szCs w:val="21"/>
              </w:rPr>
            </w:pPr>
          </w:p>
        </w:tc>
        <w:tc>
          <w:tcPr>
            <w:tcW w:w="813" w:type="dxa"/>
            <w:noWrap w:val="0"/>
            <w:tcMar>
              <w:top w:w="0" w:type="dxa"/>
              <w:left w:w="6" w:type="dxa"/>
              <w:bottom w:w="0" w:type="dxa"/>
              <w:right w:w="6" w:type="dxa"/>
            </w:tcMar>
            <w:vAlign w:val="center"/>
          </w:tcPr>
          <w:p>
            <w:pPr>
              <w:jc w:val="center"/>
              <w:rPr>
                <w:rFonts w:ascii="仿宋" w:hAnsi="仿宋" w:eastAsia="仿宋" w:cs="仿宋"/>
                <w:szCs w:val="21"/>
              </w:rPr>
            </w:pPr>
          </w:p>
        </w:tc>
        <w:tc>
          <w:tcPr>
            <w:tcW w:w="646" w:type="dxa"/>
            <w:noWrap w:val="0"/>
            <w:tcMar>
              <w:top w:w="0" w:type="dxa"/>
              <w:left w:w="6" w:type="dxa"/>
              <w:bottom w:w="0" w:type="dxa"/>
              <w:right w:w="6" w:type="dxa"/>
            </w:tcMar>
            <w:vAlign w:val="center"/>
          </w:tcPr>
          <w:p>
            <w:pPr>
              <w:jc w:val="center"/>
              <w:rPr>
                <w:rFonts w:ascii="仿宋" w:hAnsi="仿宋" w:eastAsia="仿宋" w:cs="仿宋"/>
                <w:szCs w:val="21"/>
              </w:rPr>
            </w:pPr>
          </w:p>
        </w:tc>
        <w:tc>
          <w:tcPr>
            <w:tcW w:w="677" w:type="dxa"/>
            <w:noWrap w:val="0"/>
            <w:tcMar>
              <w:top w:w="0" w:type="dxa"/>
              <w:left w:w="6" w:type="dxa"/>
              <w:bottom w:w="0" w:type="dxa"/>
              <w:right w:w="6" w:type="dxa"/>
            </w:tcMar>
            <w:vAlign w:val="center"/>
          </w:tcPr>
          <w:p>
            <w:pPr>
              <w:jc w:val="center"/>
              <w:rPr>
                <w:rFonts w:ascii="仿宋" w:hAnsi="仿宋" w:eastAsia="仿宋" w:cs="仿宋"/>
                <w:szCs w:val="21"/>
              </w:rPr>
            </w:pPr>
          </w:p>
        </w:tc>
        <w:tc>
          <w:tcPr>
            <w:tcW w:w="764" w:type="dxa"/>
            <w:noWrap w:val="0"/>
            <w:tcMar>
              <w:top w:w="0" w:type="dxa"/>
              <w:left w:w="6" w:type="dxa"/>
              <w:bottom w:w="0" w:type="dxa"/>
              <w:right w:w="6" w:type="dxa"/>
            </w:tcMar>
            <w:vAlign w:val="center"/>
          </w:tcPr>
          <w:p>
            <w:pPr>
              <w:jc w:val="center"/>
              <w:rPr>
                <w:rFonts w:ascii="仿宋" w:hAnsi="仿宋" w:eastAsia="仿宋" w:cs="仿宋"/>
                <w:szCs w:val="21"/>
              </w:rPr>
            </w:pPr>
          </w:p>
        </w:tc>
        <w:tc>
          <w:tcPr>
            <w:tcW w:w="807" w:type="dxa"/>
            <w:noWrap w:val="0"/>
            <w:tcMar>
              <w:top w:w="0" w:type="dxa"/>
              <w:left w:w="6" w:type="dxa"/>
              <w:bottom w:w="0" w:type="dxa"/>
              <w:right w:w="6" w:type="dxa"/>
            </w:tcMar>
            <w:vAlign w:val="center"/>
          </w:tcPr>
          <w:p>
            <w:pPr>
              <w:jc w:val="center"/>
              <w:rPr>
                <w:rFonts w:ascii="仿宋" w:hAnsi="仿宋" w:eastAsia="仿宋" w:cs="仿宋"/>
                <w:szCs w:val="21"/>
              </w:rPr>
            </w:pPr>
          </w:p>
        </w:tc>
        <w:tc>
          <w:tcPr>
            <w:tcW w:w="709" w:type="dxa"/>
            <w:noWrap w:val="0"/>
            <w:tcMar>
              <w:top w:w="0" w:type="dxa"/>
              <w:left w:w="6" w:type="dxa"/>
              <w:bottom w:w="0" w:type="dxa"/>
              <w:right w:w="6" w:type="dxa"/>
            </w:tcMar>
            <w:vAlign w:val="center"/>
          </w:tcPr>
          <w:p>
            <w:pPr>
              <w:jc w:val="center"/>
              <w:rPr>
                <w:rFonts w:ascii="仿宋" w:hAnsi="仿宋" w:eastAsia="仿宋" w:cs="仿宋"/>
                <w:szCs w:val="21"/>
              </w:rPr>
            </w:pPr>
          </w:p>
        </w:tc>
        <w:tc>
          <w:tcPr>
            <w:tcW w:w="641" w:type="dxa"/>
            <w:noWrap w:val="0"/>
            <w:tcMar>
              <w:top w:w="0" w:type="dxa"/>
              <w:left w:w="6" w:type="dxa"/>
              <w:bottom w:w="0" w:type="dxa"/>
              <w:right w:w="6" w:type="dxa"/>
            </w:tcMar>
            <w:vAlign w:val="center"/>
          </w:tcPr>
          <w:p>
            <w:pPr>
              <w:jc w:val="center"/>
              <w:rPr>
                <w:rFonts w:ascii="仿宋" w:hAnsi="仿宋" w:eastAsia="仿宋" w:cs="仿宋"/>
                <w:szCs w:val="21"/>
              </w:rPr>
            </w:pPr>
          </w:p>
        </w:tc>
        <w:tc>
          <w:tcPr>
            <w:tcW w:w="590"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c>
          <w:tcPr>
            <w:tcW w:w="648" w:type="dxa"/>
            <w:noWrap w:val="0"/>
            <w:tcMar>
              <w:top w:w="0" w:type="dxa"/>
              <w:left w:w="6" w:type="dxa"/>
              <w:bottom w:w="0" w:type="dxa"/>
              <w:right w:w="6" w:type="dxa"/>
            </w:tcMar>
            <w:vAlign w:val="center"/>
          </w:tcPr>
          <w:p>
            <w:pPr>
              <w:jc w:val="center"/>
              <w:rPr>
                <w:rFonts w:ascii="仿宋" w:hAnsi="仿宋" w:eastAsia="仿宋" w:cs="仿宋"/>
                <w:szCs w:val="21"/>
              </w:rPr>
            </w:pPr>
          </w:p>
        </w:tc>
      </w:tr>
    </w:tbl>
    <w:p>
      <w:pPr>
        <w:ind w:left="-427" w:leftChars="-271" w:hanging="142" w:hangingChars="68"/>
        <w:jc w:val="left"/>
        <w:rPr>
          <w:rFonts w:hint="eastAsia" w:ascii="仿宋" w:hAnsi="仿宋" w:eastAsia="仿宋" w:cs="仿宋"/>
          <w:szCs w:val="21"/>
        </w:rPr>
      </w:pPr>
      <w:r>
        <w:rPr>
          <w:rFonts w:hint="eastAsia" w:ascii="仿宋" w:hAnsi="仿宋" w:eastAsia="仿宋" w:cs="仿宋"/>
          <w:szCs w:val="21"/>
        </w:rPr>
        <w:t>注：1.“经核实有效企业数量”是指对国家推送企业进行全面排查，去掉已关停或不存在职业病危害的企业数量。</w:t>
      </w:r>
    </w:p>
    <w:p>
      <w:pPr>
        <w:ind w:left="-426" w:leftChars="-203" w:firstLine="283" w:firstLineChars="135"/>
        <w:jc w:val="left"/>
        <w:rPr>
          <w:rFonts w:hint="eastAsia" w:ascii="仿宋" w:hAnsi="仿宋" w:eastAsia="仿宋" w:cs="仿宋"/>
          <w:szCs w:val="21"/>
        </w:rPr>
      </w:pPr>
      <w:r>
        <w:rPr>
          <w:rFonts w:hint="eastAsia" w:ascii="仿宋" w:hAnsi="仿宋" w:eastAsia="仿宋" w:cs="仿宋"/>
          <w:szCs w:val="21"/>
        </w:rPr>
        <w:t>2.“已申报企业数量”是指经核实有效企业中已申报企业的数量，按照当年实际情况填写，每年更新。</w:t>
      </w:r>
    </w:p>
    <w:p>
      <w:pPr>
        <w:ind w:left="-426" w:leftChars="-203" w:firstLine="283" w:firstLineChars="135"/>
        <w:jc w:val="left"/>
        <w:rPr>
          <w:rFonts w:hint="eastAsia" w:ascii="仿宋" w:hAnsi="仿宋" w:eastAsia="仿宋" w:cs="仿宋"/>
          <w:szCs w:val="21"/>
        </w:rPr>
      </w:pPr>
      <w:r>
        <w:rPr>
          <w:rFonts w:hint="eastAsia" w:ascii="仿宋" w:hAnsi="仿宋" w:eastAsia="仿宋" w:cs="仿宋"/>
          <w:szCs w:val="21"/>
        </w:rPr>
        <w:t>3.“已检测评价企业数量”是指经核实有效企业中，近三年已开展检测评价的企业数量，近三年只要开展过一次，即视为已开展，每年更新。</w:t>
      </w:r>
    </w:p>
    <w:p>
      <w:pPr>
        <w:ind w:left="-426" w:leftChars="-203" w:firstLine="283" w:firstLineChars="135"/>
        <w:jc w:val="left"/>
        <w:rPr>
          <w:rFonts w:ascii="仿宋" w:hAnsi="仿宋" w:eastAsia="仿宋" w:cs="仿宋"/>
          <w:szCs w:val="21"/>
        </w:rPr>
      </w:pPr>
      <w:r>
        <w:rPr>
          <w:rFonts w:hint="eastAsia" w:ascii="仿宋" w:hAnsi="仿宋" w:eastAsia="仿宋" w:cs="仿宋"/>
          <w:szCs w:val="21"/>
        </w:rPr>
        <w:t>4.2022年度报表“本年度新增治理企业数量”不填。新增治理企业与国家推送企业名单不重复。</w:t>
      </w:r>
    </w:p>
    <w:p>
      <w:pPr>
        <w:ind w:leftChars="-68" w:right="-643" w:rightChars="-306" w:hanging="142" w:hangingChars="68"/>
        <w:jc w:val="left"/>
        <w:rPr>
          <w:rFonts w:hint="eastAsia" w:ascii="仿宋" w:hAnsi="仿宋" w:eastAsia="仿宋" w:cs="仿宋"/>
          <w:szCs w:val="21"/>
        </w:rPr>
      </w:pPr>
      <w:r>
        <w:rPr>
          <w:rFonts w:hint="eastAsia" w:ascii="仿宋" w:hAnsi="仿宋" w:eastAsia="仿宋" w:cs="仿宋"/>
          <w:szCs w:val="21"/>
        </w:rPr>
        <w:t>5.某岗位某因素任一检测结果超过接触限值，即视为该岗位该因素超标；某岗位多种类因素超标，可重复计算，如某岗位可以粉尘超标，同时化学物质超标或噪声超标，但在统计超标岗位数量时，只统计为1个岗位。</w:t>
      </w:r>
    </w:p>
    <w:p>
      <w:pPr>
        <w:ind w:left="-426" w:leftChars="-203" w:firstLine="283" w:firstLineChars="135"/>
        <w:jc w:val="left"/>
        <w:rPr>
          <w:rFonts w:hint="eastAsia" w:ascii="仿宋" w:hAnsi="仿宋" w:eastAsia="仿宋" w:cs="仿宋"/>
          <w:szCs w:val="21"/>
        </w:rPr>
      </w:pPr>
      <w:r>
        <w:rPr>
          <w:rFonts w:hint="eastAsia" w:ascii="仿宋" w:hAnsi="仿宋" w:eastAsia="仿宋" w:cs="仿宋"/>
          <w:szCs w:val="21"/>
        </w:rPr>
        <w:t>6.“本年度超标岗位已全部合格”即视为完成治理。</w:t>
      </w:r>
    </w:p>
    <w:p>
      <w:pPr>
        <w:spacing w:line="460" w:lineRule="exact"/>
        <w:ind w:left="-378" w:leftChars="-271" w:hanging="191" w:hangingChars="68"/>
        <w:jc w:val="center"/>
      </w:pPr>
      <w:r>
        <w:rPr>
          <w:rFonts w:hint="eastAsia" w:ascii="仿宋" w:hAnsi="仿宋" w:eastAsia="仿宋" w:cs="仿宋"/>
          <w:b/>
          <w:sz w:val="28"/>
          <w:szCs w:val="28"/>
        </w:rPr>
        <w:t>填表人：                     手机：                                 填表日期：       年   月   日</w:t>
      </w:r>
    </w:p>
    <w:sectPr>
      <w:pgSz w:w="16838" w:h="11906" w:orient="landscape"/>
      <w:pgMar w:top="1276" w:right="1440" w:bottom="1134" w:left="1440" w:header="851" w:footer="404"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E620A"/>
    <w:rsid w:val="72CE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2022-04-22T05:59:00Z</dcterms:created>
  <dc:creator>Administrator</dc:creator>
  <cp:lastModifiedBy>Administrator</cp:lastModifiedBy>
  <dcterms:modified xsi:type="dcterms:W3CDTF">2022-04-22T06:00:45Z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