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w:t>
      </w:r>
    </w:p>
    <w:p>
      <w:pPr>
        <w:widowControl/>
        <w:ind w:left="93" w:firstLine="1200" w:firstLineChars="300"/>
        <w:jc w:val="both"/>
        <w:rPr>
          <w:rFonts w:ascii="方正小标宋简体" w:eastAsia="方正小标宋简体"/>
          <w:color w:val="000000"/>
          <w:kern w:val="0"/>
          <w:sz w:val="40"/>
        </w:rPr>
      </w:pPr>
      <w:r>
        <w:rPr>
          <w:rFonts w:ascii="方正小标宋简体" w:eastAsia="方正小标宋简体"/>
          <w:color w:val="000000"/>
          <w:kern w:val="0"/>
          <w:sz w:val="40"/>
        </w:rPr>
        <w:t>河北省</w:t>
      </w:r>
      <w:r>
        <w:rPr>
          <w:rFonts w:hint="eastAsia" w:ascii="方正小标宋简体" w:eastAsia="方正小标宋简体"/>
          <w:color w:val="000000"/>
          <w:kern w:val="0"/>
          <w:sz w:val="40"/>
          <w:lang w:val="en-US" w:eastAsia="zh-CN"/>
        </w:rPr>
        <w:t>药品监督管理系统</w:t>
      </w:r>
      <w:r>
        <w:rPr>
          <w:rFonts w:ascii="方正小标宋简体" w:eastAsia="方正小标宋简体"/>
          <w:color w:val="000000"/>
          <w:kern w:val="0"/>
          <w:sz w:val="40"/>
        </w:rPr>
        <w:t>行政许可审批权限层级划分目录</w:t>
      </w:r>
    </w:p>
    <w:p>
      <w:pPr>
        <w:widowControl/>
        <w:ind w:left="93"/>
        <w:jc w:val="center"/>
        <w:rPr>
          <w:rFonts w:ascii="方正小标宋简体" w:eastAsia="方正小标宋简体"/>
          <w:color w:val="000000"/>
          <w:kern w:val="0"/>
          <w:sz w:val="32"/>
          <w:szCs w:val="32"/>
        </w:rPr>
      </w:pPr>
      <w:r>
        <w:rPr>
          <w:rFonts w:ascii="楷体_GB2312" w:eastAsia="楷体_GB2312"/>
          <w:color w:val="000000"/>
          <w:kern w:val="0"/>
          <w:sz w:val="32"/>
          <w:szCs w:val="32"/>
        </w:rPr>
        <w:t>（共</w:t>
      </w:r>
      <w:r>
        <w:rPr>
          <w:rFonts w:hint="eastAsia" w:ascii="楷体_GB2312" w:eastAsia="楷体_GB2312"/>
          <w:color w:val="000000"/>
          <w:kern w:val="0"/>
          <w:sz w:val="32"/>
          <w:szCs w:val="32"/>
          <w:lang w:val="en-US" w:eastAsia="zh-CN"/>
        </w:rPr>
        <w:t>34</w:t>
      </w:r>
      <w:r>
        <w:rPr>
          <w:rFonts w:ascii="楷体_GB2312" w:eastAsia="楷体_GB2312"/>
          <w:color w:val="000000"/>
          <w:kern w:val="0"/>
          <w:sz w:val="32"/>
          <w:szCs w:val="32"/>
        </w:rPr>
        <w:t>项）</w:t>
      </w:r>
    </w:p>
    <w:tbl>
      <w:tblPr>
        <w:tblStyle w:val="8"/>
        <w:tblW w:w="5000" w:type="pct"/>
        <w:jc w:val="center"/>
        <w:tblLayout w:type="autofit"/>
        <w:tblCellMar>
          <w:top w:w="15" w:type="dxa"/>
          <w:left w:w="108" w:type="dxa"/>
          <w:bottom w:w="15" w:type="dxa"/>
          <w:right w:w="108" w:type="dxa"/>
        </w:tblCellMar>
      </w:tblPr>
      <w:tblGrid>
        <w:gridCol w:w="610"/>
        <w:gridCol w:w="2182"/>
        <w:gridCol w:w="1266"/>
        <w:gridCol w:w="4348"/>
        <w:gridCol w:w="2922"/>
        <w:gridCol w:w="1630"/>
        <w:gridCol w:w="592"/>
      </w:tblGrid>
      <w:tr>
        <w:tblPrEx>
          <w:tblCellMar>
            <w:top w:w="15" w:type="dxa"/>
            <w:left w:w="108" w:type="dxa"/>
            <w:bottom w:w="15" w:type="dxa"/>
            <w:right w:w="108" w:type="dxa"/>
          </w:tblCellMar>
        </w:tblPrEx>
        <w:trPr>
          <w:trHeight w:val="340" w:hRule="atLeast"/>
          <w:tblHeader/>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黑体" w:hAnsi="黑体" w:eastAsia="黑体"/>
                <w:kern w:val="0"/>
                <w:sz w:val="21"/>
                <w:szCs w:val="21"/>
              </w:rPr>
            </w:pPr>
            <w:r>
              <w:rPr>
                <w:rFonts w:hint="eastAsia" w:ascii="黑体" w:hAnsi="黑体" w:eastAsia="黑体"/>
                <w:kern w:val="0"/>
                <w:sz w:val="21"/>
                <w:szCs w:val="21"/>
              </w:rPr>
              <w:t>序号</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黑体" w:hAnsi="黑体" w:eastAsia="黑体"/>
                <w:kern w:val="0"/>
                <w:sz w:val="21"/>
                <w:szCs w:val="21"/>
              </w:rPr>
            </w:pPr>
            <w:r>
              <w:rPr>
                <w:rFonts w:hint="eastAsia" w:ascii="黑体" w:hAnsi="黑体" w:eastAsia="黑体"/>
                <w:kern w:val="0"/>
                <w:sz w:val="21"/>
                <w:szCs w:val="21"/>
              </w:rPr>
              <w:t>事项名称</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黑体" w:hAnsi="黑体" w:eastAsia="黑体"/>
                <w:kern w:val="0"/>
                <w:sz w:val="21"/>
                <w:szCs w:val="21"/>
              </w:rPr>
            </w:pPr>
            <w:r>
              <w:rPr>
                <w:rFonts w:hint="eastAsia" w:ascii="黑体" w:hAnsi="黑体" w:eastAsia="黑体"/>
                <w:kern w:val="0"/>
                <w:sz w:val="21"/>
                <w:szCs w:val="21"/>
              </w:rPr>
              <w:t>行使层级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黑体" w:hAnsi="黑体" w:eastAsia="黑体"/>
                <w:kern w:val="0"/>
                <w:sz w:val="21"/>
                <w:szCs w:val="21"/>
              </w:rPr>
            </w:pPr>
            <w:r>
              <w:rPr>
                <w:rFonts w:hint="eastAsia" w:ascii="黑体" w:hAnsi="黑体" w:eastAsia="黑体"/>
                <w:kern w:val="0"/>
                <w:sz w:val="21"/>
                <w:szCs w:val="21"/>
              </w:rPr>
              <w:t>分级审批权限</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黑体" w:hAnsi="黑体" w:eastAsia="黑体"/>
                <w:kern w:val="0"/>
                <w:sz w:val="21"/>
                <w:szCs w:val="21"/>
              </w:rPr>
            </w:pPr>
            <w:r>
              <w:rPr>
                <w:rFonts w:hint="eastAsia" w:ascii="黑体" w:hAnsi="黑体" w:eastAsia="黑体"/>
                <w:kern w:val="0"/>
                <w:sz w:val="21"/>
                <w:szCs w:val="21"/>
              </w:rPr>
              <w:t>层级权限划分依据</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黑体" w:hAnsi="黑体" w:eastAsia="黑体"/>
                <w:kern w:val="0"/>
                <w:sz w:val="21"/>
                <w:szCs w:val="21"/>
              </w:rPr>
            </w:pPr>
            <w:r>
              <w:rPr>
                <w:rFonts w:hint="eastAsia" w:ascii="黑体" w:hAnsi="黑体" w:eastAsia="黑体"/>
                <w:kern w:val="0"/>
                <w:sz w:val="21"/>
                <w:szCs w:val="21"/>
              </w:rPr>
              <w:t>终审机关</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黑体" w:hAnsi="黑体" w:eastAsia="黑体"/>
                <w:kern w:val="0"/>
                <w:sz w:val="21"/>
                <w:szCs w:val="21"/>
              </w:rPr>
            </w:pPr>
            <w:r>
              <w:rPr>
                <w:rFonts w:hint="eastAsia" w:ascii="黑体" w:hAnsi="黑体" w:eastAsia="黑体"/>
                <w:kern w:val="0"/>
                <w:sz w:val="21"/>
                <w:szCs w:val="21"/>
              </w:rPr>
              <w:t>备注</w:t>
            </w:r>
          </w:p>
        </w:tc>
      </w:tr>
      <w:tr>
        <w:tblPrEx>
          <w:tblCellMar>
            <w:top w:w="15" w:type="dxa"/>
            <w:left w:w="108" w:type="dxa"/>
            <w:bottom w:w="15" w:type="dxa"/>
            <w:right w:w="108" w:type="dxa"/>
          </w:tblCellMar>
        </w:tblPrEx>
        <w:trPr>
          <w:trHeight w:val="56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1</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化妆品生产许可</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负责化妆品生产许可。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《化妆品监督管理条例》第二十七条。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567" w:hRule="atLeast"/>
          <w:jc w:val="center"/>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2</w:t>
            </w:r>
          </w:p>
        </w:tc>
        <w:tc>
          <w:tcPr>
            <w:tcW w:w="805" w:type="pct"/>
            <w:vMerge w:val="restar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医疗机构配制的制剂品种和制剂调剂审批</w:t>
            </w:r>
          </w:p>
        </w:tc>
        <w:tc>
          <w:tcPr>
            <w:tcW w:w="467" w:type="pct"/>
            <w:vMerge w:val="restar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省级、市级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省级负责医疗机构配制品种注册审批。                                     </w:t>
            </w:r>
          </w:p>
        </w:tc>
        <w:tc>
          <w:tcPr>
            <w:tcW w:w="1078" w:type="pct"/>
            <w:vMerge w:val="restar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 xml:space="preserve">1.《中华人民共和国药品管理法》第七十六条；                                                     </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 《河北省人民政府办公厅关于省政府部门下放一批行政权力事项的通知》附件。</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vMerge w:val="restar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c>
          <w:tcPr>
            <w:tcW w:w="805" w:type="pct"/>
            <w:vMerge w:val="continue"/>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467" w:type="pct"/>
            <w:vMerge w:val="continue"/>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市级负责医疗机构制剂配制的制剂调剂（跨市、县）审批。</w:t>
            </w:r>
          </w:p>
        </w:tc>
        <w:tc>
          <w:tcPr>
            <w:tcW w:w="1078" w:type="pct"/>
            <w:vMerge w:val="continue"/>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市级药品监管部门或行政审批局</w:t>
            </w:r>
          </w:p>
        </w:tc>
        <w:tc>
          <w:tcPr>
            <w:tcW w:w="218" w:type="pct"/>
            <w:vMerge w:val="continue"/>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56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3</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药品生产企业许可</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负责药品生产企业许可。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《中华人民共和国药品管理法》第五十一条。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56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4</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药品批发企业许可</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负责药品批发企业许可。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《中华人民共和国药品管理法》第四十一条。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124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5</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药品零售企业许可</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负责药品零售企业许可。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1.《中华人民共和国药品管理法》第五十一条；</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2.《药品经营许可证管理办法》第三条。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市级药品监管部门或行政审批局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2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6</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医疗机构配制制剂许可</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负责医疗机构配制制剂许可。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《中华人民共和国药品管理法》第七十四条。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2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7</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生产第一类中的药品类易制毒化学品审批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负责生产第一类中的药品类易制毒化学品审批。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《易制毒化学品管理条例》第八条。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2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8</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经营第一类中的药品类易制毒化学品审批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负责经营第一类中的药品类易制毒化学品审批。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《易制毒化学品管理条例》第十条。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2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9</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购买第一类中的药品类易制毒化学品审批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负责购买第一类中的药品类易制毒化学品审批。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《易制毒化学品管理条例》第十五条。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567" w:hRule="atLeast"/>
          <w:jc w:val="center"/>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color w:val="000000"/>
                <w:kern w:val="0"/>
                <w:sz w:val="21"/>
                <w:szCs w:val="21"/>
                <w:lang w:val="en-US" w:eastAsia="zh-CN"/>
              </w:rPr>
              <w:t>10</w:t>
            </w:r>
          </w:p>
        </w:tc>
        <w:tc>
          <w:tcPr>
            <w:tcW w:w="805" w:type="pct"/>
            <w:vMerge w:val="restar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color w:val="000000"/>
                <w:kern w:val="0"/>
                <w:sz w:val="21"/>
                <w:szCs w:val="21"/>
              </w:rPr>
              <w:t>科研和教学用毒性药品购买审批</w:t>
            </w:r>
          </w:p>
        </w:tc>
        <w:tc>
          <w:tcPr>
            <w:tcW w:w="467" w:type="pct"/>
            <w:vMerge w:val="restar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color w:val="000000"/>
                <w:kern w:val="0"/>
                <w:sz w:val="21"/>
                <w:szCs w:val="21"/>
              </w:rPr>
              <w:t>省级、市级、县级</w:t>
            </w:r>
          </w:p>
        </w:tc>
        <w:tc>
          <w:tcPr>
            <w:tcW w:w="1604" w:type="pct"/>
            <w:vMerge w:val="restart"/>
            <w:tcBorders>
              <w:top w:val="single" w:color="231F20" w:sz="4" w:space="0"/>
              <w:left w:val="single" w:color="231F20" w:sz="4" w:space="0"/>
              <w:right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color w:val="000000"/>
                <w:kern w:val="0"/>
                <w:sz w:val="21"/>
                <w:szCs w:val="21"/>
              </w:rPr>
              <w:t>负责科研和教学用毒性药品购买审批（省市县同权）。</w:t>
            </w:r>
          </w:p>
        </w:tc>
        <w:tc>
          <w:tcPr>
            <w:tcW w:w="1078" w:type="pct"/>
            <w:vMerge w:val="restar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color w:val="000000"/>
                <w:kern w:val="0"/>
                <w:sz w:val="21"/>
                <w:szCs w:val="21"/>
                <w:lang w:eastAsia="zh-CN"/>
              </w:rPr>
            </w:pPr>
            <w:r>
              <w:rPr>
                <w:rFonts w:hint="eastAsia" w:asciiTheme="minorEastAsia" w:hAnsiTheme="minorEastAsia" w:eastAsiaTheme="minorEastAsia"/>
                <w:color w:val="000000"/>
                <w:kern w:val="0"/>
                <w:sz w:val="21"/>
                <w:szCs w:val="21"/>
              </w:rPr>
              <w:t xml:space="preserve">1.《医疗用毒性药品管理办法》第十条；                    </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color w:val="000000"/>
                <w:kern w:val="0"/>
                <w:sz w:val="21"/>
                <w:szCs w:val="21"/>
              </w:rPr>
              <w:t>2.《国家药品监督管理局关于切实加强医疗用毒性药品监管的通知》。</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color w:val="000000"/>
                <w:kern w:val="0"/>
                <w:sz w:val="21"/>
                <w:szCs w:val="21"/>
              </w:rPr>
              <w:t>省药品监管局</w:t>
            </w:r>
          </w:p>
        </w:tc>
        <w:tc>
          <w:tcPr>
            <w:tcW w:w="218" w:type="pct"/>
            <w:vMerge w:val="restar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567"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c>
          <w:tcPr>
            <w:tcW w:w="805" w:type="pct"/>
            <w:vMerge w:val="continue"/>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467" w:type="pct"/>
            <w:vMerge w:val="continue"/>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c>
          <w:tcPr>
            <w:tcW w:w="1604" w:type="pct"/>
            <w:vMerge w:val="continue"/>
            <w:tcBorders>
              <w:left w:val="single" w:color="231F20" w:sz="4" w:space="0"/>
              <w:right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1078" w:type="pct"/>
            <w:vMerge w:val="continue"/>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color w:val="000000"/>
                <w:kern w:val="0"/>
                <w:sz w:val="21"/>
                <w:szCs w:val="21"/>
              </w:rPr>
              <w:t>市级药品监管部门或行政审批局</w:t>
            </w:r>
          </w:p>
        </w:tc>
        <w:tc>
          <w:tcPr>
            <w:tcW w:w="218" w:type="pct"/>
            <w:vMerge w:val="continue"/>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567"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c>
          <w:tcPr>
            <w:tcW w:w="805" w:type="pct"/>
            <w:vMerge w:val="continue"/>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467" w:type="pct"/>
            <w:vMerge w:val="continue"/>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c>
          <w:tcPr>
            <w:tcW w:w="1604" w:type="pct"/>
            <w:vMerge w:val="continue"/>
            <w:tcBorders>
              <w:left w:val="single" w:color="231F20" w:sz="4" w:space="0"/>
              <w:bottom w:val="single" w:color="231F20" w:sz="4" w:space="0"/>
              <w:right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1078" w:type="pct"/>
            <w:vMerge w:val="continue"/>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color w:val="000000"/>
                <w:kern w:val="0"/>
                <w:sz w:val="21"/>
                <w:szCs w:val="21"/>
              </w:rPr>
              <w:t>县级药品监管部门或行政审批局</w:t>
            </w:r>
          </w:p>
        </w:tc>
        <w:tc>
          <w:tcPr>
            <w:tcW w:w="218" w:type="pct"/>
            <w:vMerge w:val="continue"/>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left"/>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56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11</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麻醉药品和精神药品生产企业审批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负责麻醉药品和精神药品生产企业审批。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《麻醉药品和精神药品管理条例》第十六条。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2551"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12</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区域性批发企业需就近向其他省、自治区、直辖市行政区域内的取得麻醉药品和第一类精神药品使用资格的医疗机构销售麻醉药品和第一类精神药品的审批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负责取得麻醉药品和第一类精神药品使用资格的医疗机构销售麻醉药品和第一类精神药品的审批。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《麻醉药品和精神药品管理条例》第二十六条。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164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13</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麻醉药品和第一类精神药品区域性批发企业经营审批、专门从事第二类精神药品批发企业经营审批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负责麻醉药品和第一类精神药品区域性批发企业经营审批、专门从事第二类精神药品批发企业经营审批。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《麻醉药品和精神药品管理条例》第二十四条。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1928"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14</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全国性批发企业向取得麻醉药品和第一类精神药品使用资格的医疗机构销售麻醉药品和第一类精神药品审批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负责全国性批发企业向取得麻醉药品和第一类精神药品使用资格的医疗机构销售麻醉药品和第一类精神药品审批。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《麻醉药品和精神药品管理条例》第二十五条。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1361"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15</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区域性批发企业从定点生产企业购买麻醉药品和第一类精神药品审批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负责区域性批发企业从定点生产企业购买麻醉药品和第一类精神药品审批。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《麻醉药品和精神药品管理条例》第二十七条。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124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16</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第二类精神药品零售业务审批</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负责第二类精神药品零售业务审批。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1.《麻醉药品和精神药品经营管理办法(试行)》第十一条；</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2.《麻醉药品和精神药品管理条例》第三十一条。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市级药品监管部门或行政审批局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73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17</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麻醉药品和第一类精神药品运输证明核发</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负责麻醉药品和第一类精神药品运输证明核发。</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《麻醉药品和精神药品管理条例》第五十二条。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市级药品监管部门或行政审批局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73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18</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麻醉药品和精神药品购买审批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负责麻醉药品和精神药品购买审批。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《麻醉药品和精神药品管理条例》第三十五条。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90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19</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麻醉药品和精神药品邮寄证明核发</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负责麻醉药品和精神药品邮寄证明核发。</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《麻醉药品和精神药品管理条例》第五十四条。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市级药品监管部门或行政审批局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20</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医疗单位使用放射性药品许可</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负责医疗单位使用放射性药品许可。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《放射性药品管理办法》第二十一条。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21</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蛋白同化制剂、肽类激素进出口审批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负责蛋白同化制剂、肽类激素进出口审批。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《反兴奋剂条例》第十一条。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22</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药品批发企业经营蛋白同化制剂、肽类激素审批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负责药品批发企业经营蛋白同化制剂、肽类激素审批。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《反兴奋剂条例》第九条。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23</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第二类医疗器械产品注册审批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负责第二类医疗器械产品注册审批。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《医疗器械监督管理条例》第十六条。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24</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第二类、第三类医疗器械生产许可</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负责第二类、第三类医疗器械生产许可。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《医疗器械监督管理条例》第三十二条。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25</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第三类医疗器械经营许可</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负责第三类医疗器械经营许可。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《医疗器械监督管理条例》第四十二条。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市级药品监管部门或行政审批局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2381"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26</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执业药师注册</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负责执业药师注册。</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 xml:space="preserve">1.《国家药监局人力资源社会保障部关于印发执业药师职业资格制度规定和执业药师职业资格考试实施办法的通知 》中《执业药师职业资格制度规定》第十一条；                                </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2.《执业药师注册管理办法》第四条。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141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27</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药品、医疗器械互联网信息服务审批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负责药品、医疗器械互联网信息服务审批。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 xml:space="preserve">1.《互联网药品信息服务管理办法》第二条； </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2.《互联网药品信息服务管理办法》第十三条。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907"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28</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国产药品再注册审批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负责国产药品再注册审批。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《药品注册管理办法》第六条。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215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29</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放射性药品生产、经营企业审批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负责放射性药品生产、经营企业审批。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《国务院关于深化“证照分离”改革 进一步激发市场主体发展活力的通知》附件1第496、497项。</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96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30</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药品广告</w:t>
            </w:r>
            <w:r>
              <w:rPr>
                <w:rFonts w:hint="eastAsia" w:asciiTheme="minorEastAsia" w:hAnsiTheme="minorEastAsia" w:eastAsiaTheme="minorEastAsia"/>
                <w:kern w:val="0"/>
                <w:sz w:val="21"/>
                <w:szCs w:val="21"/>
                <w:lang w:val="en-US" w:eastAsia="zh-CN"/>
              </w:rPr>
              <w:t>审查</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负责药品广告</w:t>
            </w:r>
            <w:r>
              <w:rPr>
                <w:rFonts w:hint="eastAsia" w:asciiTheme="minorEastAsia" w:hAnsiTheme="minorEastAsia" w:eastAsiaTheme="minorEastAsia"/>
                <w:kern w:val="0"/>
                <w:sz w:val="21"/>
                <w:szCs w:val="21"/>
                <w:lang w:val="en-US" w:eastAsia="zh-CN"/>
              </w:rPr>
              <w:t>审查</w:t>
            </w:r>
            <w:r>
              <w:rPr>
                <w:rFonts w:hint="eastAsia" w:asciiTheme="minorEastAsia" w:hAnsiTheme="minorEastAsia" w:eastAsiaTheme="minorEastAsia"/>
                <w:kern w:val="0"/>
                <w:sz w:val="21"/>
                <w:szCs w:val="21"/>
              </w:rPr>
              <w:t>。</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《药品、医疗器械、保健食品、特殊医学用途配方食品广告审查管理暂行办法》第四条。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96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31</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医疗器械广告</w:t>
            </w:r>
            <w:r>
              <w:rPr>
                <w:rFonts w:hint="eastAsia" w:asciiTheme="minorEastAsia" w:hAnsiTheme="minorEastAsia" w:eastAsiaTheme="minorEastAsia"/>
                <w:kern w:val="0"/>
                <w:sz w:val="21"/>
                <w:szCs w:val="21"/>
                <w:lang w:val="en-US" w:eastAsia="zh-CN"/>
              </w:rPr>
              <w:t>审查</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负责医疗器械广告</w:t>
            </w:r>
            <w:r>
              <w:rPr>
                <w:rFonts w:hint="eastAsia" w:asciiTheme="minorEastAsia" w:hAnsiTheme="minorEastAsia" w:eastAsiaTheme="minorEastAsia"/>
                <w:kern w:val="0"/>
                <w:sz w:val="21"/>
                <w:szCs w:val="21"/>
                <w:lang w:val="en-US" w:eastAsia="zh-CN"/>
              </w:rPr>
              <w:t>审查</w:t>
            </w:r>
            <w:r>
              <w:rPr>
                <w:rFonts w:hint="eastAsia" w:asciiTheme="minorEastAsia" w:hAnsiTheme="minorEastAsia" w:eastAsiaTheme="minorEastAsia"/>
                <w:kern w:val="0"/>
                <w:sz w:val="21"/>
                <w:szCs w:val="21"/>
              </w:rPr>
              <w:t>。</w:t>
            </w:r>
            <w:bookmarkStart w:id="0" w:name="_GoBack"/>
            <w:bookmarkEnd w:id="0"/>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《药品、医疗器械、保健食品、特殊医学用途配方食品广告审查管理暂行办法》第四条。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1304"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32</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医疗用毒性药品收购、经营(批发)单位批准</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负责医疗用毒性药品收购、经营(批发)单位批准。</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《国务院关于第五批取消和下放管理层级行政审批项目的决定（国发﹝2010﹞21号）附件2第69项、第70项。</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3231"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33</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药品零售连锁总部行政许可</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负责药品零售连锁总部行政许可。</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1.《国家药品监督管理局职能配置、内设机构和人员编制规定》第三条；</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2.《河北省人民政府关于同意将部分省级药品监管行政权力事项委托市级实施的批复》；</w:t>
            </w:r>
          </w:p>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3.省市场监督管理局、省药品监督管理局《关于将部分省级药品监管行政权力事项委托市级实施的通知》附件2第1项。</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r>
        <w:tblPrEx>
          <w:tblCellMar>
            <w:top w:w="15" w:type="dxa"/>
            <w:left w:w="108" w:type="dxa"/>
            <w:bottom w:w="15" w:type="dxa"/>
            <w:right w:w="108" w:type="dxa"/>
          </w:tblCellMar>
        </w:tblPrEx>
        <w:trPr>
          <w:trHeight w:val="680" w:hRule="atLeast"/>
          <w:jc w:val="center"/>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34</w:t>
            </w:r>
          </w:p>
        </w:tc>
        <w:tc>
          <w:tcPr>
            <w:tcW w:w="805"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进口药材审批</w:t>
            </w:r>
          </w:p>
        </w:tc>
        <w:tc>
          <w:tcPr>
            <w:tcW w:w="467" w:type="pct"/>
            <w:tcBorders>
              <w:top w:val="single" w:color="231F20" w:sz="4" w:space="0"/>
              <w:left w:val="single" w:color="231F20" w:sz="4" w:space="0"/>
              <w:bottom w:val="single" w:color="231F2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省级</w:t>
            </w:r>
          </w:p>
        </w:tc>
        <w:tc>
          <w:tcPr>
            <w:tcW w:w="1604"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负责进口药材审批。</w:t>
            </w:r>
          </w:p>
        </w:tc>
        <w:tc>
          <w:tcPr>
            <w:tcW w:w="1078" w:type="pct"/>
            <w:tcBorders>
              <w:top w:val="single" w:color="000000" w:sz="4" w:space="0"/>
              <w:left w:val="single" w:color="000000" w:sz="4" w:space="0"/>
              <w:bottom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《进口药材管理办法》第四条。</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省药品监管局</w:t>
            </w:r>
          </w:p>
        </w:tc>
        <w:tc>
          <w:tcPr>
            <w:tcW w:w="218" w:type="pct"/>
            <w:tcBorders>
              <w:top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widowControl/>
              <w:adjustRightInd w:val="0"/>
              <w:snapToGrid w:val="0"/>
              <w:jc w:val="center"/>
              <w:rPr>
                <w:rFonts w:asciiTheme="minorEastAsia" w:hAnsiTheme="minorEastAsia" w:eastAsiaTheme="minorEastAsia"/>
                <w:kern w:val="0"/>
                <w:sz w:val="21"/>
                <w:szCs w:val="21"/>
              </w:rPr>
            </w:pPr>
          </w:p>
        </w:tc>
      </w:tr>
    </w:tbl>
    <w:p>
      <w:pPr>
        <w:spacing w:line="14" w:lineRule="exact"/>
      </w:pPr>
    </w:p>
    <w:sectPr>
      <w:headerReference r:id="rId3" w:type="default"/>
      <w:footerReference r:id="rId4" w:type="default"/>
      <w:pgSz w:w="16838" w:h="11906" w:orient="landscape"/>
      <w:pgMar w:top="1418" w:right="1701" w:bottom="1418" w:left="1701" w:header="851" w:footer="1020" w:gutter="0"/>
      <w:pgBorders>
        <w:top w:val="none" w:sz="0" w:space="0"/>
        <w:left w:val="none" w:sz="0" w:space="0"/>
        <w:bottom w:val="none" w:sz="0" w:space="0"/>
        <w:right w:val="none" w:sz="0" w:space="0"/>
      </w:pgBorders>
      <w:pgNumType w:start="1"/>
      <w:cols w:space="425" w:num="1"/>
      <w:docGrid w:type="lines"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sz w:val="28"/>
        <w:szCs w:val="28"/>
      </w:rPr>
      <w:t>—</w:t>
    </w:r>
    <w:r>
      <w:rPr>
        <w:rFonts w:hint="eastAsia"/>
        <w:sz w:val="22"/>
        <w:szCs w:val="22"/>
      </w:rPr>
      <w:t>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1</w:t>
    </w:r>
    <w:r>
      <w:rPr>
        <w:rFonts w:hint="eastAsia"/>
        <w:sz w:val="28"/>
        <w:szCs w:val="28"/>
      </w:rPr>
      <w:fldChar w:fldCharType="end"/>
    </w:r>
    <w:r>
      <w:rPr>
        <w:rFonts w:hint="eastAsia"/>
        <w:sz w:val="22"/>
        <w:szCs w:val="22"/>
      </w:rPr>
      <w:t>　</w:t>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30"/>
  <w:drawingGridVerticalSpacing w:val="17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6B"/>
    <w:rsid w:val="00022E96"/>
    <w:rsid w:val="0003159F"/>
    <w:rsid w:val="0005643E"/>
    <w:rsid w:val="0006545E"/>
    <w:rsid w:val="00091A14"/>
    <w:rsid w:val="000A1FE4"/>
    <w:rsid w:val="000A3608"/>
    <w:rsid w:val="000E37A9"/>
    <w:rsid w:val="00145C7F"/>
    <w:rsid w:val="001655A3"/>
    <w:rsid w:val="00166141"/>
    <w:rsid w:val="001676B0"/>
    <w:rsid w:val="00172091"/>
    <w:rsid w:val="00187655"/>
    <w:rsid w:val="001A57A7"/>
    <w:rsid w:val="001B6E44"/>
    <w:rsid w:val="001C094C"/>
    <w:rsid w:val="001D710D"/>
    <w:rsid w:val="001F5199"/>
    <w:rsid w:val="00230F7D"/>
    <w:rsid w:val="002364D6"/>
    <w:rsid w:val="00237592"/>
    <w:rsid w:val="0025081E"/>
    <w:rsid w:val="00252524"/>
    <w:rsid w:val="0025497D"/>
    <w:rsid w:val="002571BD"/>
    <w:rsid w:val="00273949"/>
    <w:rsid w:val="002B2DE1"/>
    <w:rsid w:val="002B7065"/>
    <w:rsid w:val="002B7AB9"/>
    <w:rsid w:val="002E5190"/>
    <w:rsid w:val="00302CA2"/>
    <w:rsid w:val="003074B5"/>
    <w:rsid w:val="003156AA"/>
    <w:rsid w:val="0032117F"/>
    <w:rsid w:val="003246E1"/>
    <w:rsid w:val="00326250"/>
    <w:rsid w:val="003537D8"/>
    <w:rsid w:val="00396F34"/>
    <w:rsid w:val="003A0932"/>
    <w:rsid w:val="003A0979"/>
    <w:rsid w:val="003C090D"/>
    <w:rsid w:val="003F777C"/>
    <w:rsid w:val="004450BC"/>
    <w:rsid w:val="004B028C"/>
    <w:rsid w:val="004C1B37"/>
    <w:rsid w:val="004F577D"/>
    <w:rsid w:val="005012CA"/>
    <w:rsid w:val="00510239"/>
    <w:rsid w:val="00512A1F"/>
    <w:rsid w:val="005416E4"/>
    <w:rsid w:val="00570F15"/>
    <w:rsid w:val="005B1710"/>
    <w:rsid w:val="005C7DBB"/>
    <w:rsid w:val="005E1AB8"/>
    <w:rsid w:val="00653B29"/>
    <w:rsid w:val="00685B42"/>
    <w:rsid w:val="006866C1"/>
    <w:rsid w:val="0069035C"/>
    <w:rsid w:val="006B4E7E"/>
    <w:rsid w:val="00711BD3"/>
    <w:rsid w:val="00715549"/>
    <w:rsid w:val="00715FA8"/>
    <w:rsid w:val="00735FCF"/>
    <w:rsid w:val="00776D6B"/>
    <w:rsid w:val="007A4601"/>
    <w:rsid w:val="007A5B56"/>
    <w:rsid w:val="007F36D1"/>
    <w:rsid w:val="00801B64"/>
    <w:rsid w:val="00806971"/>
    <w:rsid w:val="00814C6F"/>
    <w:rsid w:val="00822086"/>
    <w:rsid w:val="008512A8"/>
    <w:rsid w:val="0088368C"/>
    <w:rsid w:val="00886F55"/>
    <w:rsid w:val="008B7CB1"/>
    <w:rsid w:val="008C74BB"/>
    <w:rsid w:val="008E1018"/>
    <w:rsid w:val="008F0C00"/>
    <w:rsid w:val="009122E9"/>
    <w:rsid w:val="00912F17"/>
    <w:rsid w:val="00921E17"/>
    <w:rsid w:val="00924AAE"/>
    <w:rsid w:val="009311D7"/>
    <w:rsid w:val="009474FF"/>
    <w:rsid w:val="009A48A9"/>
    <w:rsid w:val="009D1BFB"/>
    <w:rsid w:val="009D6AAE"/>
    <w:rsid w:val="009E44D7"/>
    <w:rsid w:val="00A05435"/>
    <w:rsid w:val="00A33CCF"/>
    <w:rsid w:val="00A546A8"/>
    <w:rsid w:val="00A714A9"/>
    <w:rsid w:val="00A71C47"/>
    <w:rsid w:val="00A90F62"/>
    <w:rsid w:val="00AC3C99"/>
    <w:rsid w:val="00AD5550"/>
    <w:rsid w:val="00B00979"/>
    <w:rsid w:val="00B14964"/>
    <w:rsid w:val="00B15FED"/>
    <w:rsid w:val="00B65BEE"/>
    <w:rsid w:val="00B87FEE"/>
    <w:rsid w:val="00B920CD"/>
    <w:rsid w:val="00B93496"/>
    <w:rsid w:val="00BB15FD"/>
    <w:rsid w:val="00BC6B2F"/>
    <w:rsid w:val="00BE1F87"/>
    <w:rsid w:val="00BF48A4"/>
    <w:rsid w:val="00C0465F"/>
    <w:rsid w:val="00C074D3"/>
    <w:rsid w:val="00C11628"/>
    <w:rsid w:val="00C212D5"/>
    <w:rsid w:val="00C32ADF"/>
    <w:rsid w:val="00C612D1"/>
    <w:rsid w:val="00C64576"/>
    <w:rsid w:val="00C93BF5"/>
    <w:rsid w:val="00C97095"/>
    <w:rsid w:val="00C97451"/>
    <w:rsid w:val="00CA2A03"/>
    <w:rsid w:val="00CB7C46"/>
    <w:rsid w:val="00D04ABD"/>
    <w:rsid w:val="00D25194"/>
    <w:rsid w:val="00D35127"/>
    <w:rsid w:val="00D4686D"/>
    <w:rsid w:val="00D50E3E"/>
    <w:rsid w:val="00D61A08"/>
    <w:rsid w:val="00D739F3"/>
    <w:rsid w:val="00D90AA7"/>
    <w:rsid w:val="00D93190"/>
    <w:rsid w:val="00D945C1"/>
    <w:rsid w:val="00DB0AD9"/>
    <w:rsid w:val="00DB1772"/>
    <w:rsid w:val="00DC3A82"/>
    <w:rsid w:val="00E1499A"/>
    <w:rsid w:val="00E32429"/>
    <w:rsid w:val="00E84C23"/>
    <w:rsid w:val="00E931ED"/>
    <w:rsid w:val="00E9419F"/>
    <w:rsid w:val="00ED5ED4"/>
    <w:rsid w:val="00EF669F"/>
    <w:rsid w:val="00F976A2"/>
    <w:rsid w:val="00FB2FFE"/>
    <w:rsid w:val="00FC78B1"/>
    <w:rsid w:val="00FE661D"/>
    <w:rsid w:val="00FF3087"/>
    <w:rsid w:val="016A5443"/>
    <w:rsid w:val="01DA287A"/>
    <w:rsid w:val="01EC1FC8"/>
    <w:rsid w:val="02A53C11"/>
    <w:rsid w:val="03C368F3"/>
    <w:rsid w:val="04280A68"/>
    <w:rsid w:val="049466EE"/>
    <w:rsid w:val="04C00391"/>
    <w:rsid w:val="06F97B4C"/>
    <w:rsid w:val="084043CD"/>
    <w:rsid w:val="0B54460D"/>
    <w:rsid w:val="0D647398"/>
    <w:rsid w:val="0D90657C"/>
    <w:rsid w:val="0F3D6994"/>
    <w:rsid w:val="0FB62B96"/>
    <w:rsid w:val="10041A34"/>
    <w:rsid w:val="10DA53EC"/>
    <w:rsid w:val="126F302C"/>
    <w:rsid w:val="127A2BE6"/>
    <w:rsid w:val="129E0CE5"/>
    <w:rsid w:val="12A94F14"/>
    <w:rsid w:val="12FA1480"/>
    <w:rsid w:val="13DE0204"/>
    <w:rsid w:val="14DE7A9A"/>
    <w:rsid w:val="170154C5"/>
    <w:rsid w:val="180C59B6"/>
    <w:rsid w:val="183E3C69"/>
    <w:rsid w:val="185801D4"/>
    <w:rsid w:val="18A859C0"/>
    <w:rsid w:val="18D90584"/>
    <w:rsid w:val="18DE2140"/>
    <w:rsid w:val="195E6A9A"/>
    <w:rsid w:val="1A4C1D51"/>
    <w:rsid w:val="1A89487E"/>
    <w:rsid w:val="1ACC1C6A"/>
    <w:rsid w:val="1B742CFF"/>
    <w:rsid w:val="1CC91417"/>
    <w:rsid w:val="1D832EC2"/>
    <w:rsid w:val="1E4C3C83"/>
    <w:rsid w:val="1F8C11CD"/>
    <w:rsid w:val="1FB24A5B"/>
    <w:rsid w:val="217312D6"/>
    <w:rsid w:val="21762373"/>
    <w:rsid w:val="21DB42A9"/>
    <w:rsid w:val="21DF230D"/>
    <w:rsid w:val="22ED5643"/>
    <w:rsid w:val="22FE04A3"/>
    <w:rsid w:val="233D15E6"/>
    <w:rsid w:val="24317E17"/>
    <w:rsid w:val="257F155A"/>
    <w:rsid w:val="260405FC"/>
    <w:rsid w:val="268263E9"/>
    <w:rsid w:val="268C46A3"/>
    <w:rsid w:val="26E47633"/>
    <w:rsid w:val="27834DFB"/>
    <w:rsid w:val="2793604E"/>
    <w:rsid w:val="299A40EE"/>
    <w:rsid w:val="29EA5DF3"/>
    <w:rsid w:val="2A681C90"/>
    <w:rsid w:val="2A7B217C"/>
    <w:rsid w:val="2BCB3EF7"/>
    <w:rsid w:val="2BE54F02"/>
    <w:rsid w:val="2C534888"/>
    <w:rsid w:val="2E144BC7"/>
    <w:rsid w:val="2F233085"/>
    <w:rsid w:val="2F30169F"/>
    <w:rsid w:val="304E4AE0"/>
    <w:rsid w:val="30BD6DA2"/>
    <w:rsid w:val="318A76FA"/>
    <w:rsid w:val="33C01DD0"/>
    <w:rsid w:val="347F7280"/>
    <w:rsid w:val="348A00BC"/>
    <w:rsid w:val="35A41E2B"/>
    <w:rsid w:val="36560040"/>
    <w:rsid w:val="388C2756"/>
    <w:rsid w:val="3B4E14F1"/>
    <w:rsid w:val="3B58647E"/>
    <w:rsid w:val="3C3932E8"/>
    <w:rsid w:val="3DAB4763"/>
    <w:rsid w:val="3E0B3033"/>
    <w:rsid w:val="3E2622D5"/>
    <w:rsid w:val="3F30682F"/>
    <w:rsid w:val="417255D4"/>
    <w:rsid w:val="4227050B"/>
    <w:rsid w:val="47D93810"/>
    <w:rsid w:val="47E43D6D"/>
    <w:rsid w:val="4937055A"/>
    <w:rsid w:val="4AA76959"/>
    <w:rsid w:val="4B2B5DC3"/>
    <w:rsid w:val="4BF83072"/>
    <w:rsid w:val="4CC50F60"/>
    <w:rsid w:val="4DF665B5"/>
    <w:rsid w:val="4E271E2A"/>
    <w:rsid w:val="4EE62726"/>
    <w:rsid w:val="4F0C46D0"/>
    <w:rsid w:val="4F4A1D9D"/>
    <w:rsid w:val="50400D4D"/>
    <w:rsid w:val="510F2B29"/>
    <w:rsid w:val="511C5171"/>
    <w:rsid w:val="532A6F15"/>
    <w:rsid w:val="53B121ED"/>
    <w:rsid w:val="545872A4"/>
    <w:rsid w:val="54A57162"/>
    <w:rsid w:val="54F62672"/>
    <w:rsid w:val="557567C5"/>
    <w:rsid w:val="561D16D2"/>
    <w:rsid w:val="588B285C"/>
    <w:rsid w:val="598778E1"/>
    <w:rsid w:val="5A195AAB"/>
    <w:rsid w:val="5ABC3781"/>
    <w:rsid w:val="5C1A2222"/>
    <w:rsid w:val="5C857476"/>
    <w:rsid w:val="5C924C5A"/>
    <w:rsid w:val="626775AC"/>
    <w:rsid w:val="634D4E36"/>
    <w:rsid w:val="639B75B0"/>
    <w:rsid w:val="63B95AD1"/>
    <w:rsid w:val="662356CB"/>
    <w:rsid w:val="680876A0"/>
    <w:rsid w:val="68911E8F"/>
    <w:rsid w:val="68F34AA3"/>
    <w:rsid w:val="6C3236CB"/>
    <w:rsid w:val="6C782F9C"/>
    <w:rsid w:val="6CD73768"/>
    <w:rsid w:val="6DCC47D4"/>
    <w:rsid w:val="6E1A23D9"/>
    <w:rsid w:val="6E7F3432"/>
    <w:rsid w:val="6F143521"/>
    <w:rsid w:val="6F2B3480"/>
    <w:rsid w:val="6F9B07DF"/>
    <w:rsid w:val="71F20747"/>
    <w:rsid w:val="73EB3502"/>
    <w:rsid w:val="748E4D0E"/>
    <w:rsid w:val="764979C5"/>
    <w:rsid w:val="79A834A3"/>
    <w:rsid w:val="79B9751A"/>
    <w:rsid w:val="7A263F07"/>
    <w:rsid w:val="7C2D3EBA"/>
    <w:rsid w:val="7C360028"/>
    <w:rsid w:val="7D175083"/>
    <w:rsid w:val="7D8535BD"/>
    <w:rsid w:val="7DB01AF8"/>
    <w:rsid w:val="7F704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6"/>
      <w:szCs w:val="26"/>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rFonts w:ascii="Calibri" w:hAnsi="Calibri" w:cs="Calibri"/>
      <w:b/>
      <w:bCs/>
      <w:kern w:val="44"/>
      <w:sz w:val="44"/>
      <w:szCs w:val="44"/>
    </w:rPr>
  </w:style>
  <w:style w:type="paragraph" w:styleId="3">
    <w:name w:val="heading 2"/>
    <w:basedOn w:val="1"/>
    <w:next w:val="1"/>
    <w:link w:val="14"/>
    <w:qFormat/>
    <w:uiPriority w:val="99"/>
    <w:pPr>
      <w:keepNext/>
      <w:keepLines/>
      <w:widowControl/>
      <w:spacing w:before="260" w:after="260" w:line="416" w:lineRule="atLeast"/>
      <w:ind w:firstLine="200" w:firstLineChars="200"/>
      <w:outlineLvl w:val="1"/>
    </w:pPr>
    <w:rPr>
      <w:rFonts w:ascii="Cambria" w:hAnsi="Cambria" w:cs="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rFonts w:ascii="Calibri" w:hAnsi="Calibri" w:cs="Calibri"/>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4"/>
    <w:qFormat/>
    <w:uiPriority w:val="99"/>
    <w:pPr>
      <w:spacing w:line="560" w:lineRule="exact"/>
      <w:ind w:firstLine="200" w:firstLineChars="200"/>
      <w:jc w:val="left"/>
      <w:outlineLvl w:val="0"/>
    </w:pPr>
    <w:rPr>
      <w:rFonts w:ascii="Calibri" w:hAnsi="Calibri" w:eastAsia="黑体" w:cs="Calibri"/>
      <w:sz w:val="32"/>
      <w:szCs w:val="32"/>
    </w:rPr>
  </w:style>
  <w:style w:type="table" w:styleId="9">
    <w:name w:val="Table Grid"/>
    <w:basedOn w:val="8"/>
    <w:qFormat/>
    <w:uiPriority w:val="59"/>
    <w:pPr>
      <w:jc w:val="center"/>
    </w:pPr>
    <w:rPr>
      <w:szCs w:val="21"/>
    </w:rPr>
    <w:tblP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CellMar>
        <w:top w:w="57" w:type="dxa"/>
        <w:bottom w:w="57" w:type="dxa"/>
      </w:tblCellMar>
    </w:tblPr>
    <w:tcPr>
      <w:tcMar>
        <w:top w:w="57" w:type="dxa"/>
        <w:bottom w:w="57" w:type="dxa"/>
      </w:tcMar>
      <w:vAlign w:val="center"/>
    </w:tcPr>
  </w:style>
  <w:style w:type="character" w:styleId="11">
    <w:name w:val="Strong"/>
    <w:basedOn w:val="10"/>
    <w:qFormat/>
    <w:uiPriority w:val="99"/>
    <w:rPr>
      <w:b/>
      <w:bCs/>
    </w:rPr>
  </w:style>
  <w:style w:type="character" w:styleId="12">
    <w:name w:val="Emphasis"/>
    <w:basedOn w:val="10"/>
    <w:qFormat/>
    <w:uiPriority w:val="99"/>
    <w:rPr>
      <w:rFonts w:ascii="微软雅黑" w:hAnsi="微软雅黑" w:eastAsia="微软雅黑" w:cs="微软雅黑"/>
      <w:sz w:val="24"/>
      <w:szCs w:val="24"/>
    </w:rPr>
  </w:style>
  <w:style w:type="character" w:customStyle="1" w:styleId="13">
    <w:name w:val="标题 1 Char"/>
    <w:basedOn w:val="10"/>
    <w:link w:val="2"/>
    <w:qFormat/>
    <w:uiPriority w:val="99"/>
    <w:rPr>
      <w:rFonts w:ascii="Calibri" w:hAnsi="Calibri" w:eastAsia="宋体" w:cs="Calibri"/>
      <w:b/>
      <w:bCs/>
      <w:kern w:val="44"/>
      <w:sz w:val="44"/>
      <w:szCs w:val="44"/>
    </w:rPr>
  </w:style>
  <w:style w:type="character" w:customStyle="1" w:styleId="14">
    <w:name w:val="标题 2 Char"/>
    <w:basedOn w:val="10"/>
    <w:link w:val="3"/>
    <w:qFormat/>
    <w:uiPriority w:val="99"/>
    <w:rPr>
      <w:rFonts w:ascii="Cambria" w:hAnsi="Cambria" w:eastAsia="宋体" w:cs="Cambria"/>
      <w:b/>
      <w:bCs/>
      <w:sz w:val="32"/>
      <w:szCs w:val="32"/>
    </w:rPr>
  </w:style>
  <w:style w:type="character" w:customStyle="1" w:styleId="15">
    <w:name w:val="标题 3 Char"/>
    <w:basedOn w:val="10"/>
    <w:link w:val="4"/>
    <w:qFormat/>
    <w:uiPriority w:val="99"/>
    <w:rPr>
      <w:rFonts w:ascii="Calibri" w:hAnsi="Calibri" w:eastAsia="宋体" w:cs="Calibri"/>
      <w:b/>
      <w:bCs/>
      <w:sz w:val="32"/>
      <w:szCs w:val="32"/>
    </w:rPr>
  </w:style>
  <w:style w:type="paragraph" w:customStyle="1" w:styleId="16">
    <w:name w:val="2号小标宋"/>
    <w:basedOn w:val="1"/>
    <w:qFormat/>
    <w:uiPriority w:val="1"/>
    <w:pPr>
      <w:jc w:val="center"/>
    </w:pPr>
    <w:rPr>
      <w:rFonts w:ascii="方正小标宋简体" w:eastAsia="方正小标宋简体"/>
      <w:sz w:val="40"/>
      <w:szCs w:val="40"/>
    </w:rPr>
  </w:style>
  <w:style w:type="paragraph" w:customStyle="1" w:styleId="17">
    <w:name w:val="4号图说、表1"/>
    <w:basedOn w:val="1"/>
    <w:qFormat/>
    <w:uiPriority w:val="1"/>
    <w:pPr>
      <w:jc w:val="center"/>
    </w:pPr>
    <w:rPr>
      <w:rFonts w:ascii="黑体" w:hAnsi="黑体" w:eastAsia="黑体"/>
      <w:sz w:val="28"/>
      <w:szCs w:val="28"/>
    </w:rPr>
  </w:style>
  <w:style w:type="paragraph" w:customStyle="1" w:styleId="18">
    <w:name w:val="5号宋体"/>
    <w:basedOn w:val="1"/>
    <w:qFormat/>
    <w:uiPriority w:val="1"/>
    <w:pPr>
      <w:adjustRightInd w:val="0"/>
      <w:snapToGrid w:val="0"/>
      <w:jc w:val="center"/>
    </w:pPr>
    <w:rPr>
      <w:rFonts w:asciiTheme="minorEastAsia" w:hAnsiTheme="minorEastAsia"/>
    </w:rPr>
  </w:style>
  <w:style w:type="paragraph" w:customStyle="1" w:styleId="19">
    <w:name w:val="附件"/>
    <w:basedOn w:val="1"/>
    <w:qFormat/>
    <w:uiPriority w:val="0"/>
    <w:pPr>
      <w:adjustRightInd w:val="0"/>
      <w:snapToGrid w:val="0"/>
      <w:jc w:val="left"/>
    </w:pPr>
    <w:rPr>
      <w:rFonts w:ascii="黑体" w:hAnsi="黑体" w:eastAsia="黑体"/>
      <w:sz w:val="30"/>
      <w:szCs w:val="30"/>
    </w:rPr>
  </w:style>
  <w:style w:type="paragraph" w:customStyle="1" w:styleId="20">
    <w:name w:val="小5号宋体"/>
    <w:basedOn w:val="18"/>
    <w:qFormat/>
    <w:uiPriority w:val="1"/>
    <w:rPr>
      <w:sz w:val="18"/>
      <w:szCs w:val="18"/>
    </w:rPr>
  </w:style>
  <w:style w:type="paragraph" w:customStyle="1" w:styleId="21">
    <w:name w:val="小5居右"/>
    <w:basedOn w:val="1"/>
    <w:qFormat/>
    <w:uiPriority w:val="1"/>
    <w:pPr>
      <w:adjustRightInd w:val="0"/>
      <w:snapToGrid w:val="0"/>
      <w:spacing w:afterLines="10"/>
      <w:jc w:val="right"/>
    </w:pPr>
    <w:rPr>
      <w:rFonts w:asciiTheme="minorEastAsia" w:hAnsiTheme="minorEastAsia"/>
      <w:sz w:val="18"/>
      <w:szCs w:val="21"/>
    </w:rPr>
  </w:style>
  <w:style w:type="character" w:customStyle="1" w:styleId="22">
    <w:name w:val="页脚 Char"/>
    <w:basedOn w:val="10"/>
    <w:link w:val="5"/>
    <w:qFormat/>
    <w:uiPriority w:val="99"/>
    <w:rPr>
      <w:sz w:val="18"/>
      <w:szCs w:val="18"/>
    </w:rPr>
  </w:style>
  <w:style w:type="character" w:customStyle="1" w:styleId="23">
    <w:name w:val="页眉 Char"/>
    <w:basedOn w:val="10"/>
    <w:link w:val="6"/>
    <w:qFormat/>
    <w:uiPriority w:val="99"/>
    <w:rPr>
      <w:sz w:val="18"/>
      <w:szCs w:val="18"/>
    </w:rPr>
  </w:style>
  <w:style w:type="character" w:customStyle="1" w:styleId="24">
    <w:name w:val="标题 Char"/>
    <w:basedOn w:val="10"/>
    <w:link w:val="7"/>
    <w:qFormat/>
    <w:uiPriority w:val="99"/>
    <w:rPr>
      <w:rFonts w:ascii="Calibri" w:hAnsi="Calibri" w:eastAsia="黑体" w:cs="Calibri"/>
      <w:sz w:val="32"/>
      <w:szCs w:val="32"/>
    </w:rPr>
  </w:style>
  <w:style w:type="character" w:customStyle="1" w:styleId="25">
    <w:name w:val="font21"/>
    <w:basedOn w:val="10"/>
    <w:qFormat/>
    <w:uiPriority w:val="0"/>
    <w:rPr>
      <w:rFonts w:hint="eastAsia" w:ascii="宋体" w:hAnsi="宋体" w:eastAsia="宋体"/>
      <w:color w:val="000000"/>
      <w:sz w:val="20"/>
      <w:szCs w:val="20"/>
      <w:u w:val="none"/>
    </w:rPr>
  </w:style>
  <w:style w:type="character" w:customStyle="1" w:styleId="26">
    <w:name w:val="font11"/>
    <w:basedOn w:val="10"/>
    <w:qFormat/>
    <w:uiPriority w:val="0"/>
    <w:rPr>
      <w:rFonts w:hint="eastAsia" w:ascii="宋体" w:hAnsi="宋体" w:eastAsia="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14335</Words>
  <Characters>81710</Characters>
  <Lines>680</Lines>
  <Paragraphs>191</Paragraphs>
  <TotalTime>28</TotalTime>
  <ScaleCrop>false</ScaleCrop>
  <LinksUpToDate>false</LinksUpToDate>
  <CharactersWithSpaces>95854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2021-08-11T11:04:00Z</dcterms:created>
  <dc:creator>user</dc:creator>
  <cp:lastModifiedBy>admin</cp:lastModifiedBy>
  <cp:lastPrinted>2021-08-25T07:00:00Z</cp:lastPrinted>
  <dcterms:modified xsi:type="dcterms:W3CDTF">2021-12-14T14:30:22Z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DF16BF07C8A64E2194F7B1DF46450FC0</vt:lpwstr>
  </property>
</Properties>
</file>