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黑体"/>
          <w:sz w:val="32"/>
          <w:szCs w:val="32"/>
        </w:rPr>
      </w:pPr>
      <w:r>
        <w:rPr>
          <w:rFonts w:eastAsia="黑体"/>
          <w:sz w:val="32"/>
          <w:szCs w:val="32"/>
        </w:rPr>
        <w:t>附件3</w:t>
      </w:r>
    </w:p>
    <w:p>
      <w:pPr>
        <w:spacing w:line="400" w:lineRule="exact"/>
        <w:rPr>
          <w:rFonts w:eastAsia="黑体"/>
          <w:sz w:val="32"/>
          <w:szCs w:val="32"/>
        </w:rPr>
      </w:pPr>
    </w:p>
    <w:p>
      <w:pPr>
        <w:jc w:val="center"/>
        <w:rPr>
          <w:rFonts w:eastAsia="方正小标宋简体"/>
          <w:spacing w:val="-14"/>
          <w:sz w:val="44"/>
          <w:szCs w:val="44"/>
        </w:rPr>
      </w:pPr>
      <w:r>
        <w:rPr>
          <w:rFonts w:eastAsia="方正小标宋简体"/>
          <w:spacing w:val="-14"/>
          <w:sz w:val="44"/>
          <w:szCs w:val="44"/>
        </w:rPr>
        <w:t>废止的行政规范性文件目录</w:t>
      </w:r>
    </w:p>
    <w:p>
      <w:pPr>
        <w:spacing w:line="400" w:lineRule="exact"/>
        <w:rPr>
          <w:rFonts w:eastAsia="黑体"/>
          <w:sz w:val="32"/>
          <w:szCs w:val="32"/>
        </w:rPr>
      </w:pPr>
    </w:p>
    <w:tbl>
      <w:tblPr>
        <w:tblStyle w:val="2"/>
        <w:tblW w:w="9354" w:type="dxa"/>
        <w:jc w:val="center"/>
        <w:tblInd w:w="-240" w:type="dxa"/>
        <w:tblLayout w:type="fixed"/>
        <w:tblCellMar>
          <w:top w:w="15" w:type="dxa"/>
          <w:left w:w="15" w:type="dxa"/>
          <w:bottom w:w="15" w:type="dxa"/>
          <w:right w:w="15" w:type="dxa"/>
        </w:tblCellMar>
      </w:tblPr>
      <w:tblGrid>
        <w:gridCol w:w="765"/>
        <w:gridCol w:w="5636"/>
        <w:gridCol w:w="2953"/>
      </w:tblGrid>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序号</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文件名称</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    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关于贯彻落实医疗机构间医学检验医学影像检查互认有关问题的通知</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浙卫发〔2006〕157号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2</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浙江省卫生厅关于做好审批前置中介服务改革工作的通知</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浙卫发〔2013〕116号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浙江省卫生和计划生育委员会等5部门关于进一步加强流动人口计划生育工作的若干意见</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浙卫发〔2014〕12号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4</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浙江省卫生计生委关于新修订的《浙江省人口与计划生育条例》有关条款执行中若干问题的答复意见</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 〔2016〕33号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5</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spacing w:val="-6"/>
                <w:kern w:val="0"/>
                <w:sz w:val="24"/>
                <w:lang w:bidi="ar"/>
              </w:rPr>
              <w:t>浙江省卫生计生委关于印发浙江省再生育审批办理规定的通知</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浙卫发〔2018〕3号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6</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省计生委印发《关于征收社会抚养费和实施计划生育行政处罚若干规定》的通知</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浙计生委〔2002〕98号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7</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省</w:t>
            </w:r>
            <w:r>
              <w:rPr>
                <w:rFonts w:eastAsia="仿宋_GB2312"/>
                <w:color w:val="000000"/>
                <w:spacing w:val="-6"/>
                <w:kern w:val="0"/>
                <w:sz w:val="24"/>
                <w:lang w:bidi="ar"/>
              </w:rPr>
              <w:t>计生委转发国家计生委关于病残儿医学鉴定管理办法的通知</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浙计生委〔2002〕106号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8</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省人口计生委关于印发浙江省计划生育药具工作管理办法实施细则的通知</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浙人口计生委〔2007〕49号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9</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省人口计生委 省公安厅关于开展流动人口服务管理协作工作的通知</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浙人口计生委〔2008〕2号</w:t>
            </w:r>
          </w:p>
        </w:tc>
      </w:tr>
      <w:tr>
        <w:tblPrEx>
          <w:tblLayout w:type="fixed"/>
          <w:tblCellMar>
            <w:top w:w="15" w:type="dxa"/>
            <w:left w:w="15" w:type="dxa"/>
            <w:bottom w:w="15" w:type="dxa"/>
            <w:right w:w="15"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10</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省人口计生委关于规范社会抚养费征收裁量权的指导意见</w:t>
            </w:r>
          </w:p>
        </w:tc>
        <w:tc>
          <w:tcPr>
            <w:tcW w:w="2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浙人口计生委〔2010〕42号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92117"/>
    <w:rsid w:val="2BE9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2021-12-15T09:24:00Z</dcterms:created>
  <dc:creator>xxzx</dc:creator>
  <cp:lastModifiedBy>xxzx</cp:lastModifiedBy>
  <dcterms:modified xsi:type="dcterms:W3CDTF">2021-12-15T09:28:15Z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