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olor w:val="auto"/>
          <w:sz w:val="32"/>
          <w:szCs w:val="32"/>
          <w:lang w:eastAsia="zh-CN"/>
        </w:rPr>
      </w:pPr>
      <w:r>
        <w:rPr>
          <w:rFonts w:hint="eastAsia" w:ascii="黑体" w:hAnsi="黑体" w:eastAsia="黑体"/>
          <w:color w:val="auto"/>
          <w:sz w:val="32"/>
          <w:szCs w:val="32"/>
          <w:lang w:eastAsia="zh-CN"/>
        </w:rPr>
        <w:t>附件</w:t>
      </w:r>
      <w:r>
        <w:rPr>
          <w:rFonts w:hint="eastAsia" w:ascii="黑体" w:hAnsi="黑体" w:eastAsia="黑体"/>
          <w:color w:val="auto"/>
          <w:sz w:val="32"/>
          <w:szCs w:val="32"/>
          <w:lang w:val="en-US" w:eastAsia="zh-CN"/>
        </w:rPr>
        <w:t>1</w:t>
      </w:r>
    </w:p>
    <w:p>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北京市人工流产后</w:t>
      </w:r>
      <w:r>
        <w:rPr>
          <w:rFonts w:hint="eastAsia" w:ascii="方正小标宋简体" w:hAnsi="方正小标宋简体" w:eastAsia="方正小标宋简体" w:cs="方正小标宋简体"/>
          <w:color w:val="auto"/>
          <w:sz w:val="44"/>
          <w:szCs w:val="44"/>
          <w:lang w:val="en-US" w:eastAsia="zh-CN"/>
        </w:rPr>
        <w:t>避孕</w:t>
      </w:r>
      <w:r>
        <w:rPr>
          <w:rFonts w:hint="eastAsia" w:ascii="方正小标宋简体" w:hAnsi="方正小标宋简体" w:eastAsia="方正小标宋简体" w:cs="方正小标宋简体"/>
          <w:color w:val="auto"/>
          <w:sz w:val="44"/>
          <w:szCs w:val="44"/>
          <w:lang w:eastAsia="zh-CN"/>
        </w:rPr>
        <w:t>服务规范化建设评估标准（</w:t>
      </w:r>
      <w:r>
        <w:rPr>
          <w:rFonts w:hint="eastAsia" w:ascii="方正小标宋简体" w:hAnsi="方正小标宋简体" w:eastAsia="方正小标宋简体" w:cs="方正小标宋简体"/>
          <w:color w:val="auto"/>
          <w:sz w:val="44"/>
          <w:szCs w:val="44"/>
          <w:lang w:val="en-US" w:eastAsia="zh-CN"/>
        </w:rPr>
        <w:t>2021年版</w:t>
      </w:r>
      <w:r>
        <w:rPr>
          <w:rFonts w:hint="eastAsia" w:ascii="方正小标宋简体" w:hAnsi="方正小标宋简体" w:eastAsia="方正小标宋简体" w:cs="方正小标宋简体"/>
          <w:color w:val="auto"/>
          <w:sz w:val="44"/>
          <w:szCs w:val="44"/>
          <w:lang w:eastAsia="zh-CN"/>
        </w:rPr>
        <w:t>）</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551"/>
        <w:gridCol w:w="1658"/>
        <w:gridCol w:w="2807"/>
        <w:gridCol w:w="3054"/>
        <w:gridCol w:w="2682"/>
        <w:gridCol w:w="22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15" w:hRule="atLeast"/>
          <w:jc w:val="center"/>
        </w:trPr>
        <w:tc>
          <w:tcPr>
            <w:tcW w:w="1551" w:type="dxa"/>
            <w:tcBorders>
              <w:tl2br w:val="nil"/>
              <w:tr2bl w:val="nil"/>
            </w:tcBorders>
            <w:shd w:val="clear" w:color="auto" w:fill="FFFFFF"/>
            <w:noWrap w:val="0"/>
            <w:vAlign w:val="center"/>
          </w:tcPr>
          <w:p>
            <w:pPr>
              <w:widowControl/>
              <w:jc w:val="center"/>
              <w:textAlignment w:val="center"/>
              <w:rPr>
                <w:rFonts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SA"/>
              </w:rPr>
              <w:t>一级指标</w:t>
            </w:r>
          </w:p>
        </w:tc>
        <w:tc>
          <w:tcPr>
            <w:tcW w:w="1658" w:type="dxa"/>
            <w:tcBorders>
              <w:tl2br w:val="nil"/>
              <w:tr2bl w:val="nil"/>
            </w:tcBorders>
            <w:shd w:val="clear" w:color="auto" w:fill="FFFFFF"/>
            <w:noWrap w:val="0"/>
            <w:vAlign w:val="center"/>
          </w:tcPr>
          <w:p>
            <w:pPr>
              <w:widowControl/>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SA"/>
              </w:rPr>
              <w:t>指标内容</w:t>
            </w:r>
          </w:p>
        </w:tc>
        <w:tc>
          <w:tcPr>
            <w:tcW w:w="2807" w:type="dxa"/>
            <w:tcBorders>
              <w:tl2br w:val="nil"/>
              <w:tr2bl w:val="nil"/>
            </w:tcBorders>
            <w:shd w:val="clear" w:color="auto" w:fill="FFFFFF"/>
            <w:noWrap w:val="0"/>
            <w:vAlign w:val="center"/>
          </w:tcPr>
          <w:p>
            <w:pPr>
              <w:widowControl/>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SA"/>
              </w:rPr>
              <w:t>A级</w:t>
            </w:r>
          </w:p>
        </w:tc>
        <w:tc>
          <w:tcPr>
            <w:tcW w:w="3054" w:type="dxa"/>
            <w:tcBorders>
              <w:tl2br w:val="nil"/>
              <w:tr2bl w:val="nil"/>
            </w:tcBorders>
            <w:shd w:val="clear" w:color="auto" w:fill="FFFFFF"/>
            <w:noWrap w:val="0"/>
            <w:vAlign w:val="center"/>
          </w:tcPr>
          <w:p>
            <w:pPr>
              <w:widowControl/>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SA"/>
              </w:rPr>
              <w:t>AA级</w:t>
            </w:r>
          </w:p>
        </w:tc>
        <w:tc>
          <w:tcPr>
            <w:tcW w:w="2682" w:type="dxa"/>
            <w:tcBorders>
              <w:tl2br w:val="nil"/>
              <w:tr2bl w:val="nil"/>
            </w:tcBorders>
            <w:shd w:val="clear" w:color="auto" w:fill="FFFFFF"/>
            <w:noWrap w:val="0"/>
            <w:vAlign w:val="center"/>
          </w:tcPr>
          <w:p>
            <w:pPr>
              <w:widowControl/>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SA"/>
              </w:rPr>
              <w:t>AAA级</w:t>
            </w:r>
          </w:p>
        </w:tc>
        <w:tc>
          <w:tcPr>
            <w:tcW w:w="2267" w:type="dxa"/>
            <w:tcBorders>
              <w:tl2br w:val="nil"/>
              <w:tr2bl w:val="nil"/>
            </w:tcBorders>
            <w:shd w:val="clear" w:color="auto" w:fill="FFFFFF"/>
            <w:noWrap w:val="0"/>
            <w:vAlign w:val="center"/>
          </w:tcPr>
          <w:p>
            <w:pPr>
              <w:widowControl/>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SA"/>
              </w:rPr>
              <w:t>评价办法与扣分标准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1551" w:type="dxa"/>
            <w:vMerge w:val="restart"/>
            <w:tcBorders>
              <w:tl2br w:val="nil"/>
              <w:tr2bl w:val="nil"/>
            </w:tcBorders>
            <w:noWrap w:val="0"/>
            <w:vAlign w:val="center"/>
          </w:tcPr>
          <w:p>
            <w:pPr>
              <w:widowControl/>
              <w:numPr>
                <w:ilvl w:val="0"/>
                <w:numId w:val="1"/>
              </w:numPr>
              <w:jc w:val="center"/>
              <w:textAlignment w:val="center"/>
              <w:rPr>
                <w:rFonts w:hint="eastAsia" w:ascii="仿宋_GB2312" w:hAnsi="宋体" w:eastAsia="仿宋_GB2312" w:cs="仿宋_GB2312"/>
                <w:i w:val="0"/>
                <w:color w:val="auto"/>
                <w:kern w:val="0"/>
                <w:sz w:val="24"/>
                <w:szCs w:val="24"/>
                <w:u w:val="none"/>
                <w:lang w:val="en-US" w:eastAsia="zh-CN" w:bidi="ar-SA"/>
              </w:rPr>
            </w:pPr>
            <w:r>
              <w:rPr>
                <w:rFonts w:hint="eastAsia" w:ascii="仿宋_GB2312" w:hAnsi="宋体" w:eastAsia="仿宋_GB2312" w:cs="仿宋_GB2312"/>
                <w:i w:val="0"/>
                <w:color w:val="auto"/>
                <w:kern w:val="0"/>
                <w:sz w:val="24"/>
                <w:szCs w:val="24"/>
                <w:u w:val="none"/>
                <w:lang w:val="en-US" w:eastAsia="zh-CN" w:bidi="ar-SA"/>
              </w:rPr>
              <w:t>服务机构基本条件</w:t>
            </w:r>
          </w:p>
          <w:p>
            <w:pPr>
              <w:widowControl/>
              <w:numPr>
                <w:ilvl w:val="0"/>
                <w:numId w:val="0"/>
              </w:numPr>
              <w:ind w:firstLine="240" w:firstLineChars="100"/>
              <w:jc w:val="both"/>
              <w:textAlignment w:val="center"/>
              <w:rPr>
                <w:rFonts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SA"/>
              </w:rPr>
              <w:t>（5分）</w:t>
            </w:r>
          </w:p>
        </w:tc>
        <w:tc>
          <w:tcPr>
            <w:tcW w:w="1658" w:type="dxa"/>
            <w:tcBorders>
              <w:tl2br w:val="nil"/>
              <w:tr2bl w:val="nil"/>
            </w:tcBorders>
            <w:noWrap w:val="0"/>
            <w:vAlign w:val="center"/>
          </w:tcPr>
          <w:p>
            <w:pPr>
              <w:widowControl/>
              <w:jc w:val="left"/>
              <w:textAlignment w:val="center"/>
              <w:rPr>
                <w:rFonts w:hint="default" w:ascii="仿宋_GB2312" w:hAnsi="宋体" w:eastAsia="仿宋_GB2312" w:cs="仿宋_GB2312"/>
                <w:i w:val="0"/>
                <w:color w:val="auto"/>
                <w:kern w:val="2"/>
                <w:sz w:val="21"/>
                <w:szCs w:val="21"/>
                <w:u w:val="none"/>
                <w:lang w:val="en-US" w:eastAsia="zh-CN" w:bidi="ar-SA"/>
              </w:rPr>
            </w:pPr>
            <w:r>
              <w:rPr>
                <w:rFonts w:hint="eastAsia" w:ascii="仿宋_GB2312" w:hAnsi="宋体" w:eastAsia="仿宋_GB2312" w:cs="仿宋_GB2312"/>
                <w:i w:val="0"/>
                <w:color w:val="auto"/>
                <w:kern w:val="0"/>
                <w:sz w:val="21"/>
                <w:szCs w:val="21"/>
                <w:u w:val="none"/>
                <w:lang w:val="en-US" w:eastAsia="zh-CN" w:bidi="ar-SA"/>
              </w:rPr>
              <w:t>（一）服务时间(必要条件)</w:t>
            </w:r>
          </w:p>
        </w:tc>
        <w:tc>
          <w:tcPr>
            <w:tcW w:w="2807" w:type="dxa"/>
            <w:tcBorders>
              <w:tl2br w:val="nil"/>
              <w:tr2bl w:val="nil"/>
            </w:tcBorders>
            <w:noWrap w:val="0"/>
            <w:vAlign w:val="center"/>
          </w:tcPr>
          <w:p>
            <w:pPr>
              <w:widowControl/>
              <w:jc w:val="left"/>
              <w:textAlignment w:val="center"/>
              <w:rPr>
                <w:rFonts w:hint="eastAsia" w:ascii="仿宋_GB2312" w:hAnsi="宋体" w:eastAsia="仿宋_GB2312" w:cs="仿宋_GB2312"/>
                <w:i w:val="0"/>
                <w:color w:val="auto"/>
                <w:kern w:val="2"/>
                <w:sz w:val="21"/>
                <w:szCs w:val="21"/>
                <w:u w:val="none"/>
                <w:lang w:val="en-US" w:eastAsia="zh-CN" w:bidi="ar-SA"/>
              </w:rPr>
            </w:pPr>
            <w:r>
              <w:rPr>
                <w:rFonts w:hint="eastAsia" w:ascii="仿宋_GB2312" w:hAnsi="宋体" w:eastAsia="仿宋_GB2312" w:cs="仿宋_GB2312"/>
                <w:i w:val="0"/>
                <w:color w:val="auto"/>
                <w:kern w:val="0"/>
                <w:sz w:val="21"/>
                <w:szCs w:val="21"/>
                <w:u w:val="none"/>
                <w:lang w:val="en-US" w:eastAsia="zh-CN" w:bidi="ar-SA"/>
              </w:rPr>
              <w:t>开展人工流产后避孕服务1年以上，可提供完整咨询记录和随访记录。</w:t>
            </w:r>
          </w:p>
        </w:tc>
        <w:tc>
          <w:tcPr>
            <w:tcW w:w="3054" w:type="dxa"/>
            <w:tcBorders>
              <w:tl2br w:val="nil"/>
              <w:tr2bl w:val="nil"/>
            </w:tcBorders>
            <w:noWrap w:val="0"/>
            <w:vAlign w:val="center"/>
          </w:tcPr>
          <w:p>
            <w:pPr>
              <w:widowControl/>
              <w:jc w:val="left"/>
              <w:textAlignment w:val="center"/>
              <w:rPr>
                <w:rFonts w:hint="eastAsia" w:ascii="仿宋_GB2312" w:hAnsi="宋体" w:eastAsia="仿宋_GB2312" w:cs="仿宋_GB2312"/>
                <w:i w:val="0"/>
                <w:color w:val="auto"/>
                <w:kern w:val="2"/>
                <w:sz w:val="21"/>
                <w:szCs w:val="21"/>
                <w:u w:val="none"/>
                <w:lang w:val="en-US" w:eastAsia="zh-CN" w:bidi="ar-SA"/>
              </w:rPr>
            </w:pPr>
            <w:r>
              <w:rPr>
                <w:rFonts w:hint="eastAsia" w:ascii="仿宋_GB2312" w:hAnsi="宋体" w:eastAsia="仿宋_GB2312" w:cs="仿宋_GB2312"/>
                <w:i w:val="0"/>
                <w:color w:val="auto"/>
                <w:kern w:val="0"/>
                <w:sz w:val="21"/>
                <w:szCs w:val="21"/>
                <w:u w:val="none"/>
                <w:lang w:val="en-US" w:eastAsia="zh-CN" w:bidi="ar-SA"/>
              </w:rPr>
              <w:t>开展人工流产后避孕服务3年以上，可提供完整的咨询记录和随访记录。</w:t>
            </w:r>
          </w:p>
        </w:tc>
        <w:tc>
          <w:tcPr>
            <w:tcW w:w="2682" w:type="dxa"/>
            <w:tcBorders>
              <w:tl2br w:val="nil"/>
              <w:tr2bl w:val="nil"/>
            </w:tcBorders>
            <w:noWrap w:val="0"/>
            <w:vAlign w:val="center"/>
          </w:tcPr>
          <w:p>
            <w:pPr>
              <w:widowControl/>
              <w:jc w:val="left"/>
              <w:textAlignment w:val="center"/>
              <w:rPr>
                <w:rFonts w:hint="eastAsia" w:ascii="仿宋_GB2312" w:hAnsi="宋体" w:eastAsia="仿宋_GB2312" w:cs="仿宋_GB2312"/>
                <w:i w:val="0"/>
                <w:color w:val="auto"/>
                <w:kern w:val="2"/>
                <w:sz w:val="21"/>
                <w:szCs w:val="21"/>
                <w:u w:val="none"/>
                <w:lang w:val="en-US" w:eastAsia="zh-CN" w:bidi="ar-SA"/>
              </w:rPr>
            </w:pPr>
            <w:r>
              <w:rPr>
                <w:rFonts w:hint="eastAsia" w:ascii="仿宋_GB2312" w:hAnsi="宋体" w:eastAsia="仿宋_GB2312" w:cs="仿宋_GB2312"/>
                <w:i w:val="0"/>
                <w:color w:val="auto"/>
                <w:kern w:val="0"/>
                <w:sz w:val="21"/>
                <w:szCs w:val="21"/>
                <w:u w:val="none"/>
                <w:lang w:val="en-US" w:eastAsia="zh-CN" w:bidi="ar-SA"/>
              </w:rPr>
              <w:t>开展人工流产后避孕服务5年以上，可提供完整的咨询记录和随访记录。推动长效避孕方法的知情选择和适时落实。</w:t>
            </w:r>
          </w:p>
        </w:tc>
        <w:tc>
          <w:tcPr>
            <w:tcW w:w="2267" w:type="dxa"/>
            <w:tcBorders>
              <w:tl2br w:val="nil"/>
              <w:tr2bl w:val="nil"/>
            </w:tcBorders>
            <w:noWrap w:val="0"/>
            <w:vAlign w:val="center"/>
          </w:tcPr>
          <w:p>
            <w:pPr>
              <w:widowControl/>
              <w:jc w:val="left"/>
              <w:textAlignment w:val="center"/>
              <w:rPr>
                <w:rFonts w:hint="eastAsia" w:ascii="仿宋_GB2312" w:hAnsi="宋体" w:eastAsia="仿宋_GB2312" w:cs="仿宋_GB2312"/>
                <w:i w:val="0"/>
                <w:color w:val="auto"/>
                <w:kern w:val="2"/>
                <w:sz w:val="20"/>
                <w:szCs w:val="20"/>
                <w:u w:val="none"/>
                <w:lang w:val="en-US" w:eastAsia="zh-CN" w:bidi="ar-SA"/>
              </w:rPr>
            </w:pPr>
            <w:r>
              <w:rPr>
                <w:rFonts w:hint="eastAsia" w:ascii="仿宋_GB2312" w:hAnsi="宋体" w:eastAsia="仿宋_GB2312" w:cs="仿宋_GB2312"/>
                <w:i w:val="0"/>
                <w:color w:val="auto"/>
                <w:kern w:val="0"/>
                <w:sz w:val="20"/>
                <w:szCs w:val="20"/>
                <w:u w:val="none"/>
                <w:lang w:val="en-US" w:eastAsia="zh-CN" w:bidi="ar-SA"/>
              </w:rPr>
              <w:t>以提供记录中的服务时间确定。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41" w:hRule="atLeast"/>
          <w:jc w:val="center"/>
        </w:trPr>
        <w:tc>
          <w:tcPr>
            <w:tcW w:w="1551" w:type="dxa"/>
            <w:vMerge w:val="continue"/>
            <w:tcBorders>
              <w:tl2br w:val="nil"/>
              <w:tr2bl w:val="nil"/>
            </w:tcBorders>
            <w:noWrap w:val="0"/>
            <w:vAlign w:val="center"/>
          </w:tcPr>
          <w:p>
            <w:pPr>
              <w:jc w:val="center"/>
              <w:rPr>
                <w:rFonts w:hint="eastAsia" w:ascii="仿宋_GB2312" w:hAnsi="宋体" w:eastAsia="仿宋_GB2312" w:cs="仿宋_GB2312"/>
                <w:i w:val="0"/>
                <w:color w:val="auto"/>
                <w:sz w:val="24"/>
                <w:szCs w:val="24"/>
                <w:u w:val="none"/>
                <w:rPrChange w:id="0" w:author="靖建华 2021-11-30 16:46:26" w:date="2021-11-30T16:50:00Z">
                  <w:rPr>
                    <w:rFonts w:hint="eastAsia" w:ascii="仿宋_GB2312" w:hAnsi="宋体" w:eastAsia="仿宋_GB2312" w:cs="仿宋_GB2312"/>
                    <w:i w:val="0"/>
                    <w:color w:val="000000"/>
                    <w:sz w:val="24"/>
                    <w:szCs w:val="24"/>
                    <w:u w:val="none"/>
                  </w:rPr>
                </w:rPrChange>
              </w:rPr>
            </w:pPr>
          </w:p>
        </w:tc>
        <w:tc>
          <w:tcPr>
            <w:tcW w:w="1658" w:type="dxa"/>
            <w:tcBorders>
              <w:tl2br w:val="nil"/>
              <w:tr2bl w:val="nil"/>
            </w:tcBorders>
            <w:noWrap w:val="0"/>
            <w:vAlign w:val="center"/>
          </w:tcPr>
          <w:p>
            <w:pPr>
              <w:widowControl/>
              <w:jc w:val="left"/>
              <w:textAlignment w:val="center"/>
              <w:rPr>
                <w:rFonts w:hint="eastAsia" w:ascii="仿宋_GB2312" w:hAnsi="宋体" w:eastAsia="仿宋_GB2312" w:cs="仿宋_GB2312"/>
                <w:i w:val="0"/>
                <w:color w:val="auto"/>
                <w:kern w:val="2"/>
                <w:sz w:val="21"/>
                <w:szCs w:val="21"/>
                <w:u w:val="none"/>
                <w:lang w:val="en-US" w:eastAsia="zh-CN" w:bidi="ar-SA"/>
              </w:rPr>
            </w:pPr>
            <w:r>
              <w:rPr>
                <w:rFonts w:hint="eastAsia" w:ascii="仿宋_GB2312" w:hAnsi="宋体" w:eastAsia="仿宋_GB2312" w:cs="仿宋_GB2312"/>
                <w:i w:val="0"/>
                <w:color w:val="auto"/>
                <w:kern w:val="0"/>
                <w:sz w:val="21"/>
                <w:szCs w:val="21"/>
                <w:u w:val="none"/>
                <w:lang w:val="en-US" w:eastAsia="zh-CN" w:bidi="ar-SA"/>
                <w:rPrChange w:id="1" w:author="靖建华 2021-11-30 16:46:26" w:date="2021-11-30T16:50:00Z">
                  <w:rPr>
                    <w:rFonts w:hint="eastAsia" w:ascii="仿宋_GB2312" w:hAnsi="宋体" w:eastAsia="仿宋_GB2312" w:cs="仿宋_GB2312"/>
                    <w:i w:val="0"/>
                    <w:color w:val="000000"/>
                    <w:kern w:val="0"/>
                    <w:sz w:val="21"/>
                    <w:szCs w:val="21"/>
                    <w:u w:val="none"/>
                    <w:lang w:val="en-US" w:eastAsia="zh-CN" w:bidi="ar-SA"/>
                  </w:rPr>
                </w:rPrChange>
              </w:rPr>
              <w:t>（二）</w:t>
            </w:r>
            <w:r>
              <w:rPr>
                <w:rFonts w:hint="eastAsia" w:ascii="仿宋_GB2312" w:hAnsi="宋体" w:eastAsia="仿宋_GB2312" w:cs="仿宋_GB2312"/>
                <w:i w:val="0"/>
                <w:color w:val="auto"/>
                <w:kern w:val="0"/>
                <w:sz w:val="21"/>
                <w:szCs w:val="21"/>
                <w:u w:val="none"/>
                <w:lang w:val="en-US" w:eastAsia="zh-CN" w:bidi="ar-SA"/>
              </w:rPr>
              <w:t>服务示范（5分）</w:t>
            </w:r>
          </w:p>
        </w:tc>
        <w:tc>
          <w:tcPr>
            <w:tcW w:w="2807" w:type="dxa"/>
            <w:tcBorders>
              <w:tl2br w:val="nil"/>
              <w:tr2bl w:val="nil"/>
            </w:tcBorders>
            <w:noWrap w:val="0"/>
            <w:vAlign w:val="center"/>
          </w:tcPr>
          <w:p>
            <w:pPr>
              <w:widowControl/>
              <w:jc w:val="left"/>
              <w:textAlignment w:val="center"/>
              <w:rPr>
                <w:rFonts w:hint="eastAsia" w:ascii="仿宋_GB2312" w:hAnsi="宋体" w:eastAsia="仿宋_GB2312" w:cs="仿宋_GB2312"/>
                <w:i w:val="0"/>
                <w:color w:val="auto"/>
                <w:kern w:val="2"/>
                <w:sz w:val="21"/>
                <w:szCs w:val="21"/>
                <w:u w:val="none"/>
                <w:lang w:val="en-US" w:eastAsia="zh-CN" w:bidi="ar-SA"/>
              </w:rPr>
            </w:pPr>
            <w:r>
              <w:rPr>
                <w:rFonts w:hint="eastAsia" w:ascii="仿宋_GB2312" w:hAnsi="宋体" w:eastAsia="仿宋_GB2312" w:cs="仿宋_GB2312"/>
                <w:i w:val="0"/>
                <w:color w:val="auto"/>
                <w:kern w:val="0"/>
                <w:sz w:val="21"/>
                <w:szCs w:val="21"/>
                <w:u w:val="none"/>
                <w:lang w:val="en-US" w:eastAsia="zh-CN" w:bidi="ar-SA"/>
              </w:rPr>
              <w:t>开展人工流产后避孕服务工作。</w:t>
            </w:r>
          </w:p>
        </w:tc>
        <w:tc>
          <w:tcPr>
            <w:tcW w:w="3054" w:type="dxa"/>
            <w:tcBorders>
              <w:tl2br w:val="nil"/>
              <w:tr2bl w:val="nil"/>
            </w:tcBorders>
            <w:noWrap w:val="0"/>
            <w:vAlign w:val="top"/>
          </w:tcPr>
          <w:p>
            <w:pPr>
              <w:widowControl/>
              <w:jc w:val="left"/>
              <w:textAlignment w:val="top"/>
              <w:rPr>
                <w:rFonts w:hint="eastAsia" w:ascii="仿宋_GB2312" w:hAnsi="宋体" w:eastAsia="仿宋_GB2312" w:cs="仿宋_GB2312"/>
                <w:i w:val="0"/>
                <w:color w:val="auto"/>
                <w:kern w:val="2"/>
                <w:sz w:val="21"/>
                <w:szCs w:val="21"/>
                <w:u w:val="none"/>
                <w:lang w:val="en-US" w:eastAsia="zh-CN" w:bidi="ar-SA"/>
              </w:rPr>
            </w:pPr>
            <w:r>
              <w:rPr>
                <w:rFonts w:hint="eastAsia" w:ascii="仿宋_GB2312" w:hAnsi="宋体" w:eastAsia="仿宋_GB2312" w:cs="仿宋_GB2312"/>
                <w:i w:val="0"/>
                <w:color w:val="auto"/>
                <w:kern w:val="0"/>
                <w:sz w:val="21"/>
                <w:szCs w:val="21"/>
                <w:u w:val="none"/>
                <w:lang w:val="en-US" w:eastAsia="zh-CN" w:bidi="ar-SA"/>
              </w:rPr>
              <w:t>1.将人工流产后避孕服务作为常规工作，长期持续开展</w:t>
            </w:r>
            <w:r>
              <w:rPr>
                <w:rFonts w:hint="eastAsia" w:ascii="仿宋_GB2312" w:hAnsi="宋体" w:eastAsia="仿宋_GB2312" w:cs="仿宋_GB2312"/>
                <w:i w:val="0"/>
                <w:color w:val="auto"/>
                <w:kern w:val="0"/>
                <w:sz w:val="20"/>
                <w:szCs w:val="20"/>
                <w:u w:val="none"/>
                <w:lang w:val="en-US" w:eastAsia="zh-CN" w:bidi="ar-SA"/>
              </w:rPr>
              <w:t>。</w:t>
            </w:r>
            <w:r>
              <w:rPr>
                <w:rFonts w:hint="eastAsia" w:ascii="仿宋_GB2312" w:hAnsi="宋体" w:eastAsia="仿宋_GB2312" w:cs="仿宋_GB2312"/>
                <w:i w:val="0"/>
                <w:color w:val="auto"/>
                <w:kern w:val="0"/>
                <w:sz w:val="21"/>
                <w:szCs w:val="21"/>
                <w:u w:val="none"/>
                <w:lang w:val="en-US" w:eastAsia="zh-CN" w:bidi="ar-SA"/>
              </w:rPr>
              <w:br w:type="textWrapping"/>
            </w:r>
            <w:r>
              <w:rPr>
                <w:rFonts w:hint="eastAsia" w:ascii="仿宋_GB2312" w:hAnsi="宋体" w:eastAsia="仿宋_GB2312" w:cs="仿宋_GB2312"/>
                <w:i w:val="0"/>
                <w:color w:val="auto"/>
                <w:kern w:val="0"/>
                <w:sz w:val="21"/>
                <w:szCs w:val="21"/>
                <w:u w:val="none"/>
                <w:lang w:val="en-US" w:eastAsia="zh-CN" w:bidi="ar-SA"/>
              </w:rPr>
              <w:t>2.在所在辖区有学术影响力，起到引领、推进和示范作用</w:t>
            </w:r>
            <w:r>
              <w:rPr>
                <w:rFonts w:hint="eastAsia" w:ascii="仿宋_GB2312" w:hAnsi="宋体" w:eastAsia="仿宋_GB2312" w:cs="仿宋_GB2312"/>
                <w:i w:val="0"/>
                <w:color w:val="auto"/>
                <w:kern w:val="0"/>
                <w:sz w:val="20"/>
                <w:szCs w:val="20"/>
                <w:u w:val="none"/>
                <w:lang w:val="en-US" w:eastAsia="zh-CN" w:bidi="ar-SA"/>
              </w:rPr>
              <w:t>。</w:t>
            </w:r>
            <w:r>
              <w:rPr>
                <w:rFonts w:hint="eastAsia" w:ascii="仿宋_GB2312" w:hAnsi="宋体" w:eastAsia="仿宋_GB2312" w:cs="仿宋_GB2312"/>
                <w:i w:val="0"/>
                <w:color w:val="auto"/>
                <w:kern w:val="0"/>
                <w:sz w:val="21"/>
                <w:szCs w:val="21"/>
                <w:u w:val="none"/>
                <w:lang w:val="en-US" w:eastAsia="zh-CN" w:bidi="ar-SA"/>
              </w:rPr>
              <w:br w:type="textWrapping"/>
            </w:r>
            <w:r>
              <w:rPr>
                <w:rFonts w:hint="eastAsia" w:ascii="仿宋_GB2312" w:hAnsi="宋体" w:eastAsia="仿宋_GB2312" w:cs="仿宋_GB2312"/>
                <w:i w:val="0"/>
                <w:color w:val="auto"/>
                <w:kern w:val="0"/>
                <w:sz w:val="21"/>
                <w:szCs w:val="21"/>
                <w:u w:val="none"/>
                <w:lang w:val="en-US" w:eastAsia="zh-CN" w:bidi="ar-SA"/>
              </w:rPr>
              <w:t>3.有人工流产后避孕服务相关科研立项或有科研、科普文章发表。</w:t>
            </w:r>
          </w:p>
        </w:tc>
        <w:tc>
          <w:tcPr>
            <w:tcW w:w="2682" w:type="dxa"/>
            <w:tcBorders>
              <w:tl2br w:val="nil"/>
              <w:tr2bl w:val="nil"/>
            </w:tcBorders>
            <w:noWrap w:val="0"/>
            <w:vAlign w:val="top"/>
          </w:tcPr>
          <w:p>
            <w:pPr>
              <w:widowControl/>
              <w:jc w:val="left"/>
              <w:textAlignment w:val="top"/>
              <w:rPr>
                <w:rFonts w:hint="eastAsia" w:ascii="宋体" w:hAnsi="宋体" w:eastAsia="宋体" w:cs="宋体"/>
                <w:i w:val="0"/>
                <w:color w:val="auto"/>
                <w:kern w:val="2"/>
                <w:sz w:val="21"/>
                <w:szCs w:val="21"/>
                <w:u w:val="none"/>
                <w:lang w:val="en-US" w:eastAsia="zh-CN" w:bidi="ar-SA"/>
              </w:rPr>
            </w:pPr>
            <w:r>
              <w:rPr>
                <w:rFonts w:hint="eastAsia" w:ascii="仿宋_GB2312" w:hAnsi="宋体" w:eastAsia="仿宋_GB2312" w:cs="仿宋_GB2312"/>
                <w:i w:val="0"/>
                <w:color w:val="auto"/>
                <w:kern w:val="0"/>
                <w:sz w:val="21"/>
                <w:szCs w:val="21"/>
                <w:u w:val="none"/>
                <w:lang w:val="en-US" w:eastAsia="zh-CN" w:bidi="ar-SA"/>
              </w:rPr>
              <w:t>1.将人工流产后避孕服务作为常规工作，长期持续开展</w:t>
            </w:r>
            <w:r>
              <w:rPr>
                <w:rFonts w:hint="eastAsia" w:ascii="仿宋_GB2312" w:hAnsi="宋体" w:eastAsia="仿宋_GB2312" w:cs="仿宋_GB2312"/>
                <w:i w:val="0"/>
                <w:color w:val="auto"/>
                <w:kern w:val="0"/>
                <w:sz w:val="20"/>
                <w:szCs w:val="20"/>
                <w:u w:val="none"/>
                <w:lang w:val="en-US" w:eastAsia="zh-CN" w:bidi="ar-SA"/>
              </w:rPr>
              <w:t>。</w:t>
            </w:r>
            <w:r>
              <w:rPr>
                <w:rFonts w:hint="eastAsia" w:ascii="宋体" w:hAnsi="宋体" w:eastAsia="宋体" w:cs="宋体"/>
                <w:i w:val="0"/>
                <w:color w:val="auto"/>
                <w:kern w:val="0"/>
                <w:sz w:val="21"/>
                <w:szCs w:val="21"/>
                <w:u w:val="none"/>
                <w:lang w:val="en-US" w:eastAsia="zh-CN" w:bidi="ar-SA"/>
              </w:rPr>
              <w:br w:type="textWrapping"/>
            </w:r>
            <w:r>
              <w:rPr>
                <w:rFonts w:hint="eastAsia" w:ascii="宋体" w:hAnsi="宋体" w:cs="宋体"/>
                <w:i w:val="0"/>
                <w:color w:val="auto"/>
                <w:kern w:val="0"/>
                <w:sz w:val="21"/>
                <w:szCs w:val="21"/>
                <w:u w:val="none"/>
                <w:lang w:val="en-US" w:eastAsia="zh-CN" w:bidi="ar-SA"/>
              </w:rPr>
              <w:t>2.</w:t>
            </w:r>
            <w:r>
              <w:rPr>
                <w:rFonts w:hint="eastAsia" w:ascii="仿宋_GB2312" w:hAnsi="宋体" w:eastAsia="仿宋_GB2312" w:cs="仿宋_GB2312"/>
                <w:i w:val="0"/>
                <w:color w:val="auto"/>
                <w:kern w:val="0"/>
                <w:sz w:val="21"/>
                <w:szCs w:val="21"/>
                <w:u w:val="none"/>
                <w:lang w:val="en-US" w:eastAsia="zh-CN" w:bidi="ar-SA"/>
              </w:rPr>
              <w:t>在全市、全国范围具有突出学术影响力，起到引领、推进和示范作用</w:t>
            </w:r>
            <w:r>
              <w:rPr>
                <w:rFonts w:hint="eastAsia" w:ascii="仿宋_GB2312" w:hAnsi="宋体" w:eastAsia="仿宋_GB2312" w:cs="仿宋_GB2312"/>
                <w:i w:val="0"/>
                <w:color w:val="auto"/>
                <w:kern w:val="0"/>
                <w:sz w:val="20"/>
                <w:szCs w:val="20"/>
                <w:u w:val="none"/>
                <w:lang w:val="en-US" w:eastAsia="zh-CN" w:bidi="ar-SA"/>
              </w:rPr>
              <w:t>。</w:t>
            </w:r>
            <w:r>
              <w:rPr>
                <w:rFonts w:hint="eastAsia" w:ascii="宋体" w:hAnsi="宋体" w:eastAsia="宋体" w:cs="宋体"/>
                <w:i w:val="0"/>
                <w:color w:val="auto"/>
                <w:kern w:val="0"/>
                <w:sz w:val="21"/>
                <w:szCs w:val="21"/>
                <w:u w:val="none"/>
                <w:lang w:val="en-US" w:eastAsia="zh-CN" w:bidi="ar-SA"/>
              </w:rPr>
              <w:br w:type="textWrapping"/>
            </w:r>
            <w:r>
              <w:rPr>
                <w:rFonts w:hint="eastAsia" w:ascii="宋体" w:hAnsi="宋体" w:cs="宋体"/>
                <w:i w:val="0"/>
                <w:color w:val="auto"/>
                <w:kern w:val="0"/>
                <w:sz w:val="21"/>
                <w:szCs w:val="21"/>
                <w:u w:val="none"/>
                <w:lang w:val="en-US" w:eastAsia="zh-CN" w:bidi="ar-SA"/>
              </w:rPr>
              <w:t>3.</w:t>
            </w:r>
            <w:r>
              <w:rPr>
                <w:rFonts w:hint="eastAsia" w:ascii="仿宋_GB2312" w:hAnsi="宋体" w:eastAsia="仿宋_GB2312" w:cs="仿宋_GB2312"/>
                <w:i w:val="0"/>
                <w:color w:val="auto"/>
                <w:kern w:val="0"/>
                <w:sz w:val="21"/>
                <w:szCs w:val="21"/>
                <w:u w:val="none"/>
                <w:lang w:val="en-US" w:eastAsia="zh-CN" w:bidi="ar-SA"/>
              </w:rPr>
              <w:t>有人工流产后避孕服务相关科研立项或有科研、科普文章发表。</w:t>
            </w:r>
          </w:p>
        </w:tc>
        <w:tc>
          <w:tcPr>
            <w:tcW w:w="2267" w:type="dxa"/>
            <w:tcBorders>
              <w:tl2br w:val="nil"/>
              <w:tr2bl w:val="nil"/>
            </w:tcBorders>
            <w:noWrap w:val="0"/>
            <w:vAlign w:val="center"/>
          </w:tcPr>
          <w:p>
            <w:pPr>
              <w:widowControl/>
              <w:jc w:val="left"/>
              <w:textAlignment w:val="center"/>
              <w:rPr>
                <w:rFonts w:hint="eastAsia" w:ascii="仿宋_GB2312" w:hAnsi="宋体" w:eastAsia="仿宋_GB2312" w:cs="仿宋_GB2312"/>
                <w:i w:val="0"/>
                <w:color w:val="auto"/>
                <w:kern w:val="2"/>
                <w:sz w:val="20"/>
                <w:szCs w:val="20"/>
                <w:u w:val="none"/>
                <w:lang w:val="en-US" w:eastAsia="zh-CN" w:bidi="ar-SA"/>
              </w:rPr>
            </w:pPr>
            <w:r>
              <w:rPr>
                <w:rFonts w:hint="eastAsia" w:ascii="仿宋_GB2312" w:hAnsi="宋体" w:eastAsia="仿宋_GB2312" w:cs="仿宋_GB2312"/>
                <w:i w:val="0"/>
                <w:color w:val="auto"/>
                <w:kern w:val="0"/>
                <w:sz w:val="20"/>
                <w:szCs w:val="20"/>
                <w:u w:val="none"/>
                <w:lang w:val="en-US" w:eastAsia="zh-CN" w:bidi="ar-SA"/>
              </w:rPr>
              <w:t>查看相关资料，每项不达标按</w:t>
            </w:r>
            <w:r>
              <w:rPr>
                <w:rFonts w:hint="eastAsia" w:ascii="仿宋_GB2312" w:hAnsi="宋体" w:eastAsia="仿宋_GB2312" w:cs="仿宋_GB2312"/>
                <w:i w:val="0"/>
                <w:color w:val="auto"/>
                <w:kern w:val="0"/>
                <w:sz w:val="20"/>
                <w:szCs w:val="20"/>
                <w:highlight w:val="none"/>
                <w:u w:val="none"/>
                <w:lang w:val="en-US" w:eastAsia="zh-CN" w:bidi="ar-SA"/>
              </w:rPr>
              <w:t>比例</w:t>
            </w:r>
            <w:r>
              <w:rPr>
                <w:rFonts w:hint="eastAsia" w:ascii="仿宋_GB2312" w:hAnsi="宋体" w:eastAsia="仿宋_GB2312" w:cs="仿宋_GB2312"/>
                <w:i w:val="0"/>
                <w:color w:val="auto"/>
                <w:kern w:val="0"/>
                <w:sz w:val="20"/>
                <w:szCs w:val="20"/>
                <w:u w:val="none"/>
                <w:lang w:val="en-US" w:eastAsia="zh-CN" w:bidi="ar-SA"/>
              </w:rPr>
              <w:t>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98" w:hRule="atLeast"/>
          <w:jc w:val="center"/>
        </w:trPr>
        <w:tc>
          <w:tcPr>
            <w:tcW w:w="1551" w:type="dxa"/>
            <w:vMerge w:val="restart"/>
            <w:tcBorders>
              <w:tl2br w:val="nil"/>
              <w:tr2bl w:val="nil"/>
            </w:tcBorders>
            <w:noWrap w:val="0"/>
            <w:vAlign w:val="center"/>
          </w:tcPr>
          <w:p>
            <w:pPr>
              <w:widowControl/>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SA"/>
              </w:rPr>
              <w:t>二、服务提供规范（20分）</w:t>
            </w:r>
          </w:p>
        </w:tc>
        <w:tc>
          <w:tcPr>
            <w:tcW w:w="1658" w:type="dxa"/>
            <w:tcBorders>
              <w:tl2br w:val="nil"/>
              <w:tr2bl w:val="nil"/>
            </w:tcBorders>
            <w:noWrap w:val="0"/>
            <w:vAlign w:val="center"/>
          </w:tcPr>
          <w:p>
            <w:pPr>
              <w:widowControl/>
              <w:jc w:val="left"/>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SA"/>
              </w:rPr>
              <w:t>（一）设置布局规范（5分）</w:t>
            </w:r>
          </w:p>
        </w:tc>
        <w:tc>
          <w:tcPr>
            <w:tcW w:w="2807" w:type="dxa"/>
            <w:tcBorders>
              <w:tl2br w:val="nil"/>
              <w:tr2bl w:val="nil"/>
            </w:tcBorders>
            <w:noWrap w:val="0"/>
            <w:vAlign w:val="center"/>
          </w:tcPr>
          <w:p>
            <w:pPr>
              <w:widowControl/>
              <w:jc w:val="left"/>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SA"/>
              </w:rPr>
              <w:t>单独设立计划生育门诊；因地制宜，设置布局合理。</w:t>
            </w:r>
          </w:p>
        </w:tc>
        <w:tc>
          <w:tcPr>
            <w:tcW w:w="3054" w:type="dxa"/>
            <w:tcBorders>
              <w:tl2br w:val="nil"/>
              <w:tr2bl w:val="nil"/>
            </w:tcBorders>
            <w:noWrap w:val="0"/>
            <w:vAlign w:val="center"/>
          </w:tcPr>
          <w:p>
            <w:pPr>
              <w:widowControl/>
              <w:jc w:val="left"/>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SA"/>
              </w:rPr>
              <w:t>单独设立计划生育科或计划生育门诊，设置布局相对集中。</w:t>
            </w:r>
          </w:p>
        </w:tc>
        <w:tc>
          <w:tcPr>
            <w:tcW w:w="2682" w:type="dxa"/>
            <w:tcBorders>
              <w:tl2br w:val="nil"/>
              <w:tr2bl w:val="nil"/>
            </w:tcBorders>
            <w:noWrap w:val="0"/>
            <w:vAlign w:val="center"/>
          </w:tcPr>
          <w:p>
            <w:pPr>
              <w:widowControl/>
              <w:jc w:val="left"/>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SA"/>
              </w:rPr>
              <w:t>同AA级</w:t>
            </w:r>
            <w:r>
              <w:rPr>
                <w:rFonts w:hint="eastAsia" w:ascii="仿宋_GB2312" w:hAnsi="宋体" w:eastAsia="仿宋_GB2312" w:cs="仿宋_GB2312"/>
                <w:i w:val="0"/>
                <w:color w:val="auto"/>
                <w:kern w:val="0"/>
                <w:sz w:val="20"/>
                <w:szCs w:val="20"/>
                <w:u w:val="none"/>
                <w:lang w:val="en-US" w:eastAsia="zh-CN" w:bidi="ar-SA"/>
              </w:rPr>
              <w:t>。</w:t>
            </w:r>
          </w:p>
        </w:tc>
        <w:tc>
          <w:tcPr>
            <w:tcW w:w="2267" w:type="dxa"/>
            <w:tcBorders>
              <w:tl2br w:val="nil"/>
              <w:tr2bl w:val="nil"/>
            </w:tcBorders>
            <w:noWrap w:val="0"/>
            <w:vAlign w:val="center"/>
          </w:tcPr>
          <w:p>
            <w:pPr>
              <w:widowControl/>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设置布局分散、不合理，扣5分。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75" w:hRule="atLeast"/>
          <w:jc w:val="center"/>
        </w:trPr>
        <w:tc>
          <w:tcPr>
            <w:tcW w:w="1551" w:type="dxa"/>
            <w:vMerge w:val="continue"/>
            <w:tcBorders>
              <w:tl2br w:val="nil"/>
              <w:tr2bl w:val="nil"/>
            </w:tcBorders>
            <w:noWrap w:val="0"/>
            <w:vAlign w:val="center"/>
          </w:tcPr>
          <w:p>
            <w:pPr>
              <w:jc w:val="center"/>
              <w:rPr>
                <w:rFonts w:hint="eastAsia" w:ascii="仿宋_GB2312" w:hAnsi="宋体" w:eastAsia="仿宋_GB2312" w:cs="仿宋_GB2312"/>
                <w:i w:val="0"/>
                <w:color w:val="auto"/>
                <w:sz w:val="24"/>
                <w:szCs w:val="24"/>
                <w:u w:val="none"/>
              </w:rPr>
            </w:pPr>
          </w:p>
        </w:tc>
        <w:tc>
          <w:tcPr>
            <w:tcW w:w="1658" w:type="dxa"/>
            <w:tcBorders>
              <w:tl2br w:val="nil"/>
              <w:tr2bl w:val="nil"/>
            </w:tcBorders>
            <w:noWrap w:val="0"/>
            <w:vAlign w:val="center"/>
          </w:tcPr>
          <w:p>
            <w:pPr>
              <w:widowControl/>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（二）设施设备规范（5分）</w:t>
            </w:r>
          </w:p>
        </w:tc>
        <w:tc>
          <w:tcPr>
            <w:tcW w:w="2807" w:type="dxa"/>
            <w:tcBorders>
              <w:tl2br w:val="nil"/>
              <w:tr2bl w:val="nil"/>
            </w:tcBorders>
            <w:noWrap w:val="0"/>
            <w:vAlign w:val="center"/>
          </w:tcPr>
          <w:p>
            <w:pPr>
              <w:widowControl/>
              <w:jc w:val="left"/>
              <w:textAlignment w:val="center"/>
              <w:rPr>
                <w:rFonts w:hint="eastAsia" w:ascii="仿宋_GB2312" w:hAnsi="宋体" w:eastAsia="仿宋_GB2312" w:cs="仿宋_GB2312"/>
                <w:i w:val="0"/>
                <w:color w:val="auto"/>
                <w:kern w:val="0"/>
                <w:sz w:val="20"/>
                <w:szCs w:val="20"/>
                <w:u w:val="none"/>
                <w:lang w:val="en-US" w:eastAsia="zh-CN" w:bidi="ar-SA"/>
              </w:rPr>
            </w:pPr>
            <w:r>
              <w:rPr>
                <w:rFonts w:hint="eastAsia" w:ascii="仿宋_GB2312" w:hAnsi="宋体" w:eastAsia="仿宋_GB2312" w:cs="仿宋_GB2312"/>
                <w:i w:val="0"/>
                <w:color w:val="auto"/>
                <w:kern w:val="0"/>
                <w:sz w:val="20"/>
                <w:szCs w:val="20"/>
                <w:u w:val="none"/>
                <w:lang w:val="en-US" w:eastAsia="zh-CN" w:bidi="ar-SA"/>
              </w:rPr>
              <w:t>1.有诊室（或一对一咨询室），环境私密，隔音好，可供服务对象及其配偶（伴侣）或亲属同时咨询。</w:t>
            </w:r>
          </w:p>
          <w:p>
            <w:pPr>
              <w:widowControl/>
              <w:numPr>
                <w:ilvl w:val="0"/>
                <w:numId w:val="2"/>
              </w:numPr>
              <w:jc w:val="left"/>
              <w:textAlignment w:val="center"/>
              <w:rPr>
                <w:rFonts w:hint="eastAsia" w:ascii="仿宋_GB2312" w:hAnsi="宋体" w:eastAsia="仿宋_GB2312" w:cs="仿宋_GB2312"/>
                <w:i w:val="0"/>
                <w:color w:val="auto"/>
                <w:kern w:val="0"/>
                <w:sz w:val="20"/>
                <w:szCs w:val="20"/>
                <w:u w:val="none"/>
                <w:lang w:val="en-US" w:eastAsia="zh-CN" w:bidi="ar-SA"/>
              </w:rPr>
            </w:pPr>
            <w:r>
              <w:rPr>
                <w:rFonts w:hint="eastAsia" w:ascii="仿宋_GB2312" w:hAnsi="宋体" w:eastAsia="仿宋_GB2312" w:cs="仿宋_GB2312"/>
                <w:i w:val="0"/>
                <w:color w:val="auto"/>
                <w:kern w:val="0"/>
                <w:sz w:val="20"/>
                <w:szCs w:val="20"/>
                <w:u w:val="none"/>
                <w:lang w:val="en-US" w:eastAsia="zh-CN" w:bidi="ar-SA"/>
              </w:rPr>
              <w:t>有宣教场地，</w:t>
            </w:r>
            <w:r>
              <w:rPr>
                <w:rFonts w:hint="eastAsia" w:ascii="仿宋_GB2312" w:hAnsi="宋体" w:eastAsia="仿宋_GB2312" w:cs="仿宋_GB2312"/>
                <w:i w:val="0"/>
                <w:color w:val="auto"/>
                <w:kern w:val="0"/>
                <w:sz w:val="20"/>
                <w:szCs w:val="20"/>
                <w:highlight w:val="none"/>
                <w:u w:val="none"/>
                <w:lang w:val="en-US" w:eastAsia="zh-CN" w:bidi="ar-SA"/>
              </w:rPr>
              <w:t>配备宣教展板、生殖系统模型、避孕药具展示柜和可供发放的宣传资料；有投影或视频播放设备。</w:t>
            </w:r>
          </w:p>
          <w:p>
            <w:pPr>
              <w:widowControl/>
              <w:numPr>
                <w:ilvl w:val="0"/>
                <w:numId w:val="2"/>
              </w:numPr>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有专用电话，并在就诊区域公布。</w:t>
            </w:r>
          </w:p>
        </w:tc>
        <w:tc>
          <w:tcPr>
            <w:tcW w:w="3054" w:type="dxa"/>
            <w:tcBorders>
              <w:tl2br w:val="nil"/>
              <w:tr2bl w:val="nil"/>
            </w:tcBorders>
            <w:noWrap w:val="0"/>
            <w:vAlign w:val="center"/>
          </w:tcPr>
          <w:p>
            <w:pPr>
              <w:widowControl/>
              <w:jc w:val="left"/>
              <w:textAlignment w:val="center"/>
              <w:rPr>
                <w:rFonts w:hint="eastAsia" w:ascii="仿宋_GB2312" w:hAnsi="宋体" w:eastAsia="仿宋_GB2312" w:cs="仿宋_GB2312"/>
                <w:i w:val="0"/>
                <w:color w:val="auto"/>
                <w:sz w:val="20"/>
                <w:szCs w:val="20"/>
                <w:highlight w:val="none"/>
                <w:u w:val="none"/>
              </w:rPr>
            </w:pPr>
            <w:r>
              <w:rPr>
                <w:rFonts w:hint="eastAsia" w:ascii="仿宋_GB2312" w:hAnsi="宋体" w:eastAsia="仿宋_GB2312" w:cs="仿宋_GB2312"/>
                <w:i w:val="0"/>
                <w:color w:val="auto"/>
                <w:kern w:val="0"/>
                <w:sz w:val="20"/>
                <w:szCs w:val="20"/>
                <w:highlight w:val="none"/>
                <w:u w:val="none"/>
                <w:lang w:val="en-US" w:eastAsia="zh-CN" w:bidi="ar-SA"/>
              </w:rPr>
              <w:t>除A级要求以外，还需具备：</w:t>
            </w:r>
            <w:r>
              <w:rPr>
                <w:rFonts w:hint="eastAsia" w:ascii="仿宋_GB2312" w:hAnsi="宋体" w:eastAsia="仿宋_GB2312" w:cs="仿宋_GB2312"/>
                <w:i w:val="0"/>
                <w:color w:val="auto"/>
                <w:kern w:val="0"/>
                <w:sz w:val="20"/>
                <w:szCs w:val="20"/>
                <w:highlight w:val="none"/>
                <w:u w:val="none"/>
                <w:lang w:val="en-US" w:eastAsia="zh-CN" w:bidi="ar-SA"/>
              </w:rPr>
              <w:br w:type="textWrapping"/>
            </w:r>
            <w:r>
              <w:rPr>
                <w:rFonts w:hint="eastAsia" w:ascii="仿宋_GB2312" w:hAnsi="宋体" w:eastAsia="仿宋_GB2312" w:cs="仿宋_GB2312"/>
                <w:i w:val="0"/>
                <w:color w:val="auto"/>
                <w:kern w:val="0"/>
                <w:sz w:val="20"/>
                <w:szCs w:val="20"/>
                <w:highlight w:val="none"/>
                <w:u w:val="none"/>
                <w:lang w:val="en-US" w:eastAsia="zh-CN" w:bidi="ar-SA"/>
              </w:rPr>
              <w:t>1. 使用信息系统进行服务信息记录和管理</w:t>
            </w:r>
            <w:r>
              <w:rPr>
                <w:rFonts w:hint="eastAsia" w:ascii="仿宋_GB2312" w:hAnsi="宋体" w:eastAsia="仿宋_GB2312" w:cs="仿宋_GB2312"/>
                <w:i w:val="0"/>
                <w:color w:val="auto"/>
                <w:kern w:val="0"/>
                <w:sz w:val="20"/>
                <w:szCs w:val="20"/>
                <w:u w:val="none"/>
                <w:lang w:val="en-US" w:eastAsia="zh-CN" w:bidi="ar-SA"/>
              </w:rPr>
              <w:t>。</w:t>
            </w:r>
            <w:r>
              <w:rPr>
                <w:rFonts w:hint="eastAsia" w:ascii="仿宋_GB2312" w:hAnsi="宋体" w:eastAsia="仿宋_GB2312" w:cs="仿宋_GB2312"/>
                <w:i w:val="0"/>
                <w:color w:val="auto"/>
                <w:kern w:val="0"/>
                <w:sz w:val="20"/>
                <w:szCs w:val="20"/>
                <w:highlight w:val="none"/>
                <w:u w:val="none"/>
                <w:lang w:val="en-US" w:eastAsia="zh-CN" w:bidi="ar-SA"/>
              </w:rPr>
              <w:br w:type="textWrapping"/>
            </w:r>
            <w:r>
              <w:rPr>
                <w:rFonts w:hint="eastAsia" w:ascii="仿宋_GB2312" w:hAnsi="宋体" w:eastAsia="仿宋_GB2312" w:cs="仿宋_GB2312"/>
                <w:i w:val="0"/>
                <w:color w:val="auto"/>
                <w:kern w:val="0"/>
                <w:sz w:val="20"/>
                <w:szCs w:val="20"/>
                <w:highlight w:val="none"/>
                <w:u w:val="none"/>
                <w:lang w:val="en-US" w:eastAsia="zh-CN" w:bidi="ar-SA"/>
              </w:rPr>
              <w:t>2. 将微信或公众号提供给每位服务对象，利用微信、公众号或其他线上新媒体教育工具提高服务对象教育范围和延续性</w:t>
            </w:r>
            <w:r>
              <w:rPr>
                <w:rFonts w:hint="eastAsia" w:ascii="仿宋_GB2312" w:hAnsi="宋体" w:eastAsia="仿宋_GB2312" w:cs="仿宋_GB2312"/>
                <w:i w:val="0"/>
                <w:color w:val="auto"/>
                <w:kern w:val="0"/>
                <w:sz w:val="21"/>
                <w:szCs w:val="21"/>
                <w:highlight w:val="none"/>
                <w:u w:val="none"/>
                <w:lang w:val="en-US" w:eastAsia="zh-CN" w:bidi="ar-SA"/>
              </w:rPr>
              <w:t>，</w:t>
            </w:r>
            <w:r>
              <w:rPr>
                <w:rFonts w:hint="eastAsia" w:ascii="仿宋_GB2312" w:hAnsi="宋体" w:eastAsia="仿宋_GB2312" w:cs="仿宋_GB2312"/>
                <w:i w:val="0"/>
                <w:color w:val="auto"/>
                <w:kern w:val="0"/>
                <w:sz w:val="20"/>
                <w:szCs w:val="20"/>
                <w:highlight w:val="none"/>
                <w:u w:val="none"/>
                <w:lang w:val="en-US" w:eastAsia="zh-CN" w:bidi="ar-SA"/>
              </w:rPr>
              <w:t>新媒体使用率60%以上。</w:t>
            </w:r>
          </w:p>
        </w:tc>
        <w:tc>
          <w:tcPr>
            <w:tcW w:w="2682" w:type="dxa"/>
            <w:tcBorders>
              <w:tl2br w:val="nil"/>
              <w:tr2bl w:val="nil"/>
            </w:tcBorders>
            <w:noWrap w:val="0"/>
            <w:vAlign w:val="center"/>
          </w:tcPr>
          <w:p>
            <w:pPr>
              <w:widowControl/>
              <w:jc w:val="left"/>
              <w:textAlignment w:val="center"/>
              <w:rPr>
                <w:rFonts w:hint="eastAsia" w:ascii="仿宋_GB2312" w:hAnsi="宋体" w:eastAsia="仿宋_GB2312" w:cs="仿宋_GB2312"/>
                <w:i w:val="0"/>
                <w:color w:val="auto"/>
                <w:sz w:val="20"/>
                <w:szCs w:val="20"/>
                <w:highlight w:val="none"/>
                <w:u w:val="none"/>
              </w:rPr>
            </w:pPr>
            <w:r>
              <w:rPr>
                <w:rFonts w:hint="eastAsia" w:ascii="仿宋_GB2312" w:hAnsi="宋体" w:eastAsia="仿宋_GB2312" w:cs="仿宋_GB2312"/>
                <w:i w:val="0"/>
                <w:color w:val="auto"/>
                <w:kern w:val="0"/>
                <w:sz w:val="20"/>
                <w:szCs w:val="20"/>
                <w:highlight w:val="none"/>
                <w:u w:val="none"/>
                <w:lang w:val="en-US" w:eastAsia="zh-CN" w:bidi="ar-SA"/>
              </w:rPr>
              <w:t>同AA级</w:t>
            </w:r>
            <w:r>
              <w:rPr>
                <w:rFonts w:hint="eastAsia" w:ascii="仿宋_GB2312" w:hAnsi="宋体" w:eastAsia="仿宋_GB2312" w:cs="仿宋_GB2312"/>
                <w:i w:val="0"/>
                <w:color w:val="auto"/>
                <w:kern w:val="0"/>
                <w:sz w:val="21"/>
                <w:szCs w:val="21"/>
                <w:highlight w:val="none"/>
                <w:u w:val="none"/>
                <w:lang w:val="en-US" w:eastAsia="zh-CN" w:bidi="ar-SA"/>
              </w:rPr>
              <w:t>，</w:t>
            </w:r>
            <w:r>
              <w:rPr>
                <w:rFonts w:hint="eastAsia" w:ascii="仿宋_GB2312" w:hAnsi="宋体" w:eastAsia="仿宋_GB2312" w:cs="仿宋_GB2312"/>
                <w:i w:val="0"/>
                <w:color w:val="auto"/>
                <w:kern w:val="0"/>
                <w:sz w:val="20"/>
                <w:szCs w:val="20"/>
                <w:highlight w:val="none"/>
                <w:u w:val="none"/>
                <w:lang w:val="en-US" w:eastAsia="zh-CN" w:bidi="ar-SA"/>
              </w:rPr>
              <w:t>新媒体使用率70%以上。</w:t>
            </w:r>
          </w:p>
        </w:tc>
        <w:tc>
          <w:tcPr>
            <w:tcW w:w="2267" w:type="dxa"/>
            <w:tcBorders>
              <w:tl2br w:val="nil"/>
              <w:tr2bl w:val="nil"/>
            </w:tcBorders>
            <w:noWrap w:val="0"/>
            <w:vAlign w:val="center"/>
          </w:tcPr>
          <w:p>
            <w:pPr>
              <w:widowControl/>
              <w:numPr>
                <w:ilvl w:val="0"/>
                <w:numId w:val="3"/>
              </w:numPr>
              <w:jc w:val="left"/>
              <w:textAlignment w:val="center"/>
              <w:rPr>
                <w:rFonts w:hint="eastAsia" w:ascii="仿宋_GB2312" w:hAnsi="宋体" w:eastAsia="仿宋_GB2312" w:cs="仿宋_GB2312"/>
                <w:i w:val="0"/>
                <w:color w:val="auto"/>
                <w:kern w:val="0"/>
                <w:sz w:val="20"/>
                <w:szCs w:val="20"/>
                <w:u w:val="none"/>
                <w:lang w:val="en-US" w:eastAsia="zh-CN" w:bidi="ar-SA"/>
              </w:rPr>
            </w:pPr>
            <w:r>
              <w:rPr>
                <w:rFonts w:hint="eastAsia" w:ascii="仿宋_GB2312" w:hAnsi="宋体" w:eastAsia="仿宋_GB2312" w:cs="仿宋_GB2312"/>
                <w:i w:val="0"/>
                <w:color w:val="auto"/>
                <w:kern w:val="0"/>
                <w:sz w:val="20"/>
                <w:szCs w:val="20"/>
                <w:u w:val="none"/>
                <w:lang w:val="en-US" w:eastAsia="zh-CN" w:bidi="ar-SA"/>
              </w:rPr>
              <w:t>诊室（或一对一咨询室），不达标扣1分。</w:t>
            </w:r>
          </w:p>
          <w:p>
            <w:pPr>
              <w:widowControl/>
              <w:numPr>
                <w:ilvl w:val="0"/>
                <w:numId w:val="3"/>
              </w:numPr>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宣教场地及配备设备未达标，扣2分。</w:t>
            </w:r>
            <w:r>
              <w:rPr>
                <w:rFonts w:hint="eastAsia" w:ascii="仿宋_GB2312" w:hAnsi="宋体" w:eastAsia="仿宋_GB2312" w:cs="仿宋_GB2312"/>
                <w:i w:val="0"/>
                <w:color w:val="auto"/>
                <w:kern w:val="0"/>
                <w:sz w:val="20"/>
                <w:szCs w:val="20"/>
                <w:u w:val="none"/>
                <w:lang w:val="en-US" w:eastAsia="zh-CN" w:bidi="ar-SA"/>
              </w:rPr>
              <w:br w:type="textWrapping"/>
            </w:r>
            <w:r>
              <w:rPr>
                <w:rFonts w:hint="eastAsia" w:ascii="仿宋_GB2312" w:hAnsi="宋体" w:eastAsia="仿宋_GB2312" w:cs="仿宋_GB2312"/>
                <w:i w:val="0"/>
                <w:color w:val="auto"/>
                <w:kern w:val="0"/>
                <w:sz w:val="20"/>
                <w:szCs w:val="20"/>
                <w:u w:val="none"/>
                <w:lang w:val="en-US" w:eastAsia="zh-CN" w:bidi="ar-SA"/>
              </w:rPr>
              <w:t>3.电话号码、</w:t>
            </w:r>
            <w:r>
              <w:rPr>
                <w:rFonts w:hint="eastAsia" w:ascii="仿宋_GB2312" w:hAnsi="宋体" w:eastAsia="仿宋_GB2312" w:cs="仿宋_GB2312"/>
                <w:i w:val="0"/>
                <w:color w:val="auto"/>
                <w:kern w:val="0"/>
                <w:sz w:val="20"/>
                <w:szCs w:val="20"/>
                <w:highlight w:val="none"/>
                <w:u w:val="none"/>
                <w:lang w:val="en-US" w:eastAsia="zh-CN" w:bidi="ar-SA"/>
              </w:rPr>
              <w:t>微信或公众号</w:t>
            </w:r>
            <w:r>
              <w:rPr>
                <w:rFonts w:hint="eastAsia" w:ascii="仿宋_GB2312" w:hAnsi="宋体" w:eastAsia="仿宋_GB2312" w:cs="仿宋_GB2312"/>
                <w:i w:val="0"/>
                <w:color w:val="auto"/>
                <w:kern w:val="0"/>
                <w:sz w:val="20"/>
                <w:szCs w:val="20"/>
                <w:u w:val="none"/>
                <w:lang w:val="en-US" w:eastAsia="zh-CN" w:bidi="ar-SA"/>
              </w:rPr>
              <w:t>未提供给每位服务对象，扣1分。未在就诊区域公布，扣1分。</w:t>
            </w:r>
            <w:r>
              <w:rPr>
                <w:rFonts w:hint="eastAsia" w:ascii="仿宋_GB2312" w:hAnsi="宋体" w:eastAsia="仿宋_GB2312" w:cs="仿宋_GB2312"/>
                <w:i w:val="0"/>
                <w:color w:val="auto"/>
                <w:kern w:val="0"/>
                <w:sz w:val="20"/>
                <w:szCs w:val="20"/>
                <w:highlight w:val="none"/>
                <w:u w:val="none"/>
                <w:lang w:val="en-US" w:eastAsia="zh-CN" w:bidi="ar-SA"/>
              </w:rPr>
              <w:t>新媒体使用率不达标扣1分</w:t>
            </w:r>
            <w:r>
              <w:rPr>
                <w:rFonts w:hint="eastAsia" w:ascii="仿宋_GB2312" w:hAnsi="宋体" w:eastAsia="仿宋_GB2312" w:cs="仿宋_GB2312"/>
                <w:i w:val="0"/>
                <w:color w:val="auto"/>
                <w:kern w:val="0"/>
                <w:sz w:val="20"/>
                <w:szCs w:val="20"/>
                <w:u w:val="none"/>
                <w:lang w:val="en-US" w:eastAsia="zh-CN" w:bidi="ar-SA"/>
              </w:rPr>
              <w:t>。扣完为止。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1551" w:type="dxa"/>
            <w:vMerge w:val="continue"/>
            <w:tcBorders>
              <w:tl2br w:val="nil"/>
              <w:tr2bl w:val="nil"/>
            </w:tcBorders>
            <w:noWrap w:val="0"/>
            <w:vAlign w:val="center"/>
          </w:tcPr>
          <w:p>
            <w:pPr>
              <w:jc w:val="center"/>
              <w:rPr>
                <w:rFonts w:hint="eastAsia" w:ascii="仿宋_GB2312" w:hAnsi="宋体" w:eastAsia="仿宋_GB2312" w:cs="仿宋_GB2312"/>
                <w:i w:val="0"/>
                <w:color w:val="auto"/>
                <w:sz w:val="24"/>
                <w:szCs w:val="24"/>
                <w:u w:val="none"/>
              </w:rPr>
            </w:pPr>
          </w:p>
        </w:tc>
        <w:tc>
          <w:tcPr>
            <w:tcW w:w="1658" w:type="dxa"/>
            <w:tcBorders>
              <w:tl2br w:val="nil"/>
              <w:tr2bl w:val="nil"/>
            </w:tcBorders>
            <w:noWrap w:val="0"/>
            <w:vAlign w:val="center"/>
          </w:tcPr>
          <w:p>
            <w:pPr>
              <w:widowControl/>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（三）人员配备规范（5分）</w:t>
            </w:r>
          </w:p>
        </w:tc>
        <w:tc>
          <w:tcPr>
            <w:tcW w:w="2807" w:type="dxa"/>
            <w:tcBorders>
              <w:tl2br w:val="nil"/>
              <w:tr2bl w:val="nil"/>
            </w:tcBorders>
            <w:noWrap w:val="0"/>
            <w:vAlign w:val="center"/>
          </w:tcPr>
          <w:p>
            <w:pPr>
              <w:widowControl/>
              <w:jc w:val="left"/>
              <w:textAlignment w:val="center"/>
              <w:rPr>
                <w:rFonts w:hint="eastAsia" w:ascii="仿宋_GB2312" w:hAnsi="宋体" w:eastAsia="仿宋_GB2312" w:cs="仿宋_GB2312"/>
                <w:i w:val="0"/>
                <w:color w:val="auto"/>
                <w:kern w:val="0"/>
                <w:sz w:val="20"/>
                <w:szCs w:val="20"/>
                <w:highlight w:val="none"/>
                <w:u w:val="none"/>
                <w:lang w:val="en-US" w:eastAsia="zh-CN" w:bidi="ar-SA"/>
              </w:rPr>
            </w:pPr>
            <w:r>
              <w:rPr>
                <w:rFonts w:hint="eastAsia" w:ascii="仿宋_GB2312" w:hAnsi="宋体" w:eastAsia="仿宋_GB2312" w:cs="仿宋_GB2312"/>
                <w:i w:val="0"/>
                <w:color w:val="auto"/>
                <w:kern w:val="0"/>
                <w:sz w:val="20"/>
                <w:szCs w:val="20"/>
                <w:u w:val="none"/>
                <w:lang w:val="en-US" w:eastAsia="zh-CN" w:bidi="ar-SA"/>
              </w:rPr>
              <w:t>1.至少</w:t>
            </w:r>
            <w:r>
              <w:rPr>
                <w:rFonts w:hint="eastAsia" w:ascii="仿宋_GB2312" w:hAnsi="宋体" w:eastAsia="仿宋_GB2312" w:cs="仿宋_GB2312"/>
                <w:i w:val="0"/>
                <w:color w:val="auto"/>
                <w:kern w:val="0"/>
                <w:sz w:val="20"/>
                <w:szCs w:val="20"/>
                <w:highlight w:val="none"/>
                <w:u w:val="none"/>
                <w:lang w:val="en-US" w:eastAsia="zh-CN" w:bidi="ar-SA"/>
              </w:rPr>
              <w:t>1-2名</w:t>
            </w:r>
            <w:r>
              <w:rPr>
                <w:rFonts w:hint="eastAsia" w:ascii="仿宋_GB2312" w:hAnsi="宋体" w:eastAsia="仿宋_GB2312" w:cs="仿宋_GB2312"/>
                <w:i w:val="0"/>
                <w:color w:val="auto"/>
                <w:kern w:val="0"/>
                <w:sz w:val="20"/>
                <w:szCs w:val="20"/>
                <w:u w:val="none"/>
                <w:lang w:val="en-US" w:eastAsia="zh-CN" w:bidi="ar-SA"/>
              </w:rPr>
              <w:t>人员从事宣传教育、一对一咨询及随访等服务</w:t>
            </w:r>
            <w:r>
              <w:rPr>
                <w:rFonts w:hint="eastAsia" w:ascii="仿宋_GB2312" w:hAnsi="宋体" w:eastAsia="仿宋_GB2312" w:cs="仿宋_GB2312"/>
                <w:i w:val="0"/>
                <w:color w:val="auto"/>
                <w:kern w:val="0"/>
                <w:sz w:val="20"/>
                <w:szCs w:val="20"/>
                <w:highlight w:val="none"/>
                <w:u w:val="none"/>
                <w:lang w:val="en-US" w:eastAsia="zh-CN" w:bidi="ar-SA"/>
              </w:rPr>
              <w:t>。</w:t>
            </w:r>
          </w:p>
          <w:p>
            <w:pPr>
              <w:widowControl/>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highlight w:val="none"/>
                <w:u w:val="none"/>
                <w:lang w:val="en-US" w:eastAsia="zh-CN" w:bidi="ar-SA"/>
              </w:rPr>
              <w:t>2.</w:t>
            </w:r>
            <w:r>
              <w:rPr>
                <w:rFonts w:hint="eastAsia" w:ascii="仿宋_GB2312" w:hAnsi="宋体" w:eastAsia="仿宋_GB2312" w:cs="仿宋_GB2312"/>
                <w:i w:val="0"/>
                <w:color w:val="auto"/>
                <w:kern w:val="0"/>
                <w:sz w:val="20"/>
                <w:szCs w:val="20"/>
                <w:u w:val="none"/>
                <w:lang w:val="en-US" w:eastAsia="zh-CN" w:bidi="ar-SA"/>
              </w:rPr>
              <w:t>接受相关业务培训，了解服务流程，</w:t>
            </w:r>
            <w:r>
              <w:rPr>
                <w:rFonts w:ascii="Arial" w:hAnsi="Arial" w:eastAsia="仿宋_GB2312" w:cs="Arial"/>
                <w:i w:val="0"/>
                <w:color w:val="auto"/>
                <w:kern w:val="0"/>
                <w:sz w:val="20"/>
                <w:szCs w:val="20"/>
                <w:u w:val="none"/>
                <w:lang w:val="en-US" w:eastAsia="zh-CN" w:bidi="ar-SA"/>
              </w:rPr>
              <w:t xml:space="preserve"> </w:t>
            </w:r>
            <w:r>
              <w:rPr>
                <w:rFonts w:hint="eastAsia" w:ascii="仿宋_GB2312" w:hAnsi="宋体" w:eastAsia="仿宋_GB2312" w:cs="仿宋_GB2312"/>
                <w:i w:val="0"/>
                <w:color w:val="auto"/>
                <w:kern w:val="0"/>
                <w:sz w:val="20"/>
                <w:szCs w:val="20"/>
                <w:u w:val="none"/>
                <w:lang w:val="en-US" w:eastAsia="zh-CN" w:bidi="ar-SA"/>
              </w:rPr>
              <w:t>掌握沟通技巧。</w:t>
            </w:r>
          </w:p>
        </w:tc>
        <w:tc>
          <w:tcPr>
            <w:tcW w:w="3054" w:type="dxa"/>
            <w:tcBorders>
              <w:tl2br w:val="nil"/>
              <w:tr2bl w:val="nil"/>
            </w:tcBorders>
            <w:noWrap w:val="0"/>
            <w:vAlign w:val="center"/>
          </w:tcPr>
          <w:p>
            <w:pPr>
              <w:widowControl/>
              <w:jc w:val="left"/>
              <w:textAlignment w:val="center"/>
              <w:rPr>
                <w:rFonts w:hint="eastAsia" w:ascii="仿宋_GB2312" w:hAnsi="宋体" w:eastAsia="仿宋_GB2312" w:cs="仿宋_GB2312"/>
                <w:i w:val="0"/>
                <w:color w:val="auto"/>
                <w:kern w:val="0"/>
                <w:sz w:val="20"/>
                <w:szCs w:val="20"/>
                <w:u w:val="none"/>
                <w:lang w:val="en-US" w:eastAsia="zh-CN" w:bidi="ar-SA"/>
              </w:rPr>
            </w:pPr>
            <w:r>
              <w:rPr>
                <w:rFonts w:hint="eastAsia" w:ascii="仿宋_GB2312" w:hAnsi="宋体" w:eastAsia="仿宋_GB2312" w:cs="仿宋_GB2312"/>
                <w:i w:val="0"/>
                <w:color w:val="auto"/>
                <w:kern w:val="0"/>
                <w:sz w:val="20"/>
                <w:szCs w:val="20"/>
                <w:u w:val="none"/>
                <w:lang w:val="en-US" w:eastAsia="zh-CN" w:bidi="ar-SA"/>
              </w:rPr>
              <w:t>1.至少配备1名专职人员，从事宣传教育、一对一咨询及随访等服务。</w:t>
            </w:r>
          </w:p>
          <w:p>
            <w:pPr>
              <w:widowControl/>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2.接受相关业务培训，掌握避孕节育、计划妊娠知识和相关服务技，具备一定沟通技巧。</w:t>
            </w:r>
          </w:p>
        </w:tc>
        <w:tc>
          <w:tcPr>
            <w:tcW w:w="2682" w:type="dxa"/>
            <w:tcBorders>
              <w:tl2br w:val="nil"/>
              <w:tr2bl w:val="nil"/>
            </w:tcBorders>
            <w:noWrap w:val="0"/>
            <w:vAlign w:val="center"/>
          </w:tcPr>
          <w:p>
            <w:pPr>
              <w:widowControl/>
              <w:jc w:val="left"/>
              <w:textAlignment w:val="center"/>
              <w:rPr>
                <w:rFonts w:hint="eastAsia" w:ascii="仿宋_GB2312" w:hAnsi="宋体" w:eastAsia="仿宋_GB2312" w:cs="仿宋_GB2312"/>
                <w:i w:val="0"/>
                <w:color w:val="auto"/>
                <w:kern w:val="0"/>
                <w:sz w:val="20"/>
                <w:szCs w:val="20"/>
                <w:u w:val="none"/>
                <w:lang w:val="en-US" w:eastAsia="zh-CN" w:bidi="ar-SA"/>
              </w:rPr>
            </w:pPr>
            <w:r>
              <w:rPr>
                <w:rFonts w:hint="eastAsia" w:ascii="仿宋_GB2312" w:hAnsi="宋体" w:eastAsia="仿宋_GB2312" w:cs="仿宋_GB2312"/>
                <w:i w:val="0"/>
                <w:color w:val="auto"/>
                <w:kern w:val="0"/>
                <w:sz w:val="20"/>
                <w:szCs w:val="20"/>
                <w:u w:val="none"/>
                <w:lang w:val="en-US" w:eastAsia="zh-CN" w:bidi="ar-SA"/>
              </w:rPr>
              <w:t>1.配备至少2名专职人员，从事宣传教育、一对一咨询及随访等服务。</w:t>
            </w:r>
          </w:p>
          <w:p>
            <w:pPr>
              <w:widowControl/>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2.接受相关业务培训，熟练掌握避孕节育、计划妊娠知识和相关服务技能，熟悉人工流产避孕服务流程，具备良好咨询沟通能力。</w:t>
            </w:r>
          </w:p>
        </w:tc>
        <w:tc>
          <w:tcPr>
            <w:tcW w:w="2267" w:type="dxa"/>
            <w:tcBorders>
              <w:tl2br w:val="nil"/>
              <w:tr2bl w:val="nil"/>
            </w:tcBorders>
            <w:noWrap w:val="0"/>
            <w:vAlign w:val="center"/>
          </w:tcPr>
          <w:p>
            <w:pPr>
              <w:widowControl/>
              <w:jc w:val="left"/>
              <w:textAlignment w:val="center"/>
              <w:rPr>
                <w:rFonts w:hint="eastAsia" w:ascii="仿宋_GB2312" w:hAnsi="宋体" w:eastAsia="仿宋_GB2312" w:cs="仿宋_GB2312"/>
                <w:i w:val="0"/>
                <w:color w:val="auto"/>
                <w:kern w:val="0"/>
                <w:sz w:val="20"/>
                <w:szCs w:val="20"/>
                <w:u w:val="none"/>
                <w:lang w:val="en-US" w:eastAsia="zh-CN" w:bidi="ar-SA"/>
              </w:rPr>
            </w:pPr>
            <w:r>
              <w:rPr>
                <w:rFonts w:hint="eastAsia" w:ascii="仿宋_GB2312" w:hAnsi="宋体" w:eastAsia="仿宋_GB2312" w:cs="仿宋_GB2312"/>
                <w:i w:val="0"/>
                <w:color w:val="auto"/>
                <w:kern w:val="0"/>
                <w:sz w:val="20"/>
                <w:szCs w:val="20"/>
                <w:u w:val="none"/>
                <w:lang w:val="en-US" w:eastAsia="zh-CN" w:bidi="ar-SA"/>
              </w:rPr>
              <w:t>1.人员数量不达标扣1分。</w:t>
            </w:r>
          </w:p>
          <w:p>
            <w:pPr>
              <w:widowControl/>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2.未接受过相关业务培训，扣1分；不了解、掌握服务流程，扣1分；不掌握相关业务知识和服务技能，扣1分；沟通能力欠佳，扣1分。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27" w:hRule="atLeast"/>
          <w:jc w:val="center"/>
        </w:trPr>
        <w:tc>
          <w:tcPr>
            <w:tcW w:w="1551" w:type="dxa"/>
            <w:vMerge w:val="continue"/>
            <w:tcBorders>
              <w:tl2br w:val="nil"/>
              <w:tr2bl w:val="nil"/>
            </w:tcBorders>
            <w:noWrap w:val="0"/>
            <w:vAlign w:val="center"/>
          </w:tcPr>
          <w:p>
            <w:pPr>
              <w:jc w:val="center"/>
              <w:rPr>
                <w:rFonts w:hint="eastAsia" w:ascii="仿宋_GB2312" w:hAnsi="宋体" w:eastAsia="仿宋_GB2312" w:cs="仿宋_GB2312"/>
                <w:i w:val="0"/>
                <w:color w:val="auto"/>
                <w:sz w:val="24"/>
                <w:szCs w:val="24"/>
                <w:u w:val="none"/>
              </w:rPr>
            </w:pPr>
          </w:p>
        </w:tc>
        <w:tc>
          <w:tcPr>
            <w:tcW w:w="1658" w:type="dxa"/>
            <w:tcBorders>
              <w:tl2br w:val="nil"/>
              <w:tr2bl w:val="nil"/>
            </w:tcBorders>
            <w:noWrap w:val="0"/>
            <w:vAlign w:val="center"/>
          </w:tcPr>
          <w:p>
            <w:pPr>
              <w:widowControl/>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（四）服务制度规范（5分）</w:t>
            </w:r>
          </w:p>
        </w:tc>
        <w:tc>
          <w:tcPr>
            <w:tcW w:w="2807" w:type="dxa"/>
            <w:tcBorders>
              <w:tl2br w:val="nil"/>
              <w:tr2bl w:val="nil"/>
            </w:tcBorders>
            <w:noWrap w:val="0"/>
            <w:vAlign w:val="center"/>
          </w:tcPr>
          <w:p>
            <w:pPr>
              <w:widowControl/>
              <w:jc w:val="left"/>
              <w:textAlignment w:val="center"/>
              <w:rPr>
                <w:rFonts w:hint="eastAsia" w:ascii="仿宋_GB2312" w:hAnsi="宋体" w:eastAsia="仿宋_GB2312" w:cs="仿宋_GB2312"/>
                <w:i w:val="0"/>
                <w:color w:val="auto"/>
                <w:kern w:val="0"/>
                <w:sz w:val="20"/>
                <w:szCs w:val="20"/>
                <w:u w:val="none"/>
                <w:lang w:val="en-US" w:eastAsia="zh-CN" w:bidi="ar-SA"/>
              </w:rPr>
            </w:pPr>
            <w:r>
              <w:rPr>
                <w:rFonts w:hint="eastAsia" w:ascii="仿宋_GB2312" w:hAnsi="宋体" w:eastAsia="仿宋_GB2312" w:cs="仿宋_GB2312"/>
                <w:i w:val="0"/>
                <w:color w:val="auto"/>
                <w:kern w:val="0"/>
                <w:sz w:val="20"/>
                <w:szCs w:val="20"/>
                <w:u w:val="none"/>
                <w:lang w:val="en-US" w:eastAsia="zh-CN" w:bidi="ar-SA"/>
              </w:rPr>
              <w:t>1.有服务流程及随访制度、免费避孕药具管理和发放制度、数据管理制度等</w:t>
            </w:r>
            <w:r>
              <w:rPr>
                <w:rFonts w:hint="eastAsia" w:ascii="仿宋_GB2312" w:hAnsi="宋体" w:eastAsia="仿宋_GB2312" w:cs="仿宋_GB2312"/>
                <w:b w:val="0"/>
                <w:bCs/>
                <w:i w:val="0"/>
                <w:color w:val="auto"/>
                <w:kern w:val="0"/>
                <w:sz w:val="20"/>
                <w:szCs w:val="20"/>
                <w:u w:val="none"/>
                <w:lang w:val="en-US" w:eastAsia="zh-CN" w:bidi="ar-SA"/>
              </w:rPr>
              <w:t>工作制度</w:t>
            </w:r>
            <w:r>
              <w:rPr>
                <w:rFonts w:hint="eastAsia" w:ascii="仿宋_GB2312" w:hAnsi="宋体" w:eastAsia="仿宋_GB2312" w:cs="仿宋_GB2312"/>
                <w:i w:val="0"/>
                <w:color w:val="auto"/>
                <w:kern w:val="0"/>
                <w:sz w:val="20"/>
                <w:szCs w:val="20"/>
                <w:u w:val="none"/>
                <w:lang w:val="en-US" w:eastAsia="zh-CN" w:bidi="ar-SA"/>
              </w:rPr>
              <w:t>。</w:t>
            </w:r>
          </w:p>
          <w:p>
            <w:pPr>
              <w:widowControl/>
              <w:jc w:val="left"/>
              <w:textAlignment w:val="center"/>
              <w:rPr>
                <w:rFonts w:hint="eastAsia" w:ascii="仿宋_GB2312" w:hAnsi="宋体" w:eastAsia="仿宋_GB2312" w:cs="仿宋_GB2312"/>
                <w:b/>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2.</w:t>
            </w:r>
            <w:r>
              <w:rPr>
                <w:rFonts w:hint="eastAsia" w:ascii="仿宋_GB2312" w:hAnsi="宋体" w:eastAsia="仿宋_GB2312" w:cs="仿宋_GB2312"/>
                <w:b w:val="0"/>
                <w:bCs/>
                <w:i w:val="0"/>
                <w:color w:val="auto"/>
                <w:kern w:val="0"/>
                <w:sz w:val="20"/>
                <w:szCs w:val="20"/>
                <w:u w:val="none"/>
                <w:lang w:val="en-US" w:eastAsia="zh-CN" w:bidi="ar-SA"/>
              </w:rPr>
              <w:t>有岗位制度、</w:t>
            </w:r>
            <w:r>
              <w:rPr>
                <w:rFonts w:ascii="Arial" w:hAnsi="Arial" w:eastAsia="仿宋_GB2312" w:cs="Arial"/>
                <w:b w:val="0"/>
                <w:bCs/>
                <w:i w:val="0"/>
                <w:color w:val="auto"/>
                <w:kern w:val="0"/>
                <w:sz w:val="20"/>
                <w:szCs w:val="20"/>
                <w:u w:val="none"/>
                <w:lang w:val="en-US" w:eastAsia="zh-CN" w:bidi="ar-SA"/>
              </w:rPr>
              <w:t xml:space="preserve"> </w:t>
            </w:r>
            <w:r>
              <w:rPr>
                <w:rFonts w:hint="eastAsia" w:ascii="仿宋_GB2312" w:hAnsi="宋体" w:eastAsia="仿宋_GB2312" w:cs="仿宋_GB2312"/>
                <w:b w:val="0"/>
                <w:bCs/>
                <w:i w:val="0"/>
                <w:color w:val="auto"/>
                <w:kern w:val="0"/>
                <w:sz w:val="20"/>
                <w:szCs w:val="20"/>
                <w:u w:val="none"/>
                <w:lang w:val="en-US" w:eastAsia="zh-CN" w:bidi="ar-SA"/>
              </w:rPr>
              <w:t>岗位职责、人员培训制度等人员制度。</w:t>
            </w:r>
            <w:r>
              <w:rPr>
                <w:rFonts w:hint="eastAsia" w:ascii="仿宋_GB2312" w:hAnsi="宋体" w:eastAsia="仿宋_GB2312" w:cs="仿宋_GB2312"/>
                <w:b w:val="0"/>
                <w:bCs/>
                <w:i w:val="0"/>
                <w:color w:val="auto"/>
                <w:kern w:val="0"/>
                <w:sz w:val="20"/>
                <w:szCs w:val="20"/>
                <w:u w:val="none"/>
                <w:lang w:val="en-US" w:eastAsia="zh-CN" w:bidi="ar-SA"/>
              </w:rPr>
              <w:br w:type="textWrapping"/>
            </w:r>
            <w:r>
              <w:rPr>
                <w:rFonts w:hint="eastAsia" w:ascii="仿宋_GB2312" w:hAnsi="宋体" w:eastAsia="仿宋_GB2312" w:cs="仿宋_GB2312"/>
                <w:b w:val="0"/>
                <w:bCs/>
                <w:i w:val="0"/>
                <w:color w:val="auto"/>
                <w:kern w:val="0"/>
                <w:sz w:val="20"/>
                <w:szCs w:val="20"/>
                <w:u w:val="none"/>
                <w:lang w:val="en-US" w:eastAsia="zh-CN" w:bidi="ar-SA"/>
              </w:rPr>
              <w:t>3.</w:t>
            </w:r>
            <w:r>
              <w:rPr>
                <w:rFonts w:hint="eastAsia" w:ascii="仿宋_GB2312" w:hAnsi="宋体" w:eastAsia="仿宋_GB2312" w:cs="仿宋_GB2312"/>
                <w:i w:val="0"/>
                <w:color w:val="auto"/>
                <w:kern w:val="0"/>
                <w:sz w:val="20"/>
                <w:szCs w:val="20"/>
                <w:u w:val="none"/>
                <w:lang w:val="en-US" w:eastAsia="zh-CN" w:bidi="ar-SA"/>
              </w:rPr>
              <w:t>各项制度执行到位。</w:t>
            </w:r>
          </w:p>
        </w:tc>
        <w:tc>
          <w:tcPr>
            <w:tcW w:w="3054" w:type="dxa"/>
            <w:tcBorders>
              <w:tl2br w:val="nil"/>
              <w:tr2bl w:val="nil"/>
            </w:tcBorders>
            <w:noWrap w:val="0"/>
            <w:vAlign w:val="center"/>
          </w:tcPr>
          <w:p>
            <w:pPr>
              <w:widowControl/>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除A级要求以外，还需具备：</w:t>
            </w:r>
            <w:r>
              <w:rPr>
                <w:rFonts w:hint="eastAsia" w:ascii="仿宋_GB2312" w:hAnsi="宋体" w:eastAsia="仿宋_GB2312" w:cs="仿宋_GB2312"/>
                <w:i w:val="0"/>
                <w:color w:val="auto"/>
                <w:kern w:val="0"/>
                <w:sz w:val="20"/>
                <w:szCs w:val="20"/>
                <w:u w:val="none"/>
                <w:lang w:val="en-US" w:eastAsia="zh-CN" w:bidi="ar-SA"/>
              </w:rPr>
              <w:br w:type="textWrapping"/>
            </w:r>
            <w:r>
              <w:rPr>
                <w:rFonts w:hint="eastAsia" w:ascii="仿宋_GB2312" w:hAnsi="宋体" w:eastAsia="仿宋_GB2312" w:cs="仿宋_GB2312"/>
                <w:i w:val="0"/>
                <w:color w:val="auto"/>
                <w:kern w:val="0"/>
                <w:sz w:val="20"/>
                <w:szCs w:val="20"/>
                <w:u w:val="none"/>
                <w:lang w:val="en-US" w:eastAsia="zh-CN" w:bidi="ar-SA"/>
              </w:rPr>
              <w:t>人工流产后避孕服务团队公示制度（保证相对固定的团队提供人工流产后避孕相关服务）。</w:t>
            </w:r>
            <w:r>
              <w:rPr>
                <w:rFonts w:hint="eastAsia" w:ascii="仿宋_GB2312" w:hAnsi="宋体" w:eastAsia="仿宋_GB2312" w:cs="仿宋_GB2312"/>
                <w:i w:val="0"/>
                <w:color w:val="auto"/>
                <w:kern w:val="0"/>
                <w:sz w:val="20"/>
                <w:szCs w:val="20"/>
                <w:u w:val="none"/>
                <w:lang w:val="en-US" w:eastAsia="zh-CN" w:bidi="ar-SA"/>
              </w:rPr>
              <w:br w:type="textWrapping"/>
            </w:r>
          </w:p>
        </w:tc>
        <w:tc>
          <w:tcPr>
            <w:tcW w:w="2682" w:type="dxa"/>
            <w:tcBorders>
              <w:tl2br w:val="nil"/>
              <w:tr2bl w:val="nil"/>
            </w:tcBorders>
            <w:noWrap w:val="0"/>
            <w:vAlign w:val="center"/>
          </w:tcPr>
          <w:p>
            <w:pPr>
              <w:widowControl/>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除AA级要求以外，还需具备：</w:t>
            </w:r>
            <w:r>
              <w:rPr>
                <w:rFonts w:hint="eastAsia" w:ascii="仿宋_GB2312" w:hAnsi="宋体" w:eastAsia="仿宋_GB2312" w:cs="仿宋_GB2312"/>
                <w:i w:val="0"/>
                <w:color w:val="auto"/>
                <w:kern w:val="0"/>
                <w:sz w:val="20"/>
                <w:szCs w:val="20"/>
                <w:u w:val="none"/>
                <w:lang w:val="en-US" w:eastAsia="zh-CN" w:bidi="ar-SA"/>
              </w:rPr>
              <w:br w:type="textWrapping"/>
            </w:r>
            <w:r>
              <w:rPr>
                <w:rFonts w:hint="eastAsia" w:ascii="仿宋_GB2312" w:hAnsi="宋体" w:eastAsia="仿宋_GB2312" w:cs="仿宋_GB2312"/>
                <w:i w:val="0"/>
                <w:color w:val="auto"/>
                <w:kern w:val="0"/>
                <w:sz w:val="20"/>
                <w:szCs w:val="20"/>
                <w:u w:val="none"/>
                <w:lang w:val="en-US" w:eastAsia="zh-CN" w:bidi="ar-SA"/>
              </w:rPr>
              <w:t>人员考核激励制度等。</w:t>
            </w:r>
            <w:r>
              <w:rPr>
                <w:rFonts w:hint="eastAsia" w:ascii="仿宋_GB2312" w:hAnsi="宋体" w:eastAsia="仿宋_GB2312" w:cs="仿宋_GB2312"/>
                <w:i w:val="0"/>
                <w:color w:val="auto"/>
                <w:kern w:val="0"/>
                <w:sz w:val="20"/>
                <w:szCs w:val="20"/>
                <w:u w:val="none"/>
                <w:lang w:val="en-US" w:eastAsia="zh-CN" w:bidi="ar-SA"/>
              </w:rPr>
              <w:br w:type="textWrapping"/>
            </w:r>
          </w:p>
        </w:tc>
        <w:tc>
          <w:tcPr>
            <w:tcW w:w="2267" w:type="dxa"/>
            <w:tcBorders>
              <w:tl2br w:val="nil"/>
              <w:tr2bl w:val="nil"/>
            </w:tcBorders>
            <w:noWrap w:val="0"/>
            <w:vAlign w:val="center"/>
          </w:tcPr>
          <w:p>
            <w:pPr>
              <w:widowControl/>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1.制度缺一项，扣1分,扣完为止。</w:t>
            </w:r>
            <w:r>
              <w:rPr>
                <w:rFonts w:hint="eastAsia" w:ascii="仿宋_GB2312" w:hAnsi="宋体" w:eastAsia="仿宋_GB2312" w:cs="仿宋_GB2312"/>
                <w:i w:val="0"/>
                <w:color w:val="auto"/>
                <w:kern w:val="0"/>
                <w:sz w:val="20"/>
                <w:szCs w:val="20"/>
                <w:u w:val="none"/>
                <w:lang w:val="en-US" w:eastAsia="zh-CN" w:bidi="ar-SA"/>
              </w:rPr>
              <w:br w:type="textWrapping"/>
            </w:r>
            <w:r>
              <w:rPr>
                <w:rFonts w:hint="eastAsia" w:ascii="仿宋_GB2312" w:hAnsi="宋体" w:eastAsia="仿宋_GB2312" w:cs="仿宋_GB2312"/>
                <w:i w:val="0"/>
                <w:color w:val="auto"/>
                <w:kern w:val="0"/>
                <w:sz w:val="20"/>
                <w:szCs w:val="20"/>
                <w:u w:val="none"/>
                <w:lang w:val="en-US" w:eastAsia="zh-CN" w:bidi="ar-SA"/>
              </w:rPr>
              <w:t>2.制度执行未到位，一项扣1分，扣完为止。</w:t>
            </w:r>
            <w:r>
              <w:rPr>
                <w:rFonts w:hint="eastAsia" w:ascii="仿宋_GB2312" w:hAnsi="宋体" w:eastAsia="仿宋_GB2312" w:cs="仿宋_GB2312"/>
                <w:i w:val="0"/>
                <w:color w:val="auto"/>
                <w:kern w:val="0"/>
                <w:sz w:val="20"/>
                <w:szCs w:val="20"/>
                <w:u w:val="none"/>
                <w:lang w:val="en-US" w:eastAsia="zh-CN" w:bidi="ar-SA"/>
              </w:rPr>
              <w:br w:type="textWrapp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01" w:hRule="atLeast"/>
          <w:jc w:val="center"/>
        </w:trPr>
        <w:tc>
          <w:tcPr>
            <w:tcW w:w="1551" w:type="dxa"/>
            <w:vMerge w:val="restart"/>
            <w:tcBorders>
              <w:tl2br w:val="nil"/>
              <w:tr2bl w:val="nil"/>
            </w:tcBorders>
            <w:noWrap w:val="0"/>
            <w:vAlign w:val="center"/>
          </w:tcPr>
          <w:p>
            <w:pPr>
              <w:widowControl/>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SA"/>
              </w:rPr>
              <w:t>三、服务流程完整（36分）</w:t>
            </w:r>
          </w:p>
        </w:tc>
        <w:tc>
          <w:tcPr>
            <w:tcW w:w="1658" w:type="dxa"/>
            <w:tcBorders>
              <w:tl2br w:val="nil"/>
              <w:tr2bl w:val="nil"/>
            </w:tcBorders>
            <w:noWrap w:val="0"/>
            <w:vAlign w:val="center"/>
          </w:tcPr>
          <w:p>
            <w:pPr>
              <w:widowControl/>
              <w:spacing w:after="200" w:afterAutospacing="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（一） 术前初诊：包括宣传教育和一对一咨询（6分）</w:t>
            </w:r>
          </w:p>
        </w:tc>
        <w:tc>
          <w:tcPr>
            <w:tcW w:w="2807" w:type="dxa"/>
            <w:tcBorders>
              <w:tl2br w:val="nil"/>
              <w:tr2bl w:val="nil"/>
            </w:tcBorders>
            <w:noWrap w:val="0"/>
            <w:vAlign w:val="center"/>
          </w:tcPr>
          <w:p>
            <w:pPr>
              <w:widowControl/>
              <w:jc w:val="left"/>
              <w:textAlignment w:val="center"/>
              <w:rPr>
                <w:rFonts w:hint="eastAsia" w:ascii="仿宋_GB2312" w:hAnsi="宋体" w:eastAsia="仿宋_GB2312" w:cs="仿宋_GB2312"/>
                <w:i w:val="0"/>
                <w:color w:val="auto"/>
                <w:sz w:val="20"/>
                <w:szCs w:val="20"/>
                <w:highlight w:val="none"/>
                <w:u w:val="none"/>
              </w:rPr>
            </w:pPr>
            <w:r>
              <w:rPr>
                <w:rFonts w:hint="eastAsia" w:ascii="仿宋_GB2312" w:hAnsi="宋体" w:eastAsia="仿宋_GB2312" w:cs="仿宋_GB2312"/>
                <w:i w:val="0"/>
                <w:color w:val="auto"/>
                <w:kern w:val="0"/>
                <w:sz w:val="20"/>
                <w:szCs w:val="20"/>
                <w:highlight w:val="none"/>
                <w:u w:val="none"/>
                <w:lang w:val="en-US" w:eastAsia="zh-CN" w:bidi="ar-SA"/>
              </w:rPr>
              <w:t>1.向服务对象及其配偶（伴侣）宣传避孕节育科学知识</w:t>
            </w:r>
            <w:r>
              <w:rPr>
                <w:rFonts w:hint="eastAsia" w:ascii="仿宋_GB2312" w:hAnsi="宋体" w:eastAsia="仿宋_GB2312" w:cs="仿宋_GB2312"/>
                <w:i w:val="0"/>
                <w:color w:val="auto"/>
                <w:kern w:val="0"/>
                <w:sz w:val="20"/>
                <w:szCs w:val="20"/>
                <w:u w:val="none"/>
                <w:lang w:val="en-US" w:eastAsia="zh-CN" w:bidi="ar-SA"/>
              </w:rPr>
              <w:t>。</w:t>
            </w:r>
            <w:r>
              <w:rPr>
                <w:rFonts w:hint="eastAsia" w:ascii="仿宋_GB2312" w:hAnsi="宋体" w:eastAsia="仿宋_GB2312" w:cs="仿宋_GB2312"/>
                <w:i w:val="0"/>
                <w:color w:val="auto"/>
                <w:kern w:val="0"/>
                <w:sz w:val="20"/>
                <w:szCs w:val="20"/>
                <w:highlight w:val="none"/>
                <w:u w:val="none"/>
                <w:lang w:val="en-US" w:eastAsia="zh-CN" w:bidi="ar-SA"/>
              </w:rPr>
              <w:br w:type="textWrapping"/>
            </w:r>
            <w:r>
              <w:rPr>
                <w:rFonts w:hint="eastAsia" w:ascii="仿宋_GB2312" w:hAnsi="宋体" w:eastAsia="仿宋_GB2312" w:cs="仿宋_GB2312"/>
                <w:i w:val="0"/>
                <w:color w:val="auto"/>
                <w:kern w:val="0"/>
                <w:sz w:val="20"/>
                <w:szCs w:val="20"/>
                <w:highlight w:val="none"/>
                <w:u w:val="none"/>
                <w:lang w:val="en-US" w:eastAsia="zh-CN" w:bidi="ar-SA"/>
              </w:rPr>
              <w:t>2.对于有生育计划的人群宣传计划妊娠重要性，介绍科学备孕相关知识</w:t>
            </w:r>
            <w:r>
              <w:rPr>
                <w:rFonts w:hint="eastAsia" w:ascii="仿宋_GB2312" w:hAnsi="宋体" w:eastAsia="仿宋_GB2312" w:cs="仿宋_GB2312"/>
                <w:i w:val="0"/>
                <w:color w:val="auto"/>
                <w:kern w:val="0"/>
                <w:sz w:val="20"/>
                <w:szCs w:val="20"/>
                <w:u w:val="none"/>
                <w:lang w:val="en-US" w:eastAsia="zh-CN" w:bidi="ar-SA"/>
              </w:rPr>
              <w:t>。</w:t>
            </w:r>
            <w:r>
              <w:rPr>
                <w:rFonts w:hint="eastAsia" w:ascii="仿宋_GB2312" w:hAnsi="宋体" w:eastAsia="仿宋_GB2312" w:cs="仿宋_GB2312"/>
                <w:i w:val="0"/>
                <w:color w:val="auto"/>
                <w:kern w:val="0"/>
                <w:sz w:val="20"/>
                <w:szCs w:val="20"/>
                <w:highlight w:val="none"/>
                <w:u w:val="none"/>
                <w:lang w:val="en-US" w:eastAsia="zh-CN" w:bidi="ar-SA"/>
              </w:rPr>
              <w:br w:type="textWrapping"/>
            </w:r>
            <w:r>
              <w:rPr>
                <w:rFonts w:hint="eastAsia" w:ascii="仿宋_GB2312" w:hAnsi="宋体" w:eastAsia="仿宋_GB2312" w:cs="仿宋_GB2312"/>
                <w:i w:val="0"/>
                <w:color w:val="auto"/>
                <w:kern w:val="0"/>
                <w:sz w:val="20"/>
                <w:szCs w:val="20"/>
                <w:highlight w:val="none"/>
                <w:u w:val="none"/>
                <w:lang w:val="en-US" w:eastAsia="zh-CN" w:bidi="ar-SA"/>
              </w:rPr>
              <w:t>3.宣传人工流产后即时避孕必要性，普及常用避孕方法等。</w:t>
            </w:r>
          </w:p>
        </w:tc>
        <w:tc>
          <w:tcPr>
            <w:tcW w:w="3054" w:type="dxa"/>
            <w:tcBorders>
              <w:tl2br w:val="nil"/>
              <w:tr2bl w:val="nil"/>
            </w:tcBorders>
            <w:noWrap w:val="0"/>
            <w:vAlign w:val="center"/>
          </w:tcPr>
          <w:p>
            <w:pPr>
              <w:widowControl/>
              <w:jc w:val="left"/>
              <w:textAlignment w:val="center"/>
              <w:rPr>
                <w:rFonts w:hint="default" w:ascii="仿宋_GB2312" w:hAnsi="宋体" w:eastAsia="仿宋_GB2312" w:cs="仿宋_GB2312"/>
                <w:i w:val="0"/>
                <w:color w:val="auto"/>
                <w:sz w:val="20"/>
                <w:szCs w:val="20"/>
                <w:highlight w:val="none"/>
                <w:u w:val="none"/>
                <w:lang w:val="en-US"/>
              </w:rPr>
            </w:pPr>
            <w:r>
              <w:rPr>
                <w:rFonts w:hint="eastAsia" w:ascii="仿宋_GB2312" w:hAnsi="宋体" w:eastAsia="仿宋_GB2312" w:cs="仿宋_GB2312"/>
                <w:i w:val="0"/>
                <w:color w:val="auto"/>
                <w:kern w:val="0"/>
                <w:sz w:val="20"/>
                <w:szCs w:val="20"/>
                <w:highlight w:val="none"/>
                <w:u w:val="none"/>
                <w:lang w:val="en-US" w:eastAsia="zh-CN" w:bidi="ar-SA"/>
              </w:rPr>
              <w:t>同A级</w:t>
            </w:r>
            <w:r>
              <w:rPr>
                <w:rFonts w:hint="eastAsia" w:ascii="仿宋_GB2312" w:hAnsi="宋体" w:eastAsia="仿宋_GB2312" w:cs="仿宋_GB2312"/>
                <w:i w:val="0"/>
                <w:color w:val="auto"/>
                <w:kern w:val="0"/>
                <w:sz w:val="20"/>
                <w:szCs w:val="20"/>
                <w:u w:val="none"/>
                <w:lang w:val="en-US" w:eastAsia="zh-CN" w:bidi="ar-SA"/>
              </w:rPr>
              <w:t>。</w:t>
            </w:r>
          </w:p>
        </w:tc>
        <w:tc>
          <w:tcPr>
            <w:tcW w:w="2682" w:type="dxa"/>
            <w:tcBorders>
              <w:tl2br w:val="nil"/>
              <w:tr2bl w:val="nil"/>
            </w:tcBorders>
            <w:noWrap w:val="0"/>
            <w:vAlign w:val="center"/>
          </w:tcPr>
          <w:p>
            <w:pPr>
              <w:widowControl/>
              <w:jc w:val="left"/>
              <w:textAlignment w:val="center"/>
              <w:rPr>
                <w:rFonts w:hint="eastAsia" w:ascii="仿宋_GB2312" w:hAnsi="宋体" w:eastAsia="仿宋_GB2312" w:cs="仿宋_GB2312"/>
                <w:i w:val="0"/>
                <w:color w:val="auto"/>
                <w:sz w:val="20"/>
                <w:szCs w:val="20"/>
                <w:highlight w:val="none"/>
                <w:u w:val="none"/>
              </w:rPr>
            </w:pPr>
            <w:r>
              <w:rPr>
                <w:rFonts w:hint="eastAsia" w:ascii="仿宋_GB2312" w:hAnsi="宋体" w:eastAsia="仿宋_GB2312" w:cs="仿宋_GB2312"/>
                <w:i w:val="0"/>
                <w:color w:val="auto"/>
                <w:kern w:val="0"/>
                <w:sz w:val="20"/>
                <w:szCs w:val="20"/>
                <w:highlight w:val="none"/>
                <w:u w:val="none"/>
                <w:lang w:val="en-US" w:eastAsia="zh-CN" w:bidi="ar-SA"/>
              </w:rPr>
              <w:t>同AA级</w:t>
            </w:r>
            <w:r>
              <w:rPr>
                <w:rFonts w:hint="eastAsia" w:ascii="仿宋_GB2312" w:hAnsi="宋体" w:eastAsia="仿宋_GB2312" w:cs="仿宋_GB2312"/>
                <w:i w:val="0"/>
                <w:color w:val="auto"/>
                <w:kern w:val="0"/>
                <w:sz w:val="20"/>
                <w:szCs w:val="20"/>
                <w:u w:val="none"/>
                <w:lang w:val="en-US" w:eastAsia="zh-CN" w:bidi="ar-SA"/>
              </w:rPr>
              <w:t>。</w:t>
            </w:r>
          </w:p>
        </w:tc>
        <w:tc>
          <w:tcPr>
            <w:tcW w:w="2267" w:type="dxa"/>
            <w:tcBorders>
              <w:tl2br w:val="nil"/>
              <w:tr2bl w:val="nil"/>
            </w:tcBorders>
            <w:noWrap w:val="0"/>
            <w:vAlign w:val="center"/>
          </w:tcPr>
          <w:p>
            <w:pP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未开展相应宣传及告知服务，</w:t>
            </w:r>
            <w:r>
              <w:rPr>
                <w:rFonts w:hint="eastAsia" w:ascii="仿宋_GB2312" w:hAnsi="宋体" w:eastAsia="仿宋_GB2312" w:cs="仿宋_GB2312"/>
                <w:i w:val="0"/>
                <w:color w:val="auto"/>
                <w:kern w:val="0"/>
                <w:sz w:val="20"/>
                <w:szCs w:val="20"/>
                <w:highlight w:val="none"/>
                <w:u w:val="none"/>
                <w:lang w:val="en-US" w:eastAsia="zh-CN" w:bidi="ar-SA"/>
              </w:rPr>
              <w:t>缺一项扣2分</w:t>
            </w:r>
            <w:r>
              <w:rPr>
                <w:rFonts w:hint="eastAsia" w:ascii="仿宋_GB2312" w:hAnsi="宋体" w:eastAsia="仿宋_GB2312" w:cs="仿宋_GB2312"/>
                <w:i w:val="0"/>
                <w:color w:val="auto"/>
                <w:kern w:val="0"/>
                <w:sz w:val="20"/>
                <w:szCs w:val="20"/>
                <w:u w:val="none"/>
                <w:lang w:val="en-US" w:eastAsia="zh-CN" w:bidi="ar-SA"/>
              </w:rPr>
              <w:t>，扣完为止。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28" w:hRule="atLeast"/>
          <w:jc w:val="center"/>
        </w:trPr>
        <w:tc>
          <w:tcPr>
            <w:tcW w:w="1551" w:type="dxa"/>
            <w:vMerge w:val="continue"/>
            <w:tcBorders>
              <w:tl2br w:val="nil"/>
              <w:tr2bl w:val="nil"/>
            </w:tcBorders>
            <w:noWrap w:val="0"/>
            <w:vAlign w:val="center"/>
          </w:tcPr>
          <w:p>
            <w:pPr>
              <w:jc w:val="center"/>
              <w:rPr>
                <w:rFonts w:hint="eastAsia" w:ascii="仿宋_GB2312" w:hAnsi="宋体" w:eastAsia="仿宋_GB2312" w:cs="仿宋_GB2312"/>
                <w:i w:val="0"/>
                <w:color w:val="auto"/>
                <w:sz w:val="24"/>
                <w:szCs w:val="24"/>
                <w:u w:val="none"/>
              </w:rPr>
            </w:pPr>
          </w:p>
        </w:tc>
        <w:tc>
          <w:tcPr>
            <w:tcW w:w="1658" w:type="dxa"/>
            <w:tcBorders>
              <w:tl2br w:val="nil"/>
              <w:tr2bl w:val="nil"/>
            </w:tcBorders>
            <w:noWrap w:val="0"/>
            <w:vAlign w:val="center"/>
          </w:tcPr>
          <w:p>
            <w:pPr>
              <w:widowControl/>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（二）手术当日：包括宣传教育、实施人工流产术、即时落实长效可逆避孕方法、一对一咨询和免费避孕药具发放等（20分）</w:t>
            </w:r>
          </w:p>
        </w:tc>
        <w:tc>
          <w:tcPr>
            <w:tcW w:w="2807" w:type="dxa"/>
            <w:tcBorders>
              <w:tl2br w:val="nil"/>
              <w:tr2bl w:val="nil"/>
            </w:tcBorders>
            <w:noWrap w:val="0"/>
            <w:vAlign w:val="center"/>
          </w:tcPr>
          <w:p>
            <w:pPr>
              <w:widowControl/>
              <w:jc w:val="left"/>
              <w:textAlignment w:val="center"/>
              <w:rPr>
                <w:rFonts w:hint="eastAsia" w:ascii="仿宋_GB2312" w:hAnsi="宋体" w:eastAsia="仿宋_GB2312" w:cs="仿宋_GB2312"/>
                <w:i w:val="0"/>
                <w:color w:val="auto"/>
                <w:kern w:val="0"/>
                <w:sz w:val="20"/>
                <w:szCs w:val="20"/>
                <w:u w:val="none"/>
                <w:lang w:val="en-US" w:eastAsia="zh-CN" w:bidi="ar-SA"/>
              </w:rPr>
            </w:pPr>
            <w:r>
              <w:rPr>
                <w:rFonts w:hint="eastAsia" w:ascii="仿宋_GB2312" w:hAnsi="宋体" w:eastAsia="仿宋_GB2312" w:cs="仿宋_GB2312"/>
                <w:i w:val="0"/>
                <w:color w:val="auto"/>
                <w:kern w:val="0"/>
                <w:sz w:val="20"/>
                <w:szCs w:val="20"/>
                <w:u w:val="none"/>
                <w:lang w:val="en-US" w:eastAsia="zh-CN" w:bidi="ar-SA"/>
              </w:rPr>
              <w:t>1.排查高危因素、评估高危人工流产和发生重复人流风险人群；遵循知情自愿原则，服务对象签署人工流产手术知情同意书及人工流产后避孕服务知情同意书，同意书签署率 100%。</w:t>
            </w:r>
            <w:r>
              <w:rPr>
                <w:rFonts w:hint="eastAsia" w:ascii="仿宋_GB2312" w:hAnsi="宋体" w:eastAsia="仿宋_GB2312" w:cs="仿宋_GB2312"/>
                <w:i w:val="0"/>
                <w:color w:val="auto"/>
                <w:kern w:val="0"/>
                <w:sz w:val="20"/>
                <w:szCs w:val="20"/>
                <w:u w:val="none"/>
                <w:lang w:val="en-US" w:eastAsia="zh-CN" w:bidi="ar-SA"/>
              </w:rPr>
              <w:br w:type="textWrapping"/>
            </w:r>
            <w:r>
              <w:rPr>
                <w:rFonts w:hint="eastAsia" w:ascii="仿宋_GB2312" w:hAnsi="宋体" w:eastAsia="仿宋_GB2312" w:cs="仿宋_GB2312"/>
                <w:i w:val="0"/>
                <w:color w:val="auto"/>
                <w:kern w:val="0"/>
                <w:sz w:val="20"/>
                <w:szCs w:val="20"/>
                <w:u w:val="none"/>
                <w:lang w:val="en-US" w:eastAsia="zh-CN" w:bidi="ar-SA"/>
              </w:rPr>
              <w:t>2.按照中华医学会计划生育学分会《临床诊疗指南与技术操作规范-计划生育分册（2017修订版）》进行术前医学检查并实施人工流产术。</w:t>
            </w:r>
            <w:r>
              <w:rPr>
                <w:rFonts w:hint="eastAsia" w:ascii="仿宋_GB2312" w:hAnsi="宋体" w:eastAsia="仿宋_GB2312" w:cs="仿宋_GB2312"/>
                <w:i w:val="0"/>
                <w:color w:val="auto"/>
                <w:kern w:val="0"/>
                <w:sz w:val="20"/>
                <w:szCs w:val="20"/>
                <w:u w:val="none"/>
                <w:lang w:val="en-US" w:eastAsia="zh-CN" w:bidi="ar-SA"/>
              </w:rPr>
              <w:br w:type="textWrapping"/>
            </w:r>
            <w:r>
              <w:rPr>
                <w:rFonts w:hint="eastAsia" w:ascii="仿宋_GB2312" w:hAnsi="宋体" w:eastAsia="仿宋_GB2312" w:cs="仿宋_GB2312"/>
                <w:i w:val="0"/>
                <w:color w:val="auto"/>
                <w:kern w:val="0"/>
                <w:sz w:val="20"/>
                <w:szCs w:val="20"/>
                <w:u w:val="none"/>
                <w:lang w:val="en-US" w:eastAsia="zh-CN" w:bidi="ar-SA"/>
              </w:rPr>
              <w:t>3.宣传人工流产后的注意事项和要求（包括随访的日期和内容），可选择的避孕方法及如何使用等。</w:t>
            </w:r>
            <w:r>
              <w:rPr>
                <w:rFonts w:hint="eastAsia" w:ascii="仿宋_GB2312" w:hAnsi="宋体" w:eastAsia="仿宋_GB2312" w:cs="仿宋_GB2312"/>
                <w:i w:val="0"/>
                <w:color w:val="auto"/>
                <w:kern w:val="0"/>
                <w:sz w:val="20"/>
                <w:szCs w:val="20"/>
                <w:u w:val="none"/>
                <w:lang w:val="en-US" w:eastAsia="zh-CN" w:bidi="ar-SA"/>
              </w:rPr>
              <w:br w:type="textWrapping"/>
            </w:r>
            <w:r>
              <w:rPr>
                <w:rFonts w:hint="eastAsia" w:ascii="仿宋_GB2312" w:hAnsi="宋体" w:eastAsia="仿宋_GB2312" w:cs="仿宋_GB2312"/>
                <w:i w:val="0"/>
                <w:color w:val="auto"/>
                <w:kern w:val="0"/>
                <w:sz w:val="20"/>
                <w:szCs w:val="20"/>
                <w:u w:val="none"/>
                <w:lang w:val="en-US" w:eastAsia="zh-CN" w:bidi="ar-SA"/>
              </w:rPr>
              <w:t>4.工流产后1个月返院复诊，预约下次复诊日期，并告知其他需要及时返诊的征象。</w:t>
            </w:r>
            <w:r>
              <w:rPr>
                <w:rFonts w:hint="eastAsia" w:ascii="仿宋_GB2312" w:hAnsi="宋体" w:eastAsia="仿宋_GB2312" w:cs="仿宋_GB2312"/>
                <w:i w:val="0"/>
                <w:color w:val="auto"/>
                <w:kern w:val="0"/>
                <w:sz w:val="20"/>
                <w:szCs w:val="20"/>
                <w:u w:val="none"/>
                <w:lang w:val="en-US" w:eastAsia="zh-CN" w:bidi="ar-SA"/>
              </w:rPr>
              <w:br w:type="textWrapping"/>
            </w:r>
            <w:r>
              <w:rPr>
                <w:rFonts w:hint="eastAsia" w:ascii="仿宋_GB2312" w:hAnsi="宋体" w:eastAsia="仿宋_GB2312" w:cs="仿宋_GB2312"/>
                <w:i w:val="0"/>
                <w:color w:val="auto"/>
                <w:kern w:val="0"/>
                <w:sz w:val="20"/>
                <w:szCs w:val="20"/>
                <w:u w:val="none"/>
                <w:lang w:val="en-US" w:eastAsia="zh-CN" w:bidi="ar-SA"/>
              </w:rPr>
              <w:t>5.对选择人工流产后使用长效可逆的避孕方法或绝育术的妇女，告知适宜手术时机。</w:t>
            </w:r>
          </w:p>
        </w:tc>
        <w:tc>
          <w:tcPr>
            <w:tcW w:w="3054" w:type="dxa"/>
            <w:tcBorders>
              <w:tl2br w:val="nil"/>
              <w:tr2bl w:val="nil"/>
            </w:tcBorders>
            <w:noWrap w:val="0"/>
            <w:vAlign w:val="center"/>
          </w:tcPr>
          <w:p>
            <w:pPr>
              <w:widowControl/>
              <w:jc w:val="left"/>
              <w:textAlignment w:val="center"/>
              <w:rPr>
                <w:rFonts w:hint="eastAsia" w:ascii="仿宋_GB2312" w:hAnsi="宋体" w:eastAsia="仿宋_GB2312" w:cs="仿宋_GB2312"/>
                <w:i w:val="0"/>
                <w:color w:val="auto"/>
                <w:kern w:val="0"/>
                <w:sz w:val="20"/>
                <w:szCs w:val="20"/>
                <w:u w:val="none"/>
                <w:lang w:val="en-US" w:eastAsia="zh-CN" w:bidi="ar-SA"/>
              </w:rPr>
            </w:pPr>
            <w:r>
              <w:rPr>
                <w:rFonts w:hint="eastAsia" w:ascii="仿宋_GB2312" w:hAnsi="宋体" w:eastAsia="仿宋_GB2312" w:cs="仿宋_GB2312"/>
                <w:i w:val="0"/>
                <w:color w:val="auto"/>
                <w:kern w:val="0"/>
                <w:sz w:val="20"/>
                <w:szCs w:val="20"/>
                <w:u w:val="none"/>
                <w:lang w:val="en-US" w:eastAsia="zh-CN" w:bidi="ar-SA"/>
              </w:rPr>
              <w:t>除A级要求以外，还需具备：</w:t>
            </w:r>
            <w:r>
              <w:rPr>
                <w:rFonts w:hint="eastAsia" w:ascii="仿宋_GB2312" w:hAnsi="宋体" w:eastAsia="仿宋_GB2312" w:cs="仿宋_GB2312"/>
                <w:i w:val="0"/>
                <w:color w:val="auto"/>
                <w:kern w:val="0"/>
                <w:sz w:val="20"/>
                <w:szCs w:val="20"/>
                <w:u w:val="none"/>
                <w:lang w:val="en-US" w:eastAsia="zh-CN" w:bidi="ar-SA"/>
              </w:rPr>
              <w:br w:type="textWrapping"/>
            </w:r>
            <w:r>
              <w:rPr>
                <w:rFonts w:hint="eastAsia" w:ascii="仿宋_GB2312" w:hAnsi="宋体" w:eastAsia="仿宋_GB2312" w:cs="仿宋_GB2312"/>
                <w:i w:val="0"/>
                <w:color w:val="auto"/>
                <w:kern w:val="0"/>
                <w:sz w:val="20"/>
                <w:szCs w:val="20"/>
                <w:u w:val="none"/>
                <w:lang w:val="en-US" w:eastAsia="zh-CN" w:bidi="ar-SA"/>
              </w:rPr>
              <w:t>1.分析意外妊娠发生原因、讨论人工流产危害。</w:t>
            </w:r>
          </w:p>
          <w:p>
            <w:pPr>
              <w:widowControl/>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2.确定人工流产后即时落实避孕方法、对有生育计划者提供计划妊娠知识等。</w:t>
            </w:r>
            <w:r>
              <w:rPr>
                <w:rFonts w:hint="eastAsia" w:ascii="仿宋_GB2312" w:hAnsi="宋体" w:eastAsia="仿宋_GB2312" w:cs="仿宋_GB2312"/>
                <w:i w:val="0"/>
                <w:color w:val="auto"/>
                <w:kern w:val="0"/>
                <w:sz w:val="20"/>
                <w:szCs w:val="20"/>
                <w:u w:val="none"/>
                <w:lang w:val="en-US" w:eastAsia="zh-CN" w:bidi="ar-SA"/>
              </w:rPr>
              <w:br w:type="textWrapping"/>
            </w:r>
            <w:r>
              <w:rPr>
                <w:rFonts w:hint="eastAsia" w:ascii="仿宋_GB2312" w:hAnsi="宋体" w:eastAsia="仿宋_GB2312" w:cs="仿宋_GB2312"/>
                <w:i w:val="0"/>
                <w:color w:val="auto"/>
                <w:kern w:val="0"/>
                <w:sz w:val="20"/>
                <w:szCs w:val="20"/>
                <w:u w:val="none"/>
                <w:lang w:val="en-US" w:eastAsia="zh-CN" w:bidi="ar-SA"/>
              </w:rPr>
              <w:t>3.根据人工流产术前咨询结果和术中具体情况，按照自愿原则，对人工流产后选择宫内节育器或者皮下埋植剂作为避孕措施的妇女，排除禁忌证后可即时放置。放置手术前，签署相关手术知情同意书，按照中华医学会计划生育学分会《临床诊疗指南与技术操作规范-计划生育分册（2017修订版）》做好相应医学检查。对术后即时放置宫内节育器或者皮下埋植剂的服务对象，告知可能发生的副反应。</w:t>
            </w:r>
          </w:p>
        </w:tc>
        <w:tc>
          <w:tcPr>
            <w:tcW w:w="2682" w:type="dxa"/>
            <w:tcBorders>
              <w:tl2br w:val="nil"/>
              <w:tr2bl w:val="nil"/>
            </w:tcBorders>
            <w:noWrap w:val="0"/>
            <w:vAlign w:val="center"/>
          </w:tcPr>
          <w:p>
            <w:pPr>
              <w:widowControl/>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除AA级要求以外，还需具备：</w:t>
            </w:r>
            <w:r>
              <w:rPr>
                <w:rFonts w:hint="eastAsia" w:ascii="仿宋_GB2312" w:hAnsi="宋体" w:eastAsia="仿宋_GB2312" w:cs="仿宋_GB2312"/>
                <w:i w:val="0"/>
                <w:color w:val="auto"/>
                <w:kern w:val="0"/>
                <w:sz w:val="20"/>
                <w:szCs w:val="20"/>
                <w:u w:val="none"/>
                <w:lang w:val="en-US" w:eastAsia="zh-CN" w:bidi="ar-SA"/>
              </w:rPr>
              <w:br w:type="textWrapping"/>
            </w:r>
            <w:r>
              <w:rPr>
                <w:rFonts w:hint="eastAsia" w:ascii="仿宋_GB2312" w:hAnsi="宋体" w:eastAsia="仿宋_GB2312" w:cs="仿宋_GB2312"/>
                <w:i w:val="0"/>
                <w:color w:val="auto"/>
                <w:kern w:val="0"/>
                <w:sz w:val="20"/>
                <w:szCs w:val="20"/>
                <w:u w:val="none"/>
                <w:lang w:val="en-US" w:eastAsia="zh-CN" w:bidi="ar-SA"/>
              </w:rPr>
              <w:t>1.在实施人工流产术之前，有针对性的向服务对象提供人工流产、避孕节育相关知识和咨询指导，包含：病史询问、填写《人工流产后避孕服务术前咨询记录表》等。</w:t>
            </w:r>
            <w:r>
              <w:rPr>
                <w:rFonts w:hint="eastAsia" w:ascii="仿宋_GB2312" w:hAnsi="宋体" w:eastAsia="仿宋_GB2312" w:cs="仿宋_GB2312"/>
                <w:i w:val="0"/>
                <w:color w:val="auto"/>
                <w:kern w:val="0"/>
                <w:sz w:val="20"/>
                <w:szCs w:val="20"/>
                <w:u w:val="none"/>
                <w:lang w:val="en-US" w:eastAsia="zh-CN" w:bidi="ar-SA"/>
              </w:rPr>
              <w:br w:type="textWrapping"/>
            </w:r>
            <w:r>
              <w:rPr>
                <w:rFonts w:hint="eastAsia" w:ascii="仿宋_GB2312" w:hAnsi="宋体" w:eastAsia="仿宋_GB2312" w:cs="仿宋_GB2312"/>
                <w:i w:val="0"/>
                <w:color w:val="auto"/>
                <w:kern w:val="0"/>
                <w:sz w:val="20"/>
                <w:szCs w:val="20"/>
                <w:u w:val="none"/>
                <w:lang w:val="en-US" w:eastAsia="zh-CN" w:bidi="ar-SA"/>
              </w:rPr>
              <w:t>2.手术流产后或药物流产留观阶段，再次告知服务对象人工流产后注意事项，并提供相应健康教育材料。</w:t>
            </w:r>
            <w:r>
              <w:rPr>
                <w:rFonts w:hint="eastAsia" w:ascii="仿宋_GB2312" w:hAnsi="宋体" w:eastAsia="仿宋_GB2312" w:cs="仿宋_GB2312"/>
                <w:i w:val="0"/>
                <w:color w:val="auto"/>
                <w:kern w:val="0"/>
                <w:sz w:val="20"/>
                <w:szCs w:val="20"/>
                <w:u w:val="none"/>
                <w:lang w:val="en-US" w:eastAsia="zh-CN" w:bidi="ar-SA"/>
              </w:rPr>
              <w:br w:type="textWrapping"/>
            </w:r>
            <w:r>
              <w:rPr>
                <w:rFonts w:hint="eastAsia" w:ascii="仿宋_GB2312" w:hAnsi="宋体" w:eastAsia="仿宋_GB2312" w:cs="仿宋_GB2312"/>
                <w:i w:val="0"/>
                <w:color w:val="auto"/>
                <w:kern w:val="0"/>
                <w:sz w:val="20"/>
                <w:szCs w:val="20"/>
                <w:u w:val="none"/>
                <w:lang w:val="en-US" w:eastAsia="zh-CN" w:bidi="ar-SA"/>
              </w:rPr>
              <w:t>3.对选择人工流产后使用长效避孕针、复方短效口服避孕药、避孕套和外用避孕药的妇女，再次讲解使用方法，提供避孕药具，强调必须坚持和正确使用。</w:t>
            </w:r>
          </w:p>
        </w:tc>
        <w:tc>
          <w:tcPr>
            <w:tcW w:w="2267" w:type="dxa"/>
            <w:tcBorders>
              <w:tl2br w:val="nil"/>
              <w:tr2bl w:val="nil"/>
            </w:tcBorders>
            <w:noWrap w:val="0"/>
            <w:vAlign w:val="center"/>
          </w:tcPr>
          <w:p>
            <w:pPr>
              <w:widowControl/>
              <w:jc w:val="left"/>
              <w:textAlignment w:val="center"/>
              <w:rPr>
                <w:rFonts w:hint="eastAsia" w:ascii="仿宋_GB2312" w:hAnsi="宋体" w:eastAsia="仿宋_GB2312" w:cs="仿宋_GB2312"/>
                <w:i w:val="0"/>
                <w:color w:val="auto"/>
                <w:kern w:val="0"/>
                <w:sz w:val="20"/>
                <w:szCs w:val="20"/>
                <w:u w:val="none"/>
                <w:lang w:val="en-US" w:eastAsia="zh-CN" w:bidi="ar-SA"/>
              </w:rPr>
            </w:pPr>
            <w:r>
              <w:rPr>
                <w:rFonts w:hint="eastAsia" w:ascii="仿宋_GB2312" w:hAnsi="宋体" w:eastAsia="仿宋_GB2312" w:cs="仿宋_GB2312"/>
                <w:i w:val="0"/>
                <w:color w:val="auto"/>
                <w:kern w:val="0"/>
                <w:sz w:val="20"/>
                <w:szCs w:val="20"/>
                <w:u w:val="none"/>
                <w:lang w:val="en-US" w:eastAsia="zh-CN" w:bidi="ar-SA"/>
              </w:rPr>
              <w:t>1.未排查高危因素及高危人群，扣5分。</w:t>
            </w:r>
          </w:p>
          <w:p>
            <w:pPr>
              <w:widowControl/>
              <w:jc w:val="left"/>
              <w:textAlignment w:val="center"/>
              <w:rPr>
                <w:rFonts w:hint="eastAsia" w:ascii="仿宋_GB2312" w:hAnsi="宋体" w:eastAsia="仿宋_GB2312" w:cs="仿宋_GB2312"/>
                <w:i w:val="0"/>
                <w:color w:val="auto"/>
                <w:kern w:val="0"/>
                <w:sz w:val="20"/>
                <w:szCs w:val="20"/>
                <w:u w:val="none"/>
                <w:lang w:val="en-US" w:eastAsia="zh-CN" w:bidi="ar-SA"/>
              </w:rPr>
            </w:pPr>
            <w:r>
              <w:rPr>
                <w:rFonts w:hint="eastAsia" w:ascii="仿宋_GB2312" w:hAnsi="宋体" w:eastAsia="仿宋_GB2312" w:cs="仿宋_GB2312"/>
                <w:i w:val="0"/>
                <w:color w:val="auto"/>
                <w:kern w:val="0"/>
                <w:sz w:val="20"/>
                <w:szCs w:val="20"/>
                <w:u w:val="none"/>
                <w:lang w:val="en-US" w:eastAsia="zh-CN" w:bidi="ar-SA"/>
              </w:rPr>
              <w:t>2.未签署人工流产手术知情同意书及人工流产后避孕服务知情同意书，扣1分；未使用统一的人工流产避孕服务知情同意书，扣1分；未填写《人工流产后避孕服务术前咨询记录表》，扣1分。</w:t>
            </w:r>
          </w:p>
          <w:p>
            <w:pPr>
              <w:widowControl/>
              <w:jc w:val="left"/>
              <w:textAlignment w:val="center"/>
              <w:rPr>
                <w:rFonts w:hint="eastAsia" w:ascii="仿宋_GB2312" w:hAnsi="宋体" w:eastAsia="仿宋_GB2312" w:cs="仿宋_GB2312"/>
                <w:i w:val="0"/>
                <w:color w:val="auto"/>
                <w:kern w:val="0"/>
                <w:sz w:val="20"/>
                <w:szCs w:val="20"/>
                <w:u w:val="none"/>
                <w:lang w:val="en-US" w:eastAsia="zh-CN" w:bidi="ar-SA"/>
              </w:rPr>
            </w:pPr>
            <w:r>
              <w:rPr>
                <w:rFonts w:hint="eastAsia" w:ascii="仿宋_GB2312" w:hAnsi="宋体" w:eastAsia="仿宋_GB2312" w:cs="仿宋_GB2312"/>
                <w:i w:val="0"/>
                <w:color w:val="auto"/>
                <w:kern w:val="0"/>
                <w:sz w:val="20"/>
                <w:szCs w:val="20"/>
                <w:u w:val="none"/>
                <w:lang w:val="en-US" w:eastAsia="zh-CN" w:bidi="ar-SA"/>
              </w:rPr>
              <w:t>3.未按照中华医学会计划生育学分会《临床诊疗指南与技术操作规范-计划生育分册（2017修订版）》实施人工流产术及宫内节育器或者皮下埋植剂放置术，按操作规范逐项扣分，扣满10分为止。</w:t>
            </w:r>
          </w:p>
          <w:p>
            <w:pPr>
              <w:widowControl/>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4.未开展相应宣传及告知服务，</w:t>
            </w:r>
            <w:r>
              <w:rPr>
                <w:rFonts w:hint="eastAsia" w:ascii="仿宋_GB2312" w:hAnsi="宋体" w:eastAsia="仿宋_GB2312" w:cs="仿宋_GB2312"/>
                <w:i w:val="0"/>
                <w:color w:val="auto"/>
                <w:kern w:val="0"/>
                <w:sz w:val="20"/>
                <w:szCs w:val="20"/>
                <w:highlight w:val="none"/>
                <w:u w:val="none"/>
                <w:lang w:val="en-US" w:eastAsia="zh-CN" w:bidi="ar-SA"/>
              </w:rPr>
              <w:t>缺一项扣1分</w:t>
            </w:r>
            <w:r>
              <w:rPr>
                <w:rFonts w:hint="eastAsia" w:ascii="仿宋_GB2312" w:hAnsi="宋体" w:eastAsia="仿宋_GB2312" w:cs="仿宋_GB2312"/>
                <w:i w:val="0"/>
                <w:color w:val="auto"/>
                <w:kern w:val="0"/>
                <w:sz w:val="20"/>
                <w:szCs w:val="20"/>
                <w:u w:val="none"/>
                <w:lang w:val="en-US" w:eastAsia="zh-CN" w:bidi="ar-SA"/>
              </w:rPr>
              <w:t>，扣满2分为止。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129" w:hRule="atLeast"/>
          <w:jc w:val="center"/>
        </w:trPr>
        <w:tc>
          <w:tcPr>
            <w:tcW w:w="1551" w:type="dxa"/>
            <w:vMerge w:val="continue"/>
            <w:tcBorders>
              <w:tl2br w:val="nil"/>
              <w:tr2bl w:val="nil"/>
            </w:tcBorders>
            <w:noWrap w:val="0"/>
            <w:vAlign w:val="center"/>
          </w:tcPr>
          <w:p>
            <w:pPr>
              <w:jc w:val="center"/>
              <w:rPr>
                <w:rFonts w:hint="eastAsia" w:ascii="仿宋_GB2312" w:hAnsi="宋体" w:eastAsia="仿宋_GB2312" w:cs="仿宋_GB2312"/>
                <w:i w:val="0"/>
                <w:color w:val="auto"/>
                <w:sz w:val="24"/>
                <w:szCs w:val="24"/>
                <w:u w:val="none"/>
              </w:rPr>
            </w:pPr>
          </w:p>
        </w:tc>
        <w:tc>
          <w:tcPr>
            <w:tcW w:w="1658" w:type="dxa"/>
            <w:tcBorders>
              <w:tl2br w:val="nil"/>
              <w:tr2bl w:val="nil"/>
            </w:tcBorders>
            <w:noWrap w:val="0"/>
            <w:vAlign w:val="center"/>
          </w:tcPr>
          <w:p>
            <w:pPr>
              <w:widowControl/>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（三）术后复诊：包括术后1个月服务对象返诊，术后3个月、6个月和12个月随访等（10分）</w:t>
            </w:r>
          </w:p>
        </w:tc>
        <w:tc>
          <w:tcPr>
            <w:tcW w:w="2807" w:type="dxa"/>
            <w:tcBorders>
              <w:tl2br w:val="nil"/>
              <w:tr2bl w:val="nil"/>
            </w:tcBorders>
            <w:noWrap w:val="0"/>
            <w:vAlign w:val="center"/>
          </w:tcPr>
          <w:p>
            <w:pPr>
              <w:widowControl/>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填写《人工流产后避孕服务首次（1个月）随访登记表》，了解人工流产术后出血或月经恢复情况；评估性生活恢复情况和避孕方法使用情况；鼓励坚持或转换高效和长效避孕方法，需要时为服务对象补充提供避孕药具。</w:t>
            </w:r>
            <w:r>
              <w:rPr>
                <w:rFonts w:hint="eastAsia" w:ascii="仿宋_GB2312" w:hAnsi="宋体" w:eastAsia="仿宋_GB2312" w:cs="仿宋_GB2312"/>
                <w:i w:val="0"/>
                <w:color w:val="auto"/>
                <w:kern w:val="0"/>
                <w:sz w:val="20"/>
                <w:szCs w:val="20"/>
                <w:u w:val="none"/>
                <w:lang w:val="en-US" w:eastAsia="zh-CN" w:bidi="ar-SA"/>
              </w:rPr>
              <w:br w:type="textWrapping"/>
            </w:r>
            <w:r>
              <w:rPr>
                <w:rFonts w:hint="eastAsia" w:ascii="仿宋_GB2312" w:hAnsi="宋体" w:eastAsia="仿宋_GB2312" w:cs="仿宋_GB2312"/>
                <w:i w:val="0"/>
                <w:color w:val="auto"/>
                <w:kern w:val="0"/>
                <w:sz w:val="20"/>
                <w:szCs w:val="20"/>
                <w:u w:val="none"/>
                <w:lang w:val="en-US" w:eastAsia="zh-CN" w:bidi="ar-SA"/>
              </w:rPr>
              <w:t>2.填写《人工流产后避孕服务（3个月、6个月）随访记录表》，了解避孕方法使用情况，对使用过程中发生的问题给予指导；鼓励坚持或转换高效和长效的避孕方法。</w:t>
            </w:r>
          </w:p>
        </w:tc>
        <w:tc>
          <w:tcPr>
            <w:tcW w:w="3054" w:type="dxa"/>
            <w:tcBorders>
              <w:tl2br w:val="nil"/>
              <w:tr2bl w:val="nil"/>
            </w:tcBorders>
            <w:noWrap w:val="0"/>
            <w:vAlign w:val="center"/>
          </w:tcPr>
          <w:p>
            <w:pPr>
              <w:widowControl/>
              <w:jc w:val="left"/>
              <w:textAlignment w:val="center"/>
              <w:rPr>
                <w:rFonts w:hint="eastAsia" w:ascii="仿宋_GB2312" w:hAnsi="宋体" w:eastAsia="仿宋_GB2312" w:cs="仿宋_GB2312"/>
                <w:i w:val="0"/>
                <w:color w:val="auto"/>
                <w:kern w:val="0"/>
                <w:sz w:val="20"/>
                <w:szCs w:val="20"/>
                <w:u w:val="none"/>
                <w:lang w:val="en-US" w:eastAsia="zh-CN" w:bidi="ar-SA"/>
              </w:rPr>
            </w:pPr>
            <w:r>
              <w:rPr>
                <w:rFonts w:hint="eastAsia" w:ascii="仿宋_GB2312" w:hAnsi="宋体" w:eastAsia="仿宋_GB2312" w:cs="仿宋_GB2312"/>
                <w:i w:val="0"/>
                <w:color w:val="auto"/>
                <w:kern w:val="0"/>
                <w:sz w:val="20"/>
                <w:szCs w:val="20"/>
                <w:u w:val="none"/>
                <w:lang w:val="en-US" w:eastAsia="zh-CN" w:bidi="ar-SA"/>
              </w:rPr>
              <w:t>除A级要求以外，还需具备：</w:t>
            </w:r>
            <w:r>
              <w:rPr>
                <w:rFonts w:hint="eastAsia" w:ascii="仿宋_GB2312" w:hAnsi="宋体" w:eastAsia="仿宋_GB2312" w:cs="仿宋_GB2312"/>
                <w:i w:val="0"/>
                <w:color w:val="auto"/>
                <w:kern w:val="0"/>
                <w:sz w:val="20"/>
                <w:szCs w:val="20"/>
                <w:u w:val="none"/>
                <w:lang w:val="en-US" w:eastAsia="zh-CN" w:bidi="ar-SA"/>
              </w:rPr>
              <w:br w:type="textWrapping"/>
            </w:r>
            <w:r>
              <w:rPr>
                <w:rFonts w:hint="eastAsia" w:ascii="仿宋_GB2312" w:hAnsi="宋体" w:eastAsia="仿宋_GB2312" w:cs="仿宋_GB2312"/>
                <w:i w:val="0"/>
                <w:color w:val="auto"/>
                <w:kern w:val="0"/>
                <w:sz w:val="20"/>
                <w:szCs w:val="20"/>
                <w:u w:val="none"/>
                <w:lang w:val="en-US" w:eastAsia="zh-CN" w:bidi="ar-SA"/>
              </w:rPr>
              <w:t>1.填写《人工流产后避孕服务（12个月）随访记录表》，了解避孕方法使用情况，对使用过程中发生的问题给予指导，鼓励坚持或转换高效和长效的避孕方法。</w:t>
            </w:r>
          </w:p>
          <w:p>
            <w:pPr>
              <w:widowControl/>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2.重点针对存在高风险人群（如多次重复流产、短期内重复流产、剖宫产史等患者）和使用短效或非高效避孕方法者进行随访，重点保证高效避孕方法的长期持续使用。</w:t>
            </w:r>
          </w:p>
        </w:tc>
        <w:tc>
          <w:tcPr>
            <w:tcW w:w="2682" w:type="dxa"/>
            <w:tcBorders>
              <w:tl2br w:val="nil"/>
              <w:tr2bl w:val="nil"/>
            </w:tcBorders>
            <w:noWrap w:val="0"/>
            <w:vAlign w:val="center"/>
          </w:tcPr>
          <w:p>
            <w:pPr>
              <w:widowControl/>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同AA级。</w:t>
            </w:r>
          </w:p>
        </w:tc>
        <w:tc>
          <w:tcPr>
            <w:tcW w:w="2267" w:type="dxa"/>
            <w:tcBorders>
              <w:tl2br w:val="nil"/>
              <w:tr2bl w:val="nil"/>
            </w:tcBorders>
            <w:noWrap w:val="0"/>
            <w:vAlign w:val="center"/>
          </w:tcPr>
          <w:p>
            <w:pPr>
              <w:widowControl/>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1.未填写《人工流产后避孕服务首次（1个月）随访登记表》，扣5分。</w:t>
            </w:r>
            <w:r>
              <w:rPr>
                <w:rFonts w:hint="eastAsia" w:ascii="仿宋_GB2312" w:hAnsi="宋体" w:eastAsia="仿宋_GB2312" w:cs="仿宋_GB2312"/>
                <w:i w:val="0"/>
                <w:color w:val="auto"/>
                <w:kern w:val="0"/>
                <w:sz w:val="20"/>
                <w:szCs w:val="20"/>
                <w:u w:val="none"/>
                <w:lang w:val="en-US" w:eastAsia="zh-CN" w:bidi="ar-SA"/>
              </w:rPr>
              <w:br w:type="textWrapping"/>
            </w:r>
            <w:r>
              <w:rPr>
                <w:rFonts w:hint="eastAsia" w:ascii="仿宋_GB2312" w:hAnsi="宋体" w:eastAsia="仿宋_GB2312" w:cs="仿宋_GB2312"/>
                <w:i w:val="0"/>
                <w:color w:val="auto"/>
                <w:kern w:val="0"/>
                <w:sz w:val="20"/>
                <w:szCs w:val="20"/>
                <w:u w:val="none"/>
                <w:lang w:val="en-US" w:eastAsia="zh-CN" w:bidi="ar-SA"/>
              </w:rPr>
              <w:t>2.未填写《人工流产后避孕服务（3个月、6个月和12个月）随访记录表》少1次，扣1分。</w:t>
            </w:r>
            <w:r>
              <w:rPr>
                <w:rFonts w:hint="eastAsia" w:ascii="仿宋_GB2312" w:hAnsi="宋体" w:eastAsia="仿宋_GB2312" w:cs="仿宋_GB2312"/>
                <w:i w:val="0"/>
                <w:color w:val="auto"/>
                <w:kern w:val="0"/>
                <w:sz w:val="20"/>
                <w:szCs w:val="20"/>
                <w:u w:val="none"/>
                <w:lang w:val="en-US" w:eastAsia="zh-CN" w:bidi="ar-SA"/>
              </w:rPr>
              <w:br w:type="textWrapping"/>
            </w:r>
            <w:r>
              <w:rPr>
                <w:rFonts w:hint="eastAsia" w:ascii="仿宋_GB2312" w:hAnsi="宋体" w:eastAsia="仿宋_GB2312" w:cs="仿宋_GB2312"/>
                <w:i w:val="0"/>
                <w:color w:val="auto"/>
                <w:kern w:val="0"/>
                <w:sz w:val="20"/>
                <w:szCs w:val="20"/>
                <w:u w:val="none"/>
                <w:lang w:val="en-US" w:eastAsia="zh-CN" w:bidi="ar-SA"/>
              </w:rPr>
              <w:t>3.未记录有关指导、转换高效和长效的避孕方法，扣1分。</w:t>
            </w:r>
            <w:r>
              <w:rPr>
                <w:rFonts w:hint="eastAsia" w:ascii="仿宋_GB2312" w:hAnsi="宋体" w:eastAsia="仿宋_GB2312" w:cs="仿宋_GB2312"/>
                <w:i w:val="0"/>
                <w:color w:val="auto"/>
                <w:kern w:val="0"/>
                <w:sz w:val="20"/>
                <w:szCs w:val="20"/>
                <w:u w:val="none"/>
                <w:lang w:val="en-US" w:eastAsia="zh-CN" w:bidi="ar-SA"/>
              </w:rPr>
              <w:br w:type="textWrapping"/>
            </w:r>
            <w:r>
              <w:rPr>
                <w:rFonts w:hint="eastAsia" w:ascii="仿宋_GB2312" w:hAnsi="宋体" w:eastAsia="仿宋_GB2312" w:cs="仿宋_GB2312"/>
                <w:i w:val="0"/>
                <w:color w:val="auto"/>
                <w:kern w:val="0"/>
                <w:sz w:val="20"/>
                <w:szCs w:val="20"/>
                <w:u w:val="none"/>
                <w:lang w:val="en-US" w:eastAsia="zh-CN" w:bidi="ar-SA"/>
              </w:rPr>
              <w:t>4.未针对高风险人群进行随访，未强调高效避孕方法在流产后及时落实扣3分。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13" w:hRule="atLeast"/>
          <w:jc w:val="center"/>
        </w:trPr>
        <w:tc>
          <w:tcPr>
            <w:tcW w:w="1551" w:type="dxa"/>
            <w:vMerge w:val="restart"/>
            <w:tcBorders>
              <w:tl2br w:val="nil"/>
              <w:tr2bl w:val="nil"/>
            </w:tcBorders>
            <w:noWrap w:val="0"/>
            <w:vAlign w:val="center"/>
          </w:tcPr>
          <w:p>
            <w:pPr>
              <w:widowControl/>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SA"/>
              </w:rPr>
              <w:t>四、服务提供优质（15分）</w:t>
            </w:r>
          </w:p>
        </w:tc>
        <w:tc>
          <w:tcPr>
            <w:tcW w:w="1658" w:type="dxa"/>
            <w:tcBorders>
              <w:tl2br w:val="nil"/>
              <w:tr2bl w:val="nil"/>
            </w:tcBorders>
            <w:noWrap w:val="0"/>
            <w:vAlign w:val="center"/>
          </w:tcPr>
          <w:p>
            <w:pPr>
              <w:widowControl/>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（一）宣教咨询到位（5分）</w:t>
            </w:r>
          </w:p>
        </w:tc>
        <w:tc>
          <w:tcPr>
            <w:tcW w:w="2807" w:type="dxa"/>
            <w:tcBorders>
              <w:tl2br w:val="nil"/>
              <w:tr2bl w:val="nil"/>
            </w:tcBorders>
            <w:noWrap w:val="0"/>
            <w:vAlign w:val="center"/>
          </w:tcPr>
          <w:p>
            <w:pPr>
              <w:widowControl/>
              <w:jc w:val="left"/>
              <w:textAlignment w:val="center"/>
              <w:rPr>
                <w:rFonts w:hint="eastAsia" w:ascii="仿宋_GB2312" w:hAnsi="宋体" w:eastAsia="仿宋_GB2312" w:cs="仿宋_GB2312"/>
                <w:i w:val="0"/>
                <w:color w:val="auto"/>
                <w:kern w:val="0"/>
                <w:sz w:val="20"/>
                <w:szCs w:val="20"/>
                <w:u w:val="none"/>
                <w:lang w:val="en-US" w:eastAsia="zh-CN" w:bidi="ar-SA"/>
              </w:rPr>
            </w:pPr>
            <w:r>
              <w:rPr>
                <w:rFonts w:hint="eastAsia" w:ascii="仿宋_GB2312" w:hAnsi="宋体" w:eastAsia="仿宋_GB2312" w:cs="仿宋_GB2312"/>
                <w:i w:val="0"/>
                <w:color w:val="auto"/>
                <w:kern w:val="0"/>
                <w:sz w:val="20"/>
                <w:szCs w:val="20"/>
                <w:u w:val="none"/>
                <w:lang w:val="en-US" w:eastAsia="zh-CN" w:bidi="ar-SA"/>
              </w:rPr>
              <w:t>1.宣教咨询服务对象覆盖率≥90%。</w:t>
            </w:r>
          </w:p>
          <w:p>
            <w:pPr>
              <w:widowControl/>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2.优先向服务对象提供国家免费避孕药具及相关信息。</w:t>
            </w:r>
          </w:p>
        </w:tc>
        <w:tc>
          <w:tcPr>
            <w:tcW w:w="3054" w:type="dxa"/>
            <w:tcBorders>
              <w:tl2br w:val="nil"/>
              <w:tr2bl w:val="nil"/>
            </w:tcBorders>
            <w:noWrap w:val="0"/>
            <w:vAlign w:val="center"/>
          </w:tcPr>
          <w:p>
            <w:pPr>
              <w:widowControl/>
              <w:jc w:val="left"/>
              <w:textAlignment w:val="center"/>
              <w:rPr>
                <w:rFonts w:hint="eastAsia" w:ascii="仿宋_GB2312" w:hAnsi="宋体" w:eastAsia="仿宋_GB2312" w:cs="仿宋_GB2312"/>
                <w:i w:val="0"/>
                <w:color w:val="auto"/>
                <w:kern w:val="0"/>
                <w:sz w:val="20"/>
                <w:szCs w:val="20"/>
                <w:u w:val="none"/>
                <w:lang w:val="en-US" w:eastAsia="zh-CN" w:bidi="ar-SA"/>
              </w:rPr>
            </w:pPr>
            <w:r>
              <w:rPr>
                <w:rFonts w:hint="eastAsia" w:ascii="仿宋_GB2312" w:hAnsi="宋体" w:eastAsia="仿宋_GB2312" w:cs="仿宋_GB2312"/>
                <w:i w:val="0"/>
                <w:color w:val="auto"/>
                <w:kern w:val="0"/>
                <w:sz w:val="20"/>
                <w:szCs w:val="20"/>
                <w:u w:val="none"/>
                <w:lang w:val="en-US" w:eastAsia="zh-CN" w:bidi="ar-SA"/>
              </w:rPr>
              <w:t>1.宣教咨询服务对象覆盖率100%。</w:t>
            </w:r>
          </w:p>
          <w:p>
            <w:pPr>
              <w:widowControl/>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2.优先向服务对象提供国家免费避孕药具及相关信息，鼓励使用新媒体。</w:t>
            </w:r>
          </w:p>
        </w:tc>
        <w:tc>
          <w:tcPr>
            <w:tcW w:w="2682" w:type="dxa"/>
            <w:tcBorders>
              <w:tl2br w:val="nil"/>
              <w:tr2bl w:val="nil"/>
            </w:tcBorders>
            <w:noWrap w:val="0"/>
            <w:vAlign w:val="center"/>
          </w:tcPr>
          <w:p>
            <w:pPr>
              <w:widowControl/>
              <w:jc w:val="left"/>
              <w:textAlignment w:val="center"/>
              <w:rPr>
                <w:rFonts w:hint="eastAsia" w:ascii="仿宋_GB2312" w:hAnsi="宋体" w:eastAsia="仿宋_GB2312" w:cs="仿宋_GB2312"/>
                <w:i w:val="0"/>
                <w:color w:val="auto"/>
                <w:kern w:val="0"/>
                <w:sz w:val="20"/>
                <w:szCs w:val="20"/>
                <w:u w:val="none"/>
                <w:lang w:val="en-US" w:eastAsia="zh-CN" w:bidi="ar-SA"/>
              </w:rPr>
            </w:pPr>
            <w:r>
              <w:rPr>
                <w:rFonts w:hint="eastAsia" w:ascii="仿宋_GB2312" w:hAnsi="宋体" w:eastAsia="仿宋_GB2312" w:cs="仿宋_GB2312"/>
                <w:i w:val="0"/>
                <w:color w:val="auto"/>
                <w:kern w:val="0"/>
                <w:sz w:val="20"/>
                <w:szCs w:val="20"/>
                <w:u w:val="none"/>
                <w:lang w:val="en-US" w:eastAsia="zh-CN" w:bidi="ar-SA"/>
              </w:rPr>
              <w:t>1.宣教咨询服务对象覆盖率100%。语言通俗易懂、科学严谨、准确全面。</w:t>
            </w:r>
          </w:p>
          <w:p>
            <w:pPr>
              <w:widowControl/>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2.优先向服务对象提供国家免费避孕药具及相关信息，使用包括新媒体在内的多样宣传咨询形式。</w:t>
            </w:r>
          </w:p>
        </w:tc>
        <w:tc>
          <w:tcPr>
            <w:tcW w:w="2267" w:type="dxa"/>
            <w:tcBorders>
              <w:tl2br w:val="nil"/>
              <w:tr2bl w:val="nil"/>
            </w:tcBorders>
            <w:noWrap w:val="0"/>
            <w:vAlign w:val="center"/>
          </w:tcPr>
          <w:p>
            <w:pPr>
              <w:widowControl/>
              <w:jc w:val="left"/>
              <w:textAlignment w:val="center"/>
              <w:rPr>
                <w:rFonts w:hint="eastAsia" w:ascii="仿宋_GB2312" w:hAnsi="宋体" w:eastAsia="仿宋_GB2312" w:cs="仿宋_GB2312"/>
                <w:i w:val="0"/>
                <w:color w:val="auto"/>
                <w:kern w:val="0"/>
                <w:sz w:val="20"/>
                <w:szCs w:val="20"/>
                <w:u w:val="none"/>
                <w:lang w:val="en-US" w:eastAsia="zh-CN" w:bidi="ar-SA"/>
              </w:rPr>
            </w:pPr>
            <w:r>
              <w:rPr>
                <w:rFonts w:hint="eastAsia" w:ascii="仿宋_GB2312" w:hAnsi="宋体" w:eastAsia="仿宋_GB2312" w:cs="仿宋_GB2312"/>
                <w:i w:val="0"/>
                <w:color w:val="auto"/>
                <w:kern w:val="0"/>
                <w:sz w:val="20"/>
                <w:szCs w:val="20"/>
                <w:u w:val="none"/>
                <w:lang w:val="en-US" w:eastAsia="zh-CN" w:bidi="ar-SA"/>
              </w:rPr>
              <w:t>1.宣教咨询服务对象覆盖率不足90%，每降低5%扣1分，扣完为止。</w:t>
            </w:r>
          </w:p>
          <w:p>
            <w:pPr>
              <w:widowControl/>
              <w:jc w:val="left"/>
              <w:textAlignment w:val="center"/>
              <w:rPr>
                <w:rFonts w:hint="default" w:ascii="仿宋_GB2312" w:hAnsi="宋体" w:eastAsia="仿宋_GB2312" w:cs="仿宋_GB2312"/>
                <w:i w:val="0"/>
                <w:color w:val="auto"/>
                <w:kern w:val="0"/>
                <w:sz w:val="20"/>
                <w:szCs w:val="20"/>
                <w:u w:val="none"/>
                <w:lang w:val="en-US" w:eastAsia="zh-CN" w:bidi="ar-SA"/>
              </w:rPr>
            </w:pPr>
            <w:r>
              <w:rPr>
                <w:rFonts w:hint="eastAsia" w:ascii="仿宋_GB2312" w:hAnsi="宋体" w:eastAsia="仿宋_GB2312" w:cs="仿宋_GB2312"/>
                <w:i w:val="0"/>
                <w:color w:val="auto"/>
                <w:kern w:val="0"/>
                <w:sz w:val="20"/>
                <w:szCs w:val="20"/>
                <w:u w:val="none"/>
                <w:lang w:val="en-US" w:eastAsia="zh-CN" w:bidi="ar-SA"/>
              </w:rPr>
              <w:t>2.未向服务对象提供国家免费避孕药具及相关信息扣1分。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77" w:hRule="atLeast"/>
          <w:jc w:val="center"/>
        </w:trPr>
        <w:tc>
          <w:tcPr>
            <w:tcW w:w="1551" w:type="dxa"/>
            <w:vMerge w:val="continue"/>
            <w:tcBorders>
              <w:tl2br w:val="nil"/>
              <w:tr2bl w:val="nil"/>
            </w:tcBorders>
            <w:noWrap w:val="0"/>
            <w:vAlign w:val="center"/>
          </w:tcPr>
          <w:p>
            <w:pPr>
              <w:jc w:val="center"/>
              <w:rPr>
                <w:rFonts w:hint="eastAsia" w:ascii="仿宋_GB2312" w:hAnsi="宋体" w:eastAsia="仿宋_GB2312" w:cs="仿宋_GB2312"/>
                <w:i w:val="0"/>
                <w:color w:val="auto"/>
                <w:sz w:val="24"/>
                <w:szCs w:val="24"/>
                <w:u w:val="none"/>
              </w:rPr>
            </w:pPr>
          </w:p>
        </w:tc>
        <w:tc>
          <w:tcPr>
            <w:tcW w:w="1658" w:type="dxa"/>
            <w:tcBorders>
              <w:tl2br w:val="nil"/>
              <w:tr2bl w:val="nil"/>
            </w:tcBorders>
            <w:noWrap w:val="0"/>
            <w:vAlign w:val="center"/>
          </w:tcPr>
          <w:p>
            <w:pPr>
              <w:widowControl/>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（二）随访服务连续（5分）</w:t>
            </w:r>
          </w:p>
        </w:tc>
        <w:tc>
          <w:tcPr>
            <w:tcW w:w="2807" w:type="dxa"/>
            <w:tcBorders>
              <w:tl2br w:val="nil"/>
              <w:tr2bl w:val="nil"/>
            </w:tcBorders>
            <w:noWrap w:val="0"/>
            <w:vAlign w:val="center"/>
          </w:tcPr>
          <w:p>
            <w:pPr>
              <w:widowControl/>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完成人工流产术后1个月、3个月、6个月定期随访。</w:t>
            </w:r>
          </w:p>
        </w:tc>
        <w:tc>
          <w:tcPr>
            <w:tcW w:w="3054" w:type="dxa"/>
            <w:tcBorders>
              <w:tl2br w:val="nil"/>
              <w:tr2bl w:val="nil"/>
            </w:tcBorders>
            <w:noWrap w:val="0"/>
            <w:vAlign w:val="center"/>
          </w:tcPr>
          <w:p>
            <w:pPr>
              <w:widowControl/>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1.完成人工流产术后1个月内、3个月和6个月定期随访，鼓励开展12个月随访。</w:t>
            </w:r>
            <w:r>
              <w:rPr>
                <w:rFonts w:hint="eastAsia" w:ascii="仿宋_GB2312" w:hAnsi="宋体" w:eastAsia="仿宋_GB2312" w:cs="仿宋_GB2312"/>
                <w:i w:val="0"/>
                <w:color w:val="auto"/>
                <w:kern w:val="0"/>
                <w:sz w:val="20"/>
                <w:szCs w:val="20"/>
                <w:u w:val="none"/>
                <w:lang w:val="en-US" w:eastAsia="zh-CN" w:bidi="ar-SA"/>
              </w:rPr>
              <w:br w:type="textWrapping"/>
            </w:r>
            <w:r>
              <w:rPr>
                <w:rFonts w:hint="eastAsia" w:ascii="仿宋_GB2312" w:hAnsi="宋体" w:eastAsia="仿宋_GB2312" w:cs="仿宋_GB2312"/>
                <w:i w:val="0"/>
                <w:color w:val="auto"/>
                <w:kern w:val="0"/>
                <w:sz w:val="20"/>
                <w:szCs w:val="20"/>
                <w:u w:val="none"/>
                <w:lang w:val="en-US" w:eastAsia="zh-CN" w:bidi="ar-SA"/>
              </w:rPr>
              <w:t>2.为服务对象提供教育信息应以避免6个月内重复流产和其他高危风险为核心，强调流产后立即、高效和坚持避孕的重要性，并根据不同服务对象特点提供有针对性的差异化教育信息。</w:t>
            </w:r>
            <w:r>
              <w:rPr>
                <w:rFonts w:hint="eastAsia" w:ascii="仿宋_GB2312" w:hAnsi="宋体" w:eastAsia="仿宋_GB2312" w:cs="仿宋_GB2312"/>
                <w:i w:val="0"/>
                <w:color w:val="auto"/>
                <w:kern w:val="0"/>
                <w:sz w:val="20"/>
                <w:szCs w:val="20"/>
                <w:u w:val="none"/>
                <w:lang w:val="en-US" w:eastAsia="zh-CN" w:bidi="ar-SA"/>
              </w:rPr>
              <w:br w:type="textWrapping"/>
            </w:r>
          </w:p>
        </w:tc>
        <w:tc>
          <w:tcPr>
            <w:tcW w:w="2682" w:type="dxa"/>
            <w:tcBorders>
              <w:tl2br w:val="nil"/>
              <w:tr2bl w:val="nil"/>
            </w:tcBorders>
            <w:noWrap w:val="0"/>
            <w:vAlign w:val="center"/>
          </w:tcPr>
          <w:p>
            <w:pPr>
              <w:widowControl/>
              <w:jc w:val="left"/>
              <w:textAlignment w:val="center"/>
              <w:rPr>
                <w:rFonts w:hint="eastAsia" w:ascii="仿宋_GB2312" w:hAnsi="宋体" w:eastAsia="仿宋_GB2312" w:cs="仿宋_GB2312"/>
                <w:i w:val="0"/>
                <w:color w:val="auto"/>
                <w:kern w:val="0"/>
                <w:sz w:val="20"/>
                <w:szCs w:val="20"/>
                <w:u w:val="none"/>
                <w:lang w:val="en-US" w:eastAsia="zh-CN" w:bidi="ar-SA"/>
              </w:rPr>
            </w:pPr>
            <w:r>
              <w:rPr>
                <w:rFonts w:hint="eastAsia" w:ascii="仿宋_GB2312" w:hAnsi="宋体" w:eastAsia="仿宋_GB2312" w:cs="仿宋_GB2312"/>
                <w:i w:val="0"/>
                <w:color w:val="auto"/>
                <w:kern w:val="0"/>
                <w:sz w:val="20"/>
                <w:szCs w:val="20"/>
                <w:u w:val="none"/>
                <w:lang w:val="en-US" w:eastAsia="zh-CN" w:bidi="ar-SA"/>
              </w:rPr>
              <w:t>除AA级要求以外，还需具备：</w:t>
            </w:r>
            <w:r>
              <w:rPr>
                <w:rFonts w:hint="eastAsia" w:ascii="仿宋_GB2312" w:hAnsi="宋体" w:eastAsia="仿宋_GB2312" w:cs="仿宋_GB2312"/>
                <w:i w:val="0"/>
                <w:color w:val="auto"/>
                <w:kern w:val="0"/>
                <w:sz w:val="20"/>
                <w:szCs w:val="20"/>
                <w:u w:val="none"/>
                <w:lang w:val="en-US" w:eastAsia="zh-CN" w:bidi="ar-SA"/>
              </w:rPr>
              <w:br w:type="textWrapping"/>
            </w:r>
            <w:r>
              <w:rPr>
                <w:rFonts w:hint="eastAsia" w:ascii="仿宋_GB2312" w:hAnsi="宋体" w:eastAsia="仿宋_GB2312" w:cs="仿宋_GB2312"/>
                <w:i w:val="0"/>
                <w:color w:val="auto"/>
                <w:kern w:val="0"/>
                <w:sz w:val="20"/>
                <w:szCs w:val="20"/>
                <w:u w:val="none"/>
                <w:lang w:val="en-US" w:eastAsia="zh-CN" w:bidi="ar-SA"/>
              </w:rPr>
              <w:t>1.具有长期避孕需求的流产女性作为长效避孕方法主要适用人群，优先推荐和落实长效可逆避孕方法，以强调长期高效避孕对于保护女性生殖健康的重要意义作为核心信息。</w:t>
            </w:r>
          </w:p>
          <w:p>
            <w:pPr>
              <w:widowControl/>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2.鼓励服务对象返诊，也可以通过其他途径互动联系进行咨询指导，在随访服务中应有针对存在重复人工流产高风险因素的人群的措施和记录。</w:t>
            </w:r>
          </w:p>
        </w:tc>
        <w:tc>
          <w:tcPr>
            <w:tcW w:w="2267" w:type="dxa"/>
            <w:tcBorders>
              <w:tl2br w:val="nil"/>
              <w:tr2bl w:val="nil"/>
            </w:tcBorders>
            <w:noWrap w:val="0"/>
            <w:vAlign w:val="center"/>
          </w:tcPr>
          <w:p>
            <w:pPr>
              <w:widowControl/>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抽查随访服务记录，对象未返诊进行一对一咨询，每例</w:t>
            </w:r>
            <w:r>
              <w:rPr>
                <w:rFonts w:hint="eastAsia" w:ascii="仿宋_GB2312" w:hAnsi="宋体" w:eastAsia="仿宋_GB2312" w:cs="仿宋_GB2312"/>
                <w:i w:val="0"/>
                <w:color w:val="auto"/>
                <w:kern w:val="0"/>
                <w:sz w:val="20"/>
                <w:szCs w:val="20"/>
                <w:highlight w:val="none"/>
                <w:u w:val="none"/>
                <w:lang w:val="en-US" w:eastAsia="zh-CN" w:bidi="ar-SA"/>
              </w:rPr>
              <w:t>扣 1分，</w:t>
            </w:r>
            <w:r>
              <w:rPr>
                <w:rFonts w:hint="eastAsia" w:ascii="仿宋_GB2312" w:hAnsi="宋体" w:eastAsia="仿宋_GB2312" w:cs="仿宋_GB2312"/>
                <w:i w:val="0"/>
                <w:color w:val="auto"/>
                <w:kern w:val="0"/>
                <w:sz w:val="20"/>
                <w:szCs w:val="20"/>
                <w:u w:val="none"/>
                <w:lang w:val="en-US" w:eastAsia="zh-CN" w:bidi="ar-SA"/>
              </w:rPr>
              <w:t>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56" w:hRule="atLeast"/>
          <w:jc w:val="center"/>
        </w:trPr>
        <w:tc>
          <w:tcPr>
            <w:tcW w:w="1551" w:type="dxa"/>
            <w:vMerge w:val="continue"/>
            <w:tcBorders>
              <w:tl2br w:val="nil"/>
              <w:tr2bl w:val="nil"/>
            </w:tcBorders>
            <w:noWrap w:val="0"/>
            <w:vAlign w:val="center"/>
          </w:tcPr>
          <w:p>
            <w:pPr>
              <w:jc w:val="center"/>
              <w:rPr>
                <w:rFonts w:hint="eastAsia" w:ascii="仿宋_GB2312" w:hAnsi="宋体" w:eastAsia="仿宋_GB2312" w:cs="仿宋_GB2312"/>
                <w:i w:val="0"/>
                <w:color w:val="auto"/>
                <w:sz w:val="24"/>
                <w:szCs w:val="24"/>
                <w:u w:val="none"/>
              </w:rPr>
            </w:pPr>
          </w:p>
        </w:tc>
        <w:tc>
          <w:tcPr>
            <w:tcW w:w="1658" w:type="dxa"/>
            <w:tcBorders>
              <w:tl2br w:val="nil"/>
              <w:tr2bl w:val="nil"/>
            </w:tcBorders>
            <w:noWrap w:val="0"/>
            <w:vAlign w:val="center"/>
          </w:tcPr>
          <w:p>
            <w:pPr>
              <w:widowControl/>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（三）服务记录完整（5分）</w:t>
            </w:r>
          </w:p>
        </w:tc>
        <w:tc>
          <w:tcPr>
            <w:tcW w:w="2807" w:type="dxa"/>
            <w:tcBorders>
              <w:tl2br w:val="nil"/>
              <w:tr2bl w:val="nil"/>
            </w:tcBorders>
            <w:noWrap w:val="0"/>
            <w:vAlign w:val="center"/>
          </w:tcPr>
          <w:p>
            <w:pPr>
              <w:widowControl/>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使用统一的咨询随访记录表，完整记录人工流产术后1个月、3个月、6个月定期随访情况。</w:t>
            </w:r>
          </w:p>
        </w:tc>
        <w:tc>
          <w:tcPr>
            <w:tcW w:w="3054" w:type="dxa"/>
            <w:tcBorders>
              <w:tl2br w:val="nil"/>
              <w:tr2bl w:val="nil"/>
            </w:tcBorders>
            <w:noWrap w:val="0"/>
            <w:vAlign w:val="center"/>
          </w:tcPr>
          <w:p>
            <w:pP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记录并提供完整的咨询和随访记录，人工流产后避孕服务术前咨询记录表、人工流产后避孕服务知情同意书、人工流产后避孕服务首次（1个月）随访登记表、人工流产后避孕服务（3个月、6个月、12个月）随访记录表等。</w:t>
            </w:r>
          </w:p>
        </w:tc>
        <w:tc>
          <w:tcPr>
            <w:tcW w:w="2682" w:type="dxa"/>
            <w:tcBorders>
              <w:tl2br w:val="nil"/>
              <w:tr2bl w:val="nil"/>
            </w:tcBorders>
            <w:noWrap w:val="0"/>
            <w:vAlign w:val="center"/>
          </w:tcPr>
          <w:p>
            <w:pPr>
              <w:widowControl/>
              <w:jc w:val="left"/>
              <w:textAlignment w:val="center"/>
              <w:rPr>
                <w:rFonts w:hint="default" w:ascii="仿宋_GB2312" w:hAnsi="宋体" w:eastAsia="仿宋_GB2312" w:cs="仿宋_GB2312"/>
                <w:i w:val="0"/>
                <w:color w:val="auto"/>
                <w:sz w:val="20"/>
                <w:szCs w:val="20"/>
                <w:u w:val="none"/>
                <w:lang w:val="en-US" w:eastAsia="zh-CN"/>
              </w:rPr>
            </w:pPr>
            <w:r>
              <w:rPr>
                <w:rFonts w:hint="eastAsia" w:ascii="仿宋_GB2312" w:hAnsi="宋体" w:eastAsia="仿宋_GB2312" w:cs="仿宋_GB2312"/>
                <w:i w:val="0"/>
                <w:color w:val="auto"/>
                <w:sz w:val="20"/>
                <w:szCs w:val="20"/>
                <w:u w:val="none"/>
                <w:lang w:eastAsia="zh-CN"/>
              </w:rPr>
              <w:t>同</w:t>
            </w:r>
            <w:r>
              <w:rPr>
                <w:rFonts w:hint="eastAsia" w:ascii="仿宋_GB2312" w:hAnsi="宋体" w:eastAsia="仿宋_GB2312" w:cs="仿宋_GB2312"/>
                <w:i w:val="0"/>
                <w:color w:val="auto"/>
                <w:sz w:val="20"/>
                <w:szCs w:val="20"/>
                <w:u w:val="none"/>
                <w:lang w:val="en-US" w:eastAsia="zh-CN"/>
              </w:rPr>
              <w:t>AA级</w:t>
            </w:r>
            <w:r>
              <w:rPr>
                <w:rFonts w:hint="eastAsia" w:ascii="仿宋_GB2312" w:hAnsi="宋体" w:eastAsia="仿宋_GB2312" w:cs="仿宋_GB2312"/>
                <w:i w:val="0"/>
                <w:color w:val="auto"/>
                <w:kern w:val="0"/>
                <w:sz w:val="20"/>
                <w:szCs w:val="20"/>
                <w:u w:val="none"/>
                <w:lang w:val="en-US" w:eastAsia="zh-CN" w:bidi="ar-SA"/>
              </w:rPr>
              <w:t>。</w:t>
            </w:r>
          </w:p>
        </w:tc>
        <w:tc>
          <w:tcPr>
            <w:tcW w:w="2267" w:type="dxa"/>
            <w:tcBorders>
              <w:tl2br w:val="nil"/>
              <w:tr2bl w:val="nil"/>
            </w:tcBorders>
            <w:noWrap w:val="0"/>
            <w:vAlign w:val="center"/>
          </w:tcPr>
          <w:p>
            <w:pPr>
              <w:widowControl/>
              <w:jc w:val="left"/>
              <w:textAlignment w:val="center"/>
              <w:rPr>
                <w:rFonts w:hint="default" w:ascii="仿宋_GB2312" w:hAnsi="宋体" w:eastAsia="仿宋_GB2312" w:cs="仿宋_GB2312"/>
                <w:i w:val="0"/>
                <w:color w:val="auto"/>
                <w:sz w:val="20"/>
                <w:szCs w:val="20"/>
                <w:u w:val="none"/>
                <w:lang w:val="en-US"/>
              </w:rPr>
            </w:pPr>
            <w:r>
              <w:rPr>
                <w:rFonts w:hint="eastAsia" w:ascii="仿宋_GB2312" w:hAnsi="宋体" w:eastAsia="仿宋_GB2312" w:cs="仿宋_GB2312"/>
                <w:i w:val="0"/>
                <w:color w:val="auto"/>
                <w:kern w:val="0"/>
                <w:sz w:val="20"/>
                <w:szCs w:val="20"/>
                <w:u w:val="none"/>
                <w:lang w:val="en-US" w:eastAsia="zh-CN" w:bidi="ar-SA"/>
              </w:rPr>
              <w:t>未使用统一的咨询随访记录表扣1分，抽查记录3个月、6个月随访服务每减少1次扣1分,扣完为止。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98" w:hRule="atLeast"/>
          <w:jc w:val="center"/>
        </w:trPr>
        <w:tc>
          <w:tcPr>
            <w:tcW w:w="1551" w:type="dxa"/>
            <w:vMerge w:val="restart"/>
            <w:tcBorders>
              <w:tl2br w:val="nil"/>
              <w:tr2bl w:val="nil"/>
            </w:tcBorders>
            <w:noWrap w:val="0"/>
            <w:vAlign w:val="center"/>
          </w:tcPr>
          <w:p>
            <w:pPr>
              <w:widowControl/>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SA"/>
              </w:rPr>
              <w:t>五、服务效果评估（24分）</w:t>
            </w:r>
          </w:p>
        </w:tc>
        <w:tc>
          <w:tcPr>
            <w:tcW w:w="1658" w:type="dxa"/>
            <w:tcBorders>
              <w:tl2br w:val="nil"/>
              <w:tr2bl w:val="nil"/>
            </w:tcBorders>
            <w:noWrap w:val="0"/>
            <w:vAlign w:val="center"/>
          </w:tcPr>
          <w:p>
            <w:pPr>
              <w:widowControl/>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人工流产后高效避孕措施即时落实率、人工流产后长效避孕措施及时落实率（4分）</w:t>
            </w:r>
          </w:p>
        </w:tc>
        <w:tc>
          <w:tcPr>
            <w:tcW w:w="2807" w:type="dxa"/>
            <w:tcBorders>
              <w:tl2br w:val="nil"/>
              <w:tr2bl w:val="nil"/>
            </w:tcBorders>
            <w:noWrap w:val="0"/>
            <w:vAlign w:val="center"/>
          </w:tcPr>
          <w:p>
            <w:pPr>
              <w:widowControl/>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高效避孕方法立即落实率≥60%。</w:t>
            </w:r>
          </w:p>
        </w:tc>
        <w:tc>
          <w:tcPr>
            <w:tcW w:w="3054" w:type="dxa"/>
            <w:tcBorders>
              <w:tl2br w:val="nil"/>
              <w:tr2bl w:val="nil"/>
            </w:tcBorders>
            <w:noWrap w:val="0"/>
            <w:vAlign w:val="center"/>
          </w:tcPr>
          <w:p>
            <w:pPr>
              <w:widowControl/>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高效避孕方法立即落实率≥80%。</w:t>
            </w:r>
          </w:p>
        </w:tc>
        <w:tc>
          <w:tcPr>
            <w:tcW w:w="2682" w:type="dxa"/>
            <w:tcBorders>
              <w:tl2br w:val="nil"/>
              <w:tr2bl w:val="nil"/>
            </w:tcBorders>
            <w:noWrap w:val="0"/>
            <w:vAlign w:val="center"/>
          </w:tcPr>
          <w:p>
            <w:pPr>
              <w:widowControl/>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高效避孕方法立即落实率≥85%。</w:t>
            </w:r>
          </w:p>
        </w:tc>
        <w:tc>
          <w:tcPr>
            <w:tcW w:w="2267" w:type="dxa"/>
            <w:tcBorders>
              <w:tl2br w:val="nil"/>
              <w:tr2bl w:val="nil"/>
            </w:tcBorders>
            <w:noWrap w:val="0"/>
            <w:vAlign w:val="center"/>
          </w:tcPr>
          <w:p>
            <w:pPr>
              <w:widowControl/>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未达标每降低2%扣1分，扣完为止。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84" w:hRule="atLeast"/>
          <w:jc w:val="center"/>
        </w:trPr>
        <w:tc>
          <w:tcPr>
            <w:tcW w:w="1551" w:type="dxa"/>
            <w:vMerge w:val="continue"/>
            <w:tcBorders>
              <w:tl2br w:val="nil"/>
              <w:tr2bl w:val="nil"/>
            </w:tcBorders>
            <w:noWrap w:val="0"/>
            <w:vAlign w:val="center"/>
          </w:tcPr>
          <w:p>
            <w:pPr>
              <w:jc w:val="center"/>
              <w:rPr>
                <w:rFonts w:hint="eastAsia" w:ascii="仿宋_GB2312" w:hAnsi="宋体" w:eastAsia="仿宋_GB2312" w:cs="仿宋_GB2312"/>
                <w:i w:val="0"/>
                <w:color w:val="auto"/>
                <w:sz w:val="24"/>
                <w:szCs w:val="24"/>
                <w:u w:val="none"/>
              </w:rPr>
            </w:pPr>
          </w:p>
        </w:tc>
        <w:tc>
          <w:tcPr>
            <w:tcW w:w="1658" w:type="dxa"/>
            <w:tcBorders>
              <w:tl2br w:val="nil"/>
              <w:tr2bl w:val="nil"/>
            </w:tcBorders>
            <w:noWrap w:val="0"/>
            <w:vAlign w:val="center"/>
          </w:tcPr>
          <w:p>
            <w:pPr>
              <w:widowControl/>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人工流产后1个月、3个月、6个月和12个月随访率（4分）</w:t>
            </w:r>
          </w:p>
        </w:tc>
        <w:tc>
          <w:tcPr>
            <w:tcW w:w="2807" w:type="dxa"/>
            <w:tcBorders>
              <w:tl2br w:val="nil"/>
              <w:tr2bl w:val="nil"/>
            </w:tcBorders>
            <w:noWrap w:val="0"/>
            <w:vAlign w:val="center"/>
          </w:tcPr>
          <w:p>
            <w:pPr>
              <w:widowControl/>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1个月复诊率≥80%，3个月随访率≥50%，6个月随访率≥40%。</w:t>
            </w:r>
          </w:p>
        </w:tc>
        <w:tc>
          <w:tcPr>
            <w:tcW w:w="3054" w:type="dxa"/>
            <w:tcBorders>
              <w:tl2br w:val="nil"/>
              <w:tr2bl w:val="nil"/>
            </w:tcBorders>
            <w:noWrap w:val="0"/>
            <w:vAlign w:val="center"/>
          </w:tcPr>
          <w:p>
            <w:pPr>
              <w:widowControl/>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1个月复诊率≥90%，3个月随访率≥60%，6个月随访率≥50%，12月随访率≥40%。</w:t>
            </w:r>
          </w:p>
        </w:tc>
        <w:tc>
          <w:tcPr>
            <w:tcW w:w="2682" w:type="dxa"/>
            <w:tcBorders>
              <w:tl2br w:val="nil"/>
              <w:tr2bl w:val="nil"/>
            </w:tcBorders>
            <w:noWrap w:val="0"/>
            <w:vAlign w:val="center"/>
          </w:tcPr>
          <w:p>
            <w:pPr>
              <w:widowControl/>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1个月复诊率≥90%，3个月随访率≥70%，6个月随访率≥60%，12月随访率≥50%。</w:t>
            </w:r>
          </w:p>
        </w:tc>
        <w:tc>
          <w:tcPr>
            <w:tcW w:w="2267" w:type="dxa"/>
            <w:tcBorders>
              <w:tl2br w:val="nil"/>
              <w:tr2bl w:val="nil"/>
            </w:tcBorders>
            <w:noWrap w:val="0"/>
            <w:vAlign w:val="center"/>
          </w:tcPr>
          <w:p>
            <w:pPr>
              <w:widowControl/>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未达标每项每降低5%扣1分，扣完为止。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98" w:hRule="atLeast"/>
          <w:jc w:val="center"/>
        </w:trPr>
        <w:tc>
          <w:tcPr>
            <w:tcW w:w="1551" w:type="dxa"/>
            <w:vMerge w:val="continue"/>
            <w:tcBorders>
              <w:tl2br w:val="nil"/>
              <w:tr2bl w:val="nil"/>
            </w:tcBorders>
            <w:noWrap w:val="0"/>
            <w:vAlign w:val="center"/>
          </w:tcPr>
          <w:p>
            <w:pPr>
              <w:jc w:val="center"/>
              <w:rPr>
                <w:rFonts w:hint="eastAsia" w:ascii="仿宋_GB2312" w:hAnsi="宋体" w:eastAsia="仿宋_GB2312" w:cs="仿宋_GB2312"/>
                <w:i w:val="0"/>
                <w:color w:val="auto"/>
                <w:sz w:val="24"/>
                <w:szCs w:val="24"/>
                <w:u w:val="none"/>
              </w:rPr>
            </w:pPr>
          </w:p>
        </w:tc>
        <w:tc>
          <w:tcPr>
            <w:tcW w:w="1658" w:type="dxa"/>
            <w:tcBorders>
              <w:tl2br w:val="nil"/>
              <w:tr2bl w:val="nil"/>
            </w:tcBorders>
            <w:noWrap w:val="0"/>
            <w:vAlign w:val="center"/>
          </w:tcPr>
          <w:p>
            <w:pPr>
              <w:widowControl/>
              <w:jc w:val="left"/>
              <w:textAlignment w:val="center"/>
              <w:rPr>
                <w:rFonts w:hint="eastAsia" w:ascii="仿宋_GB2312" w:hAnsi="宋体" w:eastAsia="仿宋_GB2312" w:cs="仿宋_GB2312"/>
                <w:i w:val="0"/>
                <w:color w:val="auto"/>
                <w:sz w:val="20"/>
                <w:szCs w:val="20"/>
                <w:highlight w:val="none"/>
                <w:u w:val="none"/>
              </w:rPr>
            </w:pPr>
            <w:r>
              <w:rPr>
                <w:rFonts w:hint="eastAsia" w:ascii="仿宋_GB2312" w:hAnsi="宋体" w:eastAsia="仿宋_GB2312" w:cs="仿宋_GB2312"/>
                <w:i w:val="0"/>
                <w:color w:val="auto"/>
                <w:kern w:val="0"/>
                <w:sz w:val="20"/>
                <w:szCs w:val="20"/>
                <w:highlight w:val="none"/>
                <w:u w:val="none"/>
                <w:lang w:val="en-US" w:eastAsia="zh-CN" w:bidi="ar-SA"/>
              </w:rPr>
              <w:t>人工流产后1个月、3个月、6个月、12个月高效避孕措施续用率（4分）</w:t>
            </w:r>
          </w:p>
        </w:tc>
        <w:tc>
          <w:tcPr>
            <w:tcW w:w="2807" w:type="dxa"/>
            <w:tcBorders>
              <w:tl2br w:val="nil"/>
              <w:tr2bl w:val="nil"/>
            </w:tcBorders>
            <w:noWrap w:val="0"/>
            <w:vAlign w:val="center"/>
          </w:tcPr>
          <w:p>
            <w:pPr>
              <w:widowControl/>
              <w:jc w:val="left"/>
              <w:textAlignment w:val="center"/>
              <w:rPr>
                <w:rFonts w:hint="eastAsia" w:ascii="仿宋_GB2312" w:hAnsi="宋体" w:eastAsia="仿宋_GB2312" w:cs="仿宋_GB2312"/>
                <w:i w:val="0"/>
                <w:color w:val="auto"/>
                <w:sz w:val="20"/>
                <w:szCs w:val="20"/>
                <w:highlight w:val="none"/>
                <w:u w:val="none"/>
              </w:rPr>
            </w:pPr>
            <w:r>
              <w:rPr>
                <w:rFonts w:hint="eastAsia" w:ascii="仿宋_GB2312" w:hAnsi="宋体" w:eastAsia="仿宋_GB2312" w:cs="仿宋_GB2312"/>
                <w:i w:val="0"/>
                <w:color w:val="auto"/>
                <w:kern w:val="0"/>
                <w:sz w:val="20"/>
                <w:szCs w:val="20"/>
                <w:highlight w:val="none"/>
                <w:u w:val="none"/>
                <w:lang w:val="en-US" w:eastAsia="zh-CN" w:bidi="ar-SA"/>
              </w:rPr>
              <w:t>3 个月内避孕措施续用率≥30%，无生育计划人群中6个月、12个月高效避孕措施续用率≥10%。</w:t>
            </w:r>
          </w:p>
        </w:tc>
        <w:tc>
          <w:tcPr>
            <w:tcW w:w="3054" w:type="dxa"/>
            <w:tcBorders>
              <w:tl2br w:val="nil"/>
              <w:tr2bl w:val="nil"/>
            </w:tcBorders>
            <w:noWrap w:val="0"/>
            <w:vAlign w:val="center"/>
          </w:tcPr>
          <w:p>
            <w:pPr>
              <w:widowControl/>
              <w:jc w:val="left"/>
              <w:textAlignment w:val="center"/>
              <w:rPr>
                <w:rFonts w:hint="eastAsia" w:ascii="仿宋_GB2312" w:hAnsi="宋体" w:eastAsia="仿宋_GB2312" w:cs="仿宋_GB2312"/>
                <w:i w:val="0"/>
                <w:color w:val="auto"/>
                <w:sz w:val="20"/>
                <w:szCs w:val="20"/>
                <w:highlight w:val="none"/>
                <w:u w:val="none"/>
              </w:rPr>
            </w:pPr>
            <w:r>
              <w:rPr>
                <w:rFonts w:hint="eastAsia" w:ascii="仿宋_GB2312" w:hAnsi="宋体" w:eastAsia="仿宋_GB2312" w:cs="仿宋_GB2312"/>
                <w:i w:val="0"/>
                <w:color w:val="auto"/>
                <w:kern w:val="0"/>
                <w:sz w:val="20"/>
                <w:szCs w:val="20"/>
                <w:highlight w:val="none"/>
                <w:u w:val="none"/>
                <w:lang w:val="en-US" w:eastAsia="zh-CN" w:bidi="ar-SA"/>
              </w:rPr>
              <w:t>3个月内避孕措施续用率≥50%，无生育计划人群中6个月、12个月高效避孕措施续用率≥15%。</w:t>
            </w:r>
          </w:p>
        </w:tc>
        <w:tc>
          <w:tcPr>
            <w:tcW w:w="2682" w:type="dxa"/>
            <w:tcBorders>
              <w:tl2br w:val="nil"/>
              <w:tr2bl w:val="nil"/>
            </w:tcBorders>
            <w:noWrap w:val="0"/>
            <w:vAlign w:val="center"/>
          </w:tcPr>
          <w:p>
            <w:pPr>
              <w:widowControl/>
              <w:jc w:val="left"/>
              <w:textAlignment w:val="center"/>
              <w:rPr>
                <w:rFonts w:hint="eastAsia" w:ascii="仿宋_GB2312" w:hAnsi="宋体" w:eastAsia="仿宋_GB2312" w:cs="仿宋_GB2312"/>
                <w:i w:val="0"/>
                <w:color w:val="auto"/>
                <w:sz w:val="20"/>
                <w:szCs w:val="20"/>
                <w:highlight w:val="none"/>
                <w:u w:val="none"/>
              </w:rPr>
            </w:pPr>
            <w:r>
              <w:rPr>
                <w:rFonts w:hint="eastAsia" w:ascii="仿宋_GB2312" w:hAnsi="宋体" w:eastAsia="仿宋_GB2312" w:cs="仿宋_GB2312"/>
                <w:i w:val="0"/>
                <w:color w:val="auto"/>
                <w:kern w:val="0"/>
                <w:sz w:val="20"/>
                <w:szCs w:val="20"/>
                <w:highlight w:val="none"/>
                <w:u w:val="none"/>
                <w:lang w:val="en-US" w:eastAsia="zh-CN" w:bidi="ar-SA"/>
              </w:rPr>
              <w:t>3个月内避孕措施续用率≥50%，无生育计划人群中6个月、12个月高效避孕措施续用率≥20%。</w:t>
            </w:r>
          </w:p>
        </w:tc>
        <w:tc>
          <w:tcPr>
            <w:tcW w:w="2267" w:type="dxa"/>
            <w:tcBorders>
              <w:tl2br w:val="nil"/>
              <w:tr2bl w:val="nil"/>
            </w:tcBorders>
            <w:noWrap w:val="0"/>
            <w:vAlign w:val="center"/>
          </w:tcPr>
          <w:p>
            <w:pPr>
              <w:widowControl/>
              <w:jc w:val="left"/>
              <w:textAlignment w:val="center"/>
              <w:rPr>
                <w:rFonts w:hint="eastAsia" w:ascii="仿宋_GB2312" w:hAnsi="宋体" w:eastAsia="仿宋_GB2312" w:cs="仿宋_GB2312"/>
                <w:i w:val="0"/>
                <w:color w:val="auto"/>
                <w:sz w:val="20"/>
                <w:szCs w:val="20"/>
                <w:highlight w:val="none"/>
                <w:u w:val="none"/>
              </w:rPr>
            </w:pPr>
            <w:r>
              <w:rPr>
                <w:rFonts w:hint="eastAsia" w:ascii="仿宋_GB2312" w:hAnsi="宋体" w:eastAsia="仿宋_GB2312" w:cs="仿宋_GB2312"/>
                <w:i w:val="0"/>
                <w:color w:val="auto"/>
                <w:kern w:val="0"/>
                <w:sz w:val="20"/>
                <w:szCs w:val="20"/>
                <w:highlight w:val="none"/>
                <w:u w:val="none"/>
                <w:lang w:val="en-US" w:eastAsia="zh-CN" w:bidi="ar-SA"/>
              </w:rPr>
              <w:t>未达标每项第降低5%扣1分，扣完为止。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84" w:hRule="atLeast"/>
          <w:jc w:val="center"/>
        </w:trPr>
        <w:tc>
          <w:tcPr>
            <w:tcW w:w="1551" w:type="dxa"/>
            <w:vMerge w:val="continue"/>
            <w:tcBorders>
              <w:tl2br w:val="nil"/>
              <w:tr2bl w:val="nil"/>
            </w:tcBorders>
            <w:noWrap w:val="0"/>
            <w:vAlign w:val="center"/>
          </w:tcPr>
          <w:p>
            <w:pPr>
              <w:jc w:val="center"/>
              <w:rPr>
                <w:rFonts w:hint="eastAsia" w:ascii="仿宋_GB2312" w:hAnsi="宋体" w:eastAsia="仿宋_GB2312" w:cs="仿宋_GB2312"/>
                <w:i w:val="0"/>
                <w:color w:val="auto"/>
                <w:sz w:val="24"/>
                <w:szCs w:val="24"/>
                <w:u w:val="none"/>
              </w:rPr>
            </w:pPr>
          </w:p>
        </w:tc>
        <w:tc>
          <w:tcPr>
            <w:tcW w:w="1658" w:type="dxa"/>
            <w:tcBorders>
              <w:tl2br w:val="nil"/>
              <w:tr2bl w:val="nil"/>
            </w:tcBorders>
            <w:noWrap w:val="0"/>
            <w:vAlign w:val="center"/>
          </w:tcPr>
          <w:p>
            <w:pPr>
              <w:widowControl/>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人工流产后6个月、12个月再次人工流产率（8分）</w:t>
            </w:r>
          </w:p>
        </w:tc>
        <w:tc>
          <w:tcPr>
            <w:tcW w:w="2807" w:type="dxa"/>
            <w:tcBorders>
              <w:tl2br w:val="nil"/>
              <w:tr2bl w:val="nil"/>
            </w:tcBorders>
            <w:noWrap w:val="0"/>
            <w:vAlign w:val="center"/>
          </w:tcPr>
          <w:p>
            <w:pPr>
              <w:jc w:val="both"/>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6个月再次人工流产率&lt;0.</w:t>
            </w:r>
            <w:r>
              <w:rPr>
                <w:rFonts w:hint="default" w:ascii="仿宋_GB2312" w:hAnsi="宋体" w:eastAsia="仿宋_GB2312" w:cs="仿宋_GB2312"/>
                <w:i w:val="0"/>
                <w:color w:val="auto"/>
                <w:kern w:val="0"/>
                <w:sz w:val="20"/>
                <w:szCs w:val="20"/>
                <w:u w:val="none"/>
                <w:lang w:val="en" w:eastAsia="zh-CN" w:bidi="ar-SA"/>
              </w:rPr>
              <w:t>5</w:t>
            </w:r>
            <w:r>
              <w:rPr>
                <w:rFonts w:hint="eastAsia" w:ascii="仿宋_GB2312" w:hAnsi="宋体" w:eastAsia="仿宋_GB2312" w:cs="仿宋_GB2312"/>
                <w:i w:val="0"/>
                <w:color w:val="auto"/>
                <w:kern w:val="0"/>
                <w:sz w:val="20"/>
                <w:szCs w:val="20"/>
                <w:u w:val="none"/>
                <w:lang w:val="en-US" w:eastAsia="zh-CN" w:bidi="ar-SA"/>
              </w:rPr>
              <w:t>%，12个月再次人工流产率&lt;0.</w:t>
            </w:r>
            <w:r>
              <w:rPr>
                <w:rFonts w:hint="default" w:ascii="仿宋_GB2312" w:hAnsi="宋体" w:eastAsia="仿宋_GB2312" w:cs="仿宋_GB2312"/>
                <w:i w:val="0"/>
                <w:color w:val="auto"/>
                <w:kern w:val="0"/>
                <w:sz w:val="20"/>
                <w:szCs w:val="20"/>
                <w:u w:val="none"/>
                <w:lang w:val="en" w:eastAsia="zh-CN" w:bidi="ar-SA"/>
              </w:rPr>
              <w:t>8</w:t>
            </w:r>
            <w:r>
              <w:rPr>
                <w:rFonts w:hint="eastAsia" w:ascii="仿宋_GB2312" w:hAnsi="宋体" w:eastAsia="仿宋_GB2312" w:cs="仿宋_GB2312"/>
                <w:i w:val="0"/>
                <w:color w:val="auto"/>
                <w:kern w:val="0"/>
                <w:sz w:val="20"/>
                <w:szCs w:val="20"/>
                <w:u w:val="none"/>
                <w:lang w:val="en-US" w:eastAsia="zh-CN" w:bidi="ar-SA"/>
              </w:rPr>
              <w:t>%。</w:t>
            </w:r>
          </w:p>
        </w:tc>
        <w:tc>
          <w:tcPr>
            <w:tcW w:w="3054" w:type="dxa"/>
            <w:tcBorders>
              <w:tl2br w:val="nil"/>
              <w:tr2bl w:val="nil"/>
            </w:tcBorders>
            <w:noWrap w:val="0"/>
            <w:vAlign w:val="center"/>
          </w:tcPr>
          <w:p>
            <w:pPr>
              <w:widowControl/>
              <w:jc w:val="both"/>
              <w:textAlignment w:val="center"/>
              <w:rPr>
                <w:rFonts w:hint="eastAsia" w:ascii="仿宋_GB2312" w:hAnsi="宋体" w:eastAsia="仿宋_GB2312" w:cs="仿宋_GB2312"/>
                <w:i w:val="0"/>
                <w:color w:val="auto"/>
                <w:kern w:val="0"/>
                <w:sz w:val="20"/>
                <w:szCs w:val="20"/>
                <w:u w:val="none"/>
                <w:lang w:val="en-US" w:eastAsia="zh-CN" w:bidi="ar-SA"/>
              </w:rPr>
            </w:pPr>
            <w:r>
              <w:rPr>
                <w:rFonts w:hint="eastAsia" w:ascii="仿宋_GB2312" w:hAnsi="宋体" w:eastAsia="仿宋_GB2312" w:cs="仿宋_GB2312"/>
                <w:i w:val="0"/>
                <w:color w:val="auto"/>
                <w:kern w:val="0"/>
                <w:sz w:val="20"/>
                <w:szCs w:val="20"/>
                <w:u w:val="none"/>
                <w:lang w:val="en-US" w:eastAsia="zh-CN" w:bidi="ar-SA"/>
              </w:rPr>
              <w:t xml:space="preserve">6个月再次人工流产率&lt;0.3%，12个月再次人工流产率&lt;0.5%。 </w:t>
            </w:r>
          </w:p>
        </w:tc>
        <w:tc>
          <w:tcPr>
            <w:tcW w:w="2682" w:type="dxa"/>
            <w:tcBorders>
              <w:tl2br w:val="nil"/>
              <w:tr2bl w:val="nil"/>
            </w:tcBorders>
            <w:noWrap w:val="0"/>
            <w:vAlign w:val="center"/>
          </w:tcPr>
          <w:p>
            <w:pPr>
              <w:widowControl/>
              <w:jc w:val="both"/>
              <w:textAlignment w:val="center"/>
              <w:rPr>
                <w:rFonts w:hint="default" w:ascii="仿宋_GB2312" w:hAnsi="宋体" w:eastAsia="仿宋_GB2312" w:cs="仿宋_GB2312"/>
                <w:i w:val="0"/>
                <w:color w:val="auto"/>
                <w:kern w:val="0"/>
                <w:sz w:val="20"/>
                <w:szCs w:val="20"/>
                <w:u w:val="none"/>
                <w:lang w:val="en" w:eastAsia="zh-CN" w:bidi="ar-SA"/>
              </w:rPr>
            </w:pPr>
            <w:r>
              <w:rPr>
                <w:rFonts w:hint="eastAsia" w:ascii="仿宋_GB2312" w:hAnsi="宋体" w:eastAsia="仿宋_GB2312" w:cs="仿宋_GB2312"/>
                <w:i w:val="0"/>
                <w:color w:val="auto"/>
                <w:kern w:val="0"/>
                <w:sz w:val="20"/>
                <w:szCs w:val="20"/>
                <w:u w:val="none"/>
                <w:lang w:val="en-US" w:eastAsia="zh-CN" w:bidi="ar-SA"/>
              </w:rPr>
              <w:t>同</w:t>
            </w:r>
            <w:r>
              <w:rPr>
                <w:rFonts w:hint="default" w:ascii="仿宋_GB2312" w:hAnsi="宋体" w:eastAsia="仿宋_GB2312" w:cs="仿宋_GB2312"/>
                <w:i w:val="0"/>
                <w:color w:val="auto"/>
                <w:kern w:val="0"/>
                <w:sz w:val="20"/>
                <w:szCs w:val="20"/>
                <w:u w:val="none"/>
                <w:lang w:val="en" w:eastAsia="zh-CN" w:bidi="ar-SA"/>
              </w:rPr>
              <w:t>AA</w:t>
            </w:r>
            <w:r>
              <w:rPr>
                <w:rFonts w:hint="eastAsia" w:ascii="仿宋_GB2312" w:hAnsi="宋体" w:eastAsia="仿宋_GB2312" w:cs="仿宋_GB2312"/>
                <w:i w:val="0"/>
                <w:color w:val="auto"/>
                <w:kern w:val="0"/>
                <w:sz w:val="20"/>
                <w:szCs w:val="20"/>
                <w:u w:val="none"/>
                <w:lang w:val="en-US" w:eastAsia="zh-CN" w:bidi="ar-SA"/>
              </w:rPr>
              <w:t>。</w:t>
            </w:r>
          </w:p>
        </w:tc>
        <w:tc>
          <w:tcPr>
            <w:tcW w:w="2267" w:type="dxa"/>
            <w:tcBorders>
              <w:tl2br w:val="nil"/>
              <w:tr2bl w:val="nil"/>
            </w:tcBorders>
            <w:noWrap w:val="0"/>
            <w:vAlign w:val="center"/>
          </w:tcPr>
          <w:p>
            <w:pPr>
              <w:widowControl/>
              <w:jc w:val="both"/>
              <w:textAlignment w:val="center"/>
              <w:rPr>
                <w:rFonts w:hint="eastAsia" w:ascii="仿宋_GB2312" w:hAnsi="宋体" w:eastAsia="仿宋_GB2312" w:cs="仿宋_GB2312"/>
                <w:i w:val="0"/>
                <w:color w:val="auto"/>
                <w:kern w:val="0"/>
                <w:sz w:val="20"/>
                <w:szCs w:val="20"/>
                <w:u w:val="none"/>
                <w:lang w:val="en-US" w:eastAsia="zh-CN" w:bidi="ar-SA"/>
              </w:rPr>
            </w:pPr>
            <w:r>
              <w:rPr>
                <w:rFonts w:hint="eastAsia" w:ascii="仿宋_GB2312" w:hAnsi="宋体" w:eastAsia="仿宋_GB2312" w:cs="仿宋_GB2312"/>
                <w:i w:val="0"/>
                <w:color w:val="auto"/>
                <w:kern w:val="0"/>
                <w:sz w:val="20"/>
                <w:szCs w:val="20"/>
                <w:u w:val="none"/>
                <w:lang w:val="en-US" w:eastAsia="zh-CN" w:bidi="ar-SA"/>
              </w:rPr>
              <w:t>未达标每项每升高0.5% 扣2分，扣完为止。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15" w:hRule="atLeast"/>
          <w:jc w:val="center"/>
        </w:trPr>
        <w:tc>
          <w:tcPr>
            <w:tcW w:w="1551" w:type="dxa"/>
            <w:vMerge w:val="continue"/>
            <w:tcBorders>
              <w:tl2br w:val="nil"/>
              <w:tr2bl w:val="nil"/>
            </w:tcBorders>
            <w:noWrap w:val="0"/>
            <w:vAlign w:val="center"/>
          </w:tcPr>
          <w:p>
            <w:pPr>
              <w:jc w:val="center"/>
              <w:rPr>
                <w:rFonts w:hint="eastAsia" w:ascii="仿宋_GB2312" w:hAnsi="宋体" w:eastAsia="仿宋_GB2312" w:cs="仿宋_GB2312"/>
                <w:i w:val="0"/>
                <w:color w:val="auto"/>
                <w:sz w:val="24"/>
                <w:szCs w:val="24"/>
                <w:u w:val="none"/>
              </w:rPr>
            </w:pPr>
          </w:p>
        </w:tc>
        <w:tc>
          <w:tcPr>
            <w:tcW w:w="1658" w:type="dxa"/>
            <w:tcBorders>
              <w:tl2br w:val="nil"/>
              <w:tr2bl w:val="nil"/>
            </w:tcBorders>
            <w:noWrap w:val="0"/>
            <w:vAlign w:val="center"/>
          </w:tcPr>
          <w:p>
            <w:pPr>
              <w:widowControl/>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人工流产后避孕服务满意度（4分）</w:t>
            </w:r>
          </w:p>
        </w:tc>
        <w:tc>
          <w:tcPr>
            <w:tcW w:w="2807" w:type="dxa"/>
            <w:tcBorders>
              <w:tl2br w:val="nil"/>
              <w:tr2bl w:val="nil"/>
            </w:tcBorders>
            <w:noWrap w:val="0"/>
            <w:vAlign w:val="center"/>
          </w:tcPr>
          <w:p>
            <w:pPr>
              <w:widowControl/>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服务对象满意度&gt;90%。</w:t>
            </w:r>
          </w:p>
        </w:tc>
        <w:tc>
          <w:tcPr>
            <w:tcW w:w="3054" w:type="dxa"/>
            <w:tcBorders>
              <w:tl2br w:val="nil"/>
              <w:tr2bl w:val="nil"/>
            </w:tcBorders>
            <w:noWrap w:val="0"/>
            <w:vAlign w:val="center"/>
          </w:tcPr>
          <w:p>
            <w:pPr>
              <w:widowControl/>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服务对象满意度&gt;90%。</w:t>
            </w:r>
          </w:p>
        </w:tc>
        <w:tc>
          <w:tcPr>
            <w:tcW w:w="2682" w:type="dxa"/>
            <w:tcBorders>
              <w:tl2br w:val="nil"/>
              <w:tr2bl w:val="nil"/>
            </w:tcBorders>
            <w:noWrap w:val="0"/>
            <w:vAlign w:val="center"/>
          </w:tcPr>
          <w:p>
            <w:pPr>
              <w:widowControl/>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服务对象满意度&gt;90%。</w:t>
            </w:r>
          </w:p>
        </w:tc>
        <w:tc>
          <w:tcPr>
            <w:tcW w:w="2267" w:type="dxa"/>
            <w:tcBorders>
              <w:tl2br w:val="nil"/>
              <w:tr2bl w:val="nil"/>
            </w:tcBorders>
            <w:noWrap w:val="0"/>
            <w:vAlign w:val="center"/>
          </w:tcPr>
          <w:p>
            <w:pPr>
              <w:widowControl/>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SA"/>
              </w:rPr>
              <w:t>未达标每降低5%扣1分，扣完为止。</w:t>
            </w:r>
          </w:p>
        </w:tc>
      </w:tr>
    </w:tbl>
    <w:p>
      <w:pPr>
        <w:rPr>
          <w:rFonts w:hint="eastAsia" w:ascii="仿宋_GB2312" w:hAnsi="仿宋_GB2312" w:eastAsia="仿宋_GB2312" w:cs="仿宋_GB2312"/>
          <w:color w:val="auto"/>
          <w:sz w:val="30"/>
          <w:szCs w:val="30"/>
          <w:lang w:eastAsia="zh-CN"/>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pPr>
      <w:r>
        <w:rPr>
          <w:rFonts w:hint="eastAsia" w:ascii="仿宋_GB2312" w:hAnsi="仿宋_GB2312" w:eastAsia="仿宋_GB2312" w:cs="仿宋_GB2312"/>
          <w:color w:val="auto"/>
          <w:sz w:val="30"/>
          <w:szCs w:val="30"/>
          <w:lang w:eastAsia="zh-CN"/>
        </w:rPr>
        <w:t>　　备注：总分</w:t>
      </w:r>
      <w:r>
        <w:rPr>
          <w:rFonts w:hint="eastAsia" w:ascii="仿宋_GB2312" w:hAnsi="仿宋_GB2312" w:eastAsia="仿宋_GB2312" w:cs="仿宋_GB2312"/>
          <w:color w:val="auto"/>
          <w:sz w:val="30"/>
          <w:szCs w:val="30"/>
          <w:lang w:val="en-US" w:eastAsia="zh-CN"/>
        </w:rPr>
        <w:t>100分，80分以上达标。</w:t>
      </w:r>
    </w:p>
    <w:p>
      <w:pPr>
        <w:rPr>
          <w:rFonts w:ascii="黑体" w:hAnsi="黑体" w:eastAsia="黑体" w:cs="黑体"/>
          <w:color w:val="auto"/>
          <w:sz w:val="32"/>
          <w:szCs w:val="32"/>
        </w:rPr>
      </w:pPr>
      <w:r>
        <w:rPr>
          <w:rFonts w:hint="eastAsia" w:ascii="黑体" w:hAnsi="黑体" w:eastAsia="黑体" w:cs="黑体"/>
          <w:color w:val="auto"/>
          <w:sz w:val="32"/>
          <w:szCs w:val="32"/>
        </w:rPr>
        <w:t>附件2</w:t>
      </w:r>
    </w:p>
    <w:p>
      <w:pPr>
        <w:jc w:val="center"/>
        <w:rPr>
          <w:rFonts w:ascii="方正小标宋简体" w:hAnsi="方正小标宋简体" w:eastAsia="方正小标宋简体" w:cs="方正小标宋简体"/>
          <w:color w:val="auto"/>
          <w:sz w:val="44"/>
          <w:szCs w:val="44"/>
        </w:rPr>
      </w:pPr>
    </w:p>
    <w:p>
      <w:pPr>
        <w:jc w:val="center"/>
        <w:rPr>
          <w:rFonts w:ascii="方正小标宋简体" w:hAnsi="方正小标宋简体" w:eastAsia="方正小标宋简体" w:cs="方正小标宋简体"/>
          <w:color w:val="auto"/>
          <w:sz w:val="44"/>
          <w:szCs w:val="44"/>
        </w:rPr>
      </w:pPr>
    </w:p>
    <w:p>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北京市</w:t>
      </w:r>
      <w:r>
        <w:rPr>
          <w:rFonts w:hint="eastAsia" w:ascii="方正小标宋简体" w:hAnsi="方正小标宋简体" w:eastAsia="方正小标宋简体" w:cs="方正小标宋简体"/>
          <w:color w:val="auto"/>
          <w:sz w:val="44"/>
          <w:szCs w:val="44"/>
          <w:lang w:eastAsia="zh-CN"/>
        </w:rPr>
        <w:t>人工</w:t>
      </w:r>
      <w:r>
        <w:rPr>
          <w:rFonts w:hint="eastAsia" w:ascii="方正小标宋简体" w:hAnsi="方正小标宋简体" w:eastAsia="方正小标宋简体" w:cs="方正小标宋简体"/>
          <w:bCs/>
          <w:color w:val="auto"/>
          <w:sz w:val="44"/>
          <w:szCs w:val="44"/>
        </w:rPr>
        <w:t>流产后</w:t>
      </w:r>
      <w:r>
        <w:rPr>
          <w:rFonts w:hint="eastAsia" w:ascii="方正小标宋简体" w:hAnsi="方正小标宋简体" w:eastAsia="方正小标宋简体" w:cs="方正小标宋简体"/>
          <w:bCs/>
          <w:color w:val="auto"/>
          <w:sz w:val="44"/>
          <w:szCs w:val="44"/>
          <w:lang w:val="en-US" w:eastAsia="zh-CN"/>
        </w:rPr>
        <w:t>避孕</w:t>
      </w:r>
      <w:r>
        <w:rPr>
          <w:rFonts w:hint="eastAsia" w:ascii="方正小标宋简体" w:hAnsi="方正小标宋简体" w:eastAsia="方正小标宋简体" w:cs="方正小标宋简体"/>
          <w:bCs/>
          <w:color w:val="auto"/>
          <w:sz w:val="44"/>
          <w:szCs w:val="44"/>
        </w:rPr>
        <w:t>服务</w:t>
      </w:r>
      <w:r>
        <w:rPr>
          <w:rFonts w:hint="eastAsia" w:ascii="方正小标宋简体" w:hAnsi="方正小标宋简体" w:eastAsia="方正小标宋简体" w:cs="方正小标宋简体"/>
          <w:color w:val="auto"/>
          <w:sz w:val="44"/>
          <w:szCs w:val="44"/>
        </w:rPr>
        <w:t>申报书</w:t>
      </w:r>
    </w:p>
    <w:p>
      <w:pPr>
        <w:rPr>
          <w:rFonts w:ascii="仿宋_GB2312" w:hAnsi="仿宋_GB2312" w:eastAsia="仿宋_GB2312" w:cs="仿宋_GB2312"/>
          <w:color w:val="auto"/>
          <w:sz w:val="32"/>
          <w:szCs w:val="32"/>
        </w:rPr>
      </w:pPr>
    </w:p>
    <w:p>
      <w:pPr>
        <w:rPr>
          <w:rFonts w:ascii="仿宋_GB2312" w:hAnsi="仿宋_GB2312" w:eastAsia="仿宋_GB2312" w:cs="仿宋_GB2312"/>
          <w:color w:val="auto"/>
          <w:sz w:val="32"/>
          <w:szCs w:val="32"/>
        </w:rPr>
      </w:pPr>
    </w:p>
    <w:p>
      <w:pPr>
        <w:rPr>
          <w:rFonts w:ascii="仿宋_GB2312" w:hAnsi="仿宋_GB2312" w:eastAsia="仿宋_GB2312" w:cs="仿宋_GB2312"/>
          <w:color w:val="auto"/>
          <w:sz w:val="32"/>
          <w:szCs w:val="32"/>
        </w:rPr>
      </w:pPr>
    </w:p>
    <w:p>
      <w:pPr>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申报机构（公章）</w:t>
      </w:r>
      <w:r>
        <w:rPr>
          <w:rFonts w:hint="eastAsia" w:ascii="仿宋_GB2312" w:hAnsi="仿宋_GB2312" w:eastAsia="仿宋_GB2312" w:cs="仿宋_GB2312"/>
          <w:color w:val="auto"/>
          <w:sz w:val="32"/>
          <w:szCs w:val="32"/>
          <w:u w:val="single"/>
        </w:rPr>
        <w:t xml:space="preserve">                        </w:t>
      </w:r>
    </w:p>
    <w:p>
      <w:pPr>
        <w:rPr>
          <w:rFonts w:ascii="仿宋_GB2312" w:hAnsi="仿宋_GB2312" w:eastAsia="仿宋_GB2312" w:cs="仿宋_GB2312"/>
          <w:color w:val="auto"/>
          <w:sz w:val="32"/>
          <w:szCs w:val="32"/>
          <w:u w:val="single"/>
        </w:rPr>
      </w:pPr>
    </w:p>
    <w:p>
      <w:pPr>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申报日期</w:t>
      </w:r>
      <w:r>
        <w:rPr>
          <w:rFonts w:hint="eastAsia" w:ascii="仿宋_GB2312" w:hAnsi="仿宋_GB2312" w:eastAsia="仿宋_GB2312" w:cs="仿宋_GB2312"/>
          <w:color w:val="auto"/>
          <w:sz w:val="32"/>
          <w:szCs w:val="32"/>
          <w:u w:val="single"/>
        </w:rPr>
        <w:t xml:space="preserve">                       </w:t>
      </w:r>
    </w:p>
    <w:p>
      <w:pPr>
        <w:rPr>
          <w:rFonts w:ascii="仿宋_GB2312" w:hAnsi="仿宋_GB2312" w:eastAsia="仿宋_GB2312" w:cs="仿宋_GB2312"/>
          <w:color w:val="auto"/>
          <w:sz w:val="32"/>
          <w:szCs w:val="32"/>
        </w:rPr>
      </w:pPr>
    </w:p>
    <w:p>
      <w:pP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申报级别：</w:t>
      </w:r>
      <w:r>
        <w:rPr>
          <w:rFonts w:hint="eastAsia" w:ascii="仿宋" w:hAnsi="仿宋" w:eastAsia="仿宋" w:cs="仿宋_GB2312"/>
          <w:color w:val="auto"/>
          <w:sz w:val="32"/>
          <w:szCs w:val="32"/>
        </w:rPr>
        <w:t xml:space="preserve">□  </w:t>
      </w:r>
      <w:r>
        <w:rPr>
          <w:rFonts w:hint="eastAsia" w:ascii="仿宋_GB2312" w:hAnsi="仿宋_GB2312" w:eastAsia="仿宋_GB2312" w:cs="仿宋_GB2312"/>
          <w:color w:val="auto"/>
          <w:sz w:val="32"/>
          <w:szCs w:val="32"/>
        </w:rPr>
        <w:t xml:space="preserve">A             </w:t>
      </w:r>
    </w:p>
    <w:p>
      <w:pP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 w:hAnsi="仿宋" w:eastAsia="仿宋" w:cs="仿宋_GB2312"/>
          <w:color w:val="auto"/>
          <w:sz w:val="32"/>
          <w:szCs w:val="32"/>
        </w:rPr>
        <w:t>□</w:t>
      </w:r>
      <w:r>
        <w:rPr>
          <w:rFonts w:hint="eastAsia" w:ascii="仿宋_GB2312" w:hAnsi="仿宋_GB2312" w:eastAsia="仿宋_GB2312" w:cs="仿宋_GB2312"/>
          <w:color w:val="auto"/>
          <w:sz w:val="32"/>
          <w:szCs w:val="32"/>
        </w:rPr>
        <w:t xml:space="preserve">  AA </w:t>
      </w:r>
    </w:p>
    <w:p>
      <w:pP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 w:hAnsi="仿宋" w:eastAsia="仿宋" w:cs="仿宋_GB2312"/>
          <w:color w:val="auto"/>
          <w:sz w:val="32"/>
          <w:szCs w:val="32"/>
        </w:rPr>
        <w:t xml:space="preserve">□  </w:t>
      </w:r>
      <w:r>
        <w:rPr>
          <w:rFonts w:hint="eastAsia" w:ascii="仿宋_GB2312" w:hAnsi="仿宋_GB2312" w:eastAsia="仿宋_GB2312" w:cs="仿宋_GB2312"/>
          <w:color w:val="auto"/>
          <w:sz w:val="32"/>
          <w:szCs w:val="32"/>
        </w:rPr>
        <w:t>AAA</w:t>
      </w:r>
    </w:p>
    <w:p>
      <w:pPr>
        <w:rPr>
          <w:rFonts w:ascii="仿宋_GB2312" w:hAnsi="仿宋_GB2312" w:eastAsia="仿宋_GB2312" w:cs="仿宋_GB2312"/>
          <w:color w:val="auto"/>
          <w:sz w:val="32"/>
          <w:szCs w:val="32"/>
        </w:rPr>
      </w:pPr>
    </w:p>
    <w:p>
      <w:pPr>
        <w:jc w:val="center"/>
        <w:rPr>
          <w:rFonts w:ascii="仿宋_GB2312" w:hAnsi="仿宋_GB2312" w:eastAsia="仿宋_GB2312" w:cs="仿宋_GB2312"/>
          <w:color w:val="auto"/>
          <w:sz w:val="32"/>
          <w:szCs w:val="32"/>
        </w:rPr>
      </w:pPr>
    </w:p>
    <w:p>
      <w:pPr>
        <w:adjustRightInd w:val="0"/>
        <w:snapToGrid w:val="0"/>
        <w:spacing w:line="380" w:lineRule="exact"/>
        <w:rPr>
          <w:rFonts w:hint="eastAsia" w:ascii="仿宋_GB2312" w:hAnsi="宋体" w:eastAsia="仿宋_GB2312"/>
          <w:b/>
          <w:color w:val="auto"/>
          <w:sz w:val="28"/>
          <w:szCs w:val="28"/>
        </w:rPr>
      </w:pPr>
      <w:r>
        <w:rPr>
          <w:rFonts w:hint="eastAsia" w:ascii="仿宋_GB2312" w:hAnsi="宋体" w:eastAsia="仿宋_GB2312"/>
          <w:b/>
          <w:color w:val="auto"/>
          <w:sz w:val="28"/>
          <w:szCs w:val="28"/>
        </w:rPr>
        <w:t xml:space="preserve"> </w:t>
      </w:r>
    </w:p>
    <w:p>
      <w:pPr>
        <w:rPr>
          <w:rFonts w:hint="eastAsia" w:ascii="仿宋_GB2312" w:hAnsi="宋体" w:eastAsia="仿宋_GB2312"/>
          <w:b/>
          <w:color w:val="auto"/>
          <w:sz w:val="28"/>
          <w:szCs w:val="28"/>
        </w:rPr>
      </w:pPr>
    </w:p>
    <w:p>
      <w:pPr>
        <w:rPr>
          <w:rFonts w:hint="eastAsia" w:ascii="仿宋_GB2312" w:hAnsi="宋体" w:eastAsia="仿宋_GB2312"/>
          <w:b/>
          <w:color w:val="auto"/>
          <w:sz w:val="28"/>
          <w:szCs w:val="28"/>
        </w:rPr>
      </w:pPr>
    </w:p>
    <w:p>
      <w:pPr>
        <w:rPr>
          <w:rFonts w:hint="eastAsia" w:ascii="仿宋_GB2312" w:hAnsi="宋体" w:eastAsia="仿宋_GB2312"/>
          <w:b/>
          <w:color w:val="auto"/>
          <w:sz w:val="28"/>
          <w:szCs w:val="28"/>
        </w:rPr>
      </w:pPr>
    </w:p>
    <w:p>
      <w:pPr>
        <w:adjustRightInd w:val="0"/>
        <w:snapToGrid w:val="0"/>
        <w:spacing w:line="380" w:lineRule="exact"/>
        <w:rPr>
          <w:rFonts w:hint="eastAsia" w:ascii="仿宋_GB2312" w:hAnsi="宋体" w:eastAsia="仿宋_GB2312"/>
          <w:b/>
          <w:color w:val="auto"/>
          <w:sz w:val="28"/>
          <w:szCs w:val="28"/>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7"/>
        <w:gridCol w:w="1685"/>
        <w:gridCol w:w="1213"/>
        <w:gridCol w:w="2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8430" w:type="dxa"/>
            <w:gridSpan w:val="4"/>
            <w:noWrap w:val="0"/>
            <w:vAlign w:val="center"/>
          </w:tcPr>
          <w:p>
            <w:pPr>
              <w:adjustRightInd w:val="0"/>
              <w:snapToGrid w:val="0"/>
              <w:spacing w:line="380" w:lineRule="exact"/>
              <w:jc w:val="both"/>
              <w:rPr>
                <w:rFonts w:ascii="仿宋_GB2312" w:hAnsi="宋体" w:eastAsia="仿宋_GB2312"/>
                <w:color w:val="auto"/>
                <w:sz w:val="24"/>
              </w:rPr>
            </w:pPr>
            <w:r>
              <w:rPr>
                <w:rFonts w:hint="eastAsia" w:ascii="方正黑体_GBK" w:hAnsi="方正黑体_GBK" w:eastAsia="方正黑体_GBK" w:cs="方正黑体_GBK"/>
                <w:b w:val="0"/>
                <w:bCs/>
                <w:color w:val="auto"/>
                <w:sz w:val="24"/>
                <w:szCs w:val="24"/>
                <w:lang w:eastAsia="zh-CN"/>
              </w:rPr>
              <w:t>一、基本情况</w:t>
            </w:r>
            <w:r>
              <w:rPr>
                <w:rFonts w:hint="eastAsia" w:ascii="仿宋_GB2312" w:hAnsi="宋体" w:eastAsia="仿宋_GB2312"/>
                <w:b w:val="0"/>
                <w:bCs/>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2917" w:type="dxa"/>
            <w:noWrap w:val="0"/>
            <w:vAlign w:val="center"/>
          </w:tcPr>
          <w:p>
            <w:pPr>
              <w:jc w:val="center"/>
              <w:rPr>
                <w:rFonts w:ascii="仿宋_GB2312" w:hAnsi="宋体" w:eastAsia="仿宋_GB2312"/>
                <w:color w:val="auto"/>
                <w:sz w:val="24"/>
              </w:rPr>
            </w:pPr>
            <w:r>
              <w:rPr>
                <w:rFonts w:hint="eastAsia" w:ascii="仿宋_GB2312" w:hAnsi="宋体" w:eastAsia="仿宋_GB2312"/>
                <w:color w:val="auto"/>
                <w:sz w:val="24"/>
              </w:rPr>
              <w:t>机构名称</w:t>
            </w:r>
          </w:p>
        </w:tc>
        <w:tc>
          <w:tcPr>
            <w:tcW w:w="5513" w:type="dxa"/>
            <w:gridSpan w:val="3"/>
            <w:noWrap w:val="0"/>
            <w:vAlign w:val="center"/>
          </w:tcPr>
          <w:p>
            <w:pPr>
              <w:jc w:val="center"/>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2917" w:type="dxa"/>
            <w:noWrap w:val="0"/>
            <w:vAlign w:val="center"/>
          </w:tcPr>
          <w:p>
            <w:pPr>
              <w:jc w:val="center"/>
              <w:rPr>
                <w:rFonts w:ascii="仿宋_GB2312" w:hAnsi="宋体" w:eastAsia="仿宋_GB2312"/>
                <w:color w:val="auto"/>
                <w:sz w:val="24"/>
              </w:rPr>
            </w:pPr>
            <w:r>
              <w:rPr>
                <w:rFonts w:hint="eastAsia" w:ascii="仿宋_GB2312" w:hAnsi="宋体" w:eastAsia="仿宋_GB2312"/>
                <w:color w:val="auto"/>
                <w:sz w:val="24"/>
              </w:rPr>
              <w:t>地    址</w:t>
            </w:r>
          </w:p>
        </w:tc>
        <w:tc>
          <w:tcPr>
            <w:tcW w:w="5513" w:type="dxa"/>
            <w:gridSpan w:val="3"/>
            <w:noWrap w:val="0"/>
            <w:vAlign w:val="center"/>
          </w:tcPr>
          <w:p>
            <w:pPr>
              <w:jc w:val="center"/>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2917" w:type="dxa"/>
            <w:noWrap w:val="0"/>
            <w:vAlign w:val="center"/>
          </w:tcPr>
          <w:p>
            <w:pPr>
              <w:jc w:val="center"/>
              <w:rPr>
                <w:rFonts w:ascii="仿宋_GB2312" w:hAnsi="宋体" w:eastAsia="仿宋_GB2312"/>
                <w:color w:val="auto"/>
                <w:sz w:val="24"/>
              </w:rPr>
            </w:pPr>
            <w:r>
              <w:rPr>
                <w:rFonts w:hint="eastAsia" w:ascii="仿宋_GB2312" w:hAnsi="宋体" w:eastAsia="仿宋_GB2312"/>
                <w:color w:val="auto"/>
                <w:sz w:val="24"/>
                <w:lang w:eastAsia="zh-CN"/>
              </w:rPr>
              <w:t>工作</w:t>
            </w:r>
            <w:r>
              <w:rPr>
                <w:rFonts w:hint="eastAsia" w:ascii="仿宋_GB2312" w:hAnsi="宋体" w:eastAsia="仿宋_GB2312"/>
                <w:color w:val="auto"/>
                <w:sz w:val="24"/>
              </w:rPr>
              <w:t>负责人姓名</w:t>
            </w:r>
          </w:p>
        </w:tc>
        <w:tc>
          <w:tcPr>
            <w:tcW w:w="1685" w:type="dxa"/>
            <w:noWrap w:val="0"/>
            <w:vAlign w:val="center"/>
          </w:tcPr>
          <w:p>
            <w:pPr>
              <w:jc w:val="center"/>
              <w:rPr>
                <w:rFonts w:ascii="仿宋_GB2312" w:hAnsi="宋体" w:eastAsia="仿宋_GB2312"/>
                <w:color w:val="auto"/>
                <w:sz w:val="24"/>
              </w:rPr>
            </w:pPr>
          </w:p>
        </w:tc>
        <w:tc>
          <w:tcPr>
            <w:tcW w:w="1213" w:type="dxa"/>
            <w:noWrap w:val="0"/>
            <w:vAlign w:val="center"/>
          </w:tcPr>
          <w:p>
            <w:pPr>
              <w:jc w:val="center"/>
              <w:rPr>
                <w:rFonts w:ascii="仿宋_GB2312" w:hAnsi="宋体" w:eastAsia="仿宋_GB2312"/>
                <w:color w:val="auto"/>
                <w:sz w:val="24"/>
              </w:rPr>
            </w:pPr>
            <w:r>
              <w:rPr>
                <w:rFonts w:hint="eastAsia" w:ascii="仿宋_GB2312" w:hAnsi="宋体" w:eastAsia="仿宋_GB2312"/>
                <w:color w:val="auto"/>
                <w:sz w:val="24"/>
              </w:rPr>
              <w:t>联系电话</w:t>
            </w:r>
          </w:p>
        </w:tc>
        <w:tc>
          <w:tcPr>
            <w:tcW w:w="2615" w:type="dxa"/>
            <w:noWrap w:val="0"/>
            <w:vAlign w:val="center"/>
          </w:tcPr>
          <w:p>
            <w:pPr>
              <w:jc w:val="center"/>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5" w:hRule="exact"/>
          <w:jc w:val="center"/>
        </w:trPr>
        <w:tc>
          <w:tcPr>
            <w:tcW w:w="8430" w:type="dxa"/>
            <w:gridSpan w:val="4"/>
            <w:noWrap w:val="0"/>
            <w:vAlign w:val="top"/>
          </w:tcPr>
          <w:p>
            <w:pPr>
              <w:numPr>
                <w:ilvl w:val="0"/>
                <w:numId w:val="4"/>
              </w:numPr>
              <w:jc w:val="both"/>
              <w:rPr>
                <w:rFonts w:hint="eastAsia" w:ascii="方正黑体_GBK" w:hAnsi="方正黑体_GBK" w:eastAsia="方正黑体_GBK" w:cs="方正黑体_GBK"/>
                <w:bCs/>
                <w:color w:val="auto"/>
                <w:sz w:val="24"/>
              </w:rPr>
            </w:pPr>
            <w:r>
              <w:rPr>
                <w:rFonts w:hint="eastAsia" w:ascii="方正黑体_GBK" w:hAnsi="方正黑体_GBK" w:eastAsia="方正黑体_GBK" w:cs="方正黑体_GBK"/>
                <w:color w:val="auto"/>
                <w:sz w:val="24"/>
                <w:lang w:eastAsia="zh-CN"/>
              </w:rPr>
              <w:t>人工</w:t>
            </w:r>
            <w:r>
              <w:rPr>
                <w:rFonts w:hint="eastAsia" w:ascii="方正黑体_GBK" w:hAnsi="方正黑体_GBK" w:eastAsia="方正黑体_GBK" w:cs="方正黑体_GBK"/>
                <w:color w:val="auto"/>
                <w:sz w:val="24"/>
              </w:rPr>
              <w:t>流产后</w:t>
            </w:r>
            <w:r>
              <w:rPr>
                <w:rFonts w:hint="eastAsia" w:ascii="方正黑体_GBK" w:hAnsi="方正黑体_GBK" w:eastAsia="方正黑体_GBK" w:cs="方正黑体_GBK"/>
                <w:color w:val="auto"/>
                <w:sz w:val="24"/>
                <w:lang w:eastAsia="zh-CN"/>
              </w:rPr>
              <w:t>避孕</w:t>
            </w:r>
            <w:r>
              <w:rPr>
                <w:rFonts w:hint="eastAsia" w:ascii="方正黑体_GBK" w:hAnsi="方正黑体_GBK" w:eastAsia="方正黑体_GBK" w:cs="方正黑体_GBK"/>
                <w:color w:val="auto"/>
                <w:sz w:val="24"/>
              </w:rPr>
              <w:t>服务</w:t>
            </w:r>
            <w:r>
              <w:rPr>
                <w:rFonts w:hint="eastAsia" w:ascii="方正黑体_GBK" w:hAnsi="方正黑体_GBK" w:eastAsia="方正黑体_GBK" w:cs="方正黑体_GBK"/>
                <w:bCs/>
                <w:color w:val="auto"/>
                <w:sz w:val="24"/>
              </w:rPr>
              <w:t xml:space="preserve">工作开展情况描述（可补充提交支撑材料）：  </w:t>
            </w:r>
          </w:p>
          <w:p>
            <w:pPr>
              <w:ind w:firstLine="495"/>
              <w:jc w:val="both"/>
              <w:rPr>
                <w:rFonts w:ascii="仿宋_GB2312" w:hAnsi="宋体" w:eastAsia="仿宋_GB2312" w:cs="仿宋_GB2312"/>
                <w:bCs/>
                <w:color w:val="auto"/>
                <w:kern w:val="0"/>
                <w:sz w:val="24"/>
              </w:rPr>
            </w:pPr>
            <w:r>
              <w:rPr>
                <w:rFonts w:hint="eastAsia" w:ascii="仿宋_GB2312" w:hAnsi="宋体" w:eastAsia="仿宋_GB2312"/>
                <w:bCs/>
                <w:color w:val="auto"/>
                <w:sz w:val="24"/>
              </w:rPr>
              <w:t>内容</w:t>
            </w:r>
            <w:r>
              <w:rPr>
                <w:rFonts w:ascii="仿宋_GB2312" w:hAnsi="宋体" w:eastAsia="仿宋_GB2312"/>
                <w:bCs/>
                <w:color w:val="auto"/>
                <w:sz w:val="24"/>
              </w:rPr>
              <w:t>需包含</w:t>
            </w:r>
            <w:r>
              <w:rPr>
                <w:rFonts w:hint="eastAsia" w:ascii="仿宋_GB2312" w:hAnsi="宋体" w:eastAsia="仿宋_GB2312" w:cs="仿宋_GB2312"/>
                <w:bCs/>
                <w:color w:val="auto"/>
                <w:kern w:val="0"/>
                <w:sz w:val="24"/>
              </w:rPr>
              <w:t>服务开展时间、服务内容、服务流程、服务效果等。</w:t>
            </w:r>
          </w:p>
          <w:p>
            <w:pPr>
              <w:jc w:val="both"/>
              <w:rPr>
                <w:rFonts w:ascii="仿宋_GB2312" w:hAnsi="宋体" w:eastAsia="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8" w:hRule="exact"/>
          <w:jc w:val="center"/>
        </w:trPr>
        <w:tc>
          <w:tcPr>
            <w:tcW w:w="8430" w:type="dxa"/>
            <w:gridSpan w:val="4"/>
            <w:noWrap w:val="0"/>
            <w:vAlign w:val="top"/>
          </w:tcPr>
          <w:p>
            <w:pPr>
              <w:rPr>
                <w:rFonts w:hint="eastAsia" w:ascii="方正黑体_GBK" w:hAnsi="方正黑体_GBK" w:eastAsia="方正黑体_GBK" w:cs="方正黑体_GBK"/>
                <w:bCs/>
                <w:color w:val="auto"/>
                <w:sz w:val="24"/>
              </w:rPr>
            </w:pPr>
            <w:r>
              <w:rPr>
                <w:rFonts w:hint="eastAsia" w:ascii="方正黑体_GBK" w:hAnsi="方正黑体_GBK" w:eastAsia="方正黑体_GBK" w:cs="方正黑体_GBK"/>
                <w:bCs/>
                <w:color w:val="auto"/>
                <w:sz w:val="24"/>
              </w:rPr>
              <w:t>三、申报单位意见</w:t>
            </w:r>
          </w:p>
          <w:p>
            <w:pPr>
              <w:rPr>
                <w:rFonts w:ascii="仿宋_GB2312" w:hAnsi="宋体" w:eastAsia="仿宋_GB2312" w:cs="仿宋_GB2312"/>
                <w:bCs/>
                <w:color w:val="auto"/>
                <w:kern w:val="0"/>
                <w:sz w:val="24"/>
              </w:rPr>
            </w:pPr>
          </w:p>
          <w:p>
            <w:pPr>
              <w:rPr>
                <w:rFonts w:ascii="仿宋_GB2312" w:hAnsi="宋体" w:eastAsia="仿宋_GB2312" w:cs="仿宋_GB2312"/>
                <w:bCs/>
                <w:color w:val="auto"/>
                <w:kern w:val="0"/>
                <w:sz w:val="24"/>
              </w:rPr>
            </w:pPr>
          </w:p>
          <w:p>
            <w:pPr>
              <w:jc w:val="center"/>
              <w:rPr>
                <w:rFonts w:ascii="仿宋_GB2312" w:hAnsi="宋体" w:eastAsia="仿宋_GB2312" w:cs="仿宋_GB2312"/>
                <w:bCs/>
                <w:color w:val="auto"/>
                <w:kern w:val="0"/>
                <w:sz w:val="24"/>
              </w:rPr>
            </w:pPr>
            <w:r>
              <w:rPr>
                <w:rFonts w:hint="eastAsia" w:ascii="仿宋_GB2312" w:hAnsi="宋体" w:eastAsia="仿宋_GB2312" w:cs="仿宋_GB2312"/>
                <w:bCs/>
                <w:color w:val="auto"/>
                <w:kern w:val="0"/>
                <w:sz w:val="24"/>
                <w:lang w:val="en-US" w:eastAsia="zh-CN"/>
              </w:rPr>
              <w:t xml:space="preserve">                         </w:t>
            </w:r>
            <w:r>
              <w:rPr>
                <w:rFonts w:ascii="仿宋_GB2312" w:hAnsi="宋体" w:eastAsia="仿宋_GB2312" w:cs="仿宋_GB2312"/>
                <w:bCs/>
                <w:color w:val="auto"/>
                <w:kern w:val="0"/>
                <w:sz w:val="24"/>
              </w:rPr>
              <w:t>公章</w:t>
            </w:r>
          </w:p>
          <w:p>
            <w:pPr>
              <w:jc w:val="center"/>
              <w:rPr>
                <w:rFonts w:ascii="仿宋_GB2312" w:hAnsi="宋体" w:eastAsia="仿宋_GB2312" w:cs="仿宋_GB2312"/>
                <w:bCs/>
                <w:color w:val="auto"/>
                <w:kern w:val="0"/>
                <w:sz w:val="24"/>
              </w:rPr>
            </w:pPr>
          </w:p>
          <w:p>
            <w:pPr>
              <w:rPr>
                <w:rFonts w:ascii="仿宋_GB2312" w:hAnsi="宋体" w:eastAsia="仿宋_GB2312" w:cs="仿宋_GB2312"/>
                <w:bCs/>
                <w:color w:val="auto"/>
                <w:kern w:val="0"/>
                <w:sz w:val="24"/>
              </w:rPr>
            </w:pPr>
          </w:p>
          <w:p>
            <w:pPr>
              <w:rPr>
                <w:rFonts w:ascii="仿宋_GB2312" w:hAnsi="宋体" w:eastAsia="仿宋_GB2312" w:cs="仿宋_GB2312"/>
                <w:bCs/>
                <w:color w:val="auto"/>
                <w:kern w:val="0"/>
                <w:sz w:val="24"/>
              </w:rPr>
            </w:pPr>
            <w:r>
              <w:rPr>
                <w:rFonts w:hint="eastAsia" w:ascii="仿宋_GB2312" w:hAnsi="宋体" w:eastAsia="仿宋_GB2312" w:cs="仿宋_GB2312"/>
                <w:bCs/>
                <w:color w:val="auto"/>
                <w:kern w:val="0"/>
                <w:sz w:val="24"/>
              </w:rPr>
              <w:t xml:space="preserve">                                 单位负责人</w:t>
            </w:r>
            <w:r>
              <w:rPr>
                <w:rFonts w:ascii="仿宋_GB2312" w:hAnsi="宋体" w:eastAsia="仿宋_GB2312" w:cs="仿宋_GB2312"/>
                <w:bCs/>
                <w:color w:val="auto"/>
                <w:kern w:val="0"/>
                <w:sz w:val="24"/>
              </w:rPr>
              <w:t>签字</w:t>
            </w:r>
            <w:r>
              <w:rPr>
                <w:rFonts w:hint="eastAsia" w:ascii="仿宋_GB2312" w:hAnsi="宋体" w:eastAsia="仿宋_GB2312" w:cs="仿宋_GB2312"/>
                <w:bCs/>
                <w:color w:val="auto"/>
                <w:kern w:val="0"/>
                <w:sz w:val="24"/>
              </w:rPr>
              <w:t xml:space="preserve">：      </w:t>
            </w:r>
          </w:p>
          <w:p>
            <w:pPr>
              <w:rPr>
                <w:rFonts w:ascii="仿宋_GB2312" w:hAnsi="宋体" w:eastAsia="仿宋_GB2312" w:cs="仿宋_GB2312"/>
                <w:bCs/>
                <w:color w:val="auto"/>
                <w:kern w:val="0"/>
                <w:sz w:val="24"/>
              </w:rPr>
            </w:pPr>
            <w:r>
              <w:rPr>
                <w:rFonts w:ascii="仿宋_GB2312" w:hAnsi="宋体" w:eastAsia="仿宋_GB2312" w:cs="仿宋_GB2312"/>
                <w:bCs/>
                <w:color w:val="auto"/>
                <w:kern w:val="0"/>
                <w:sz w:val="24"/>
              </w:rPr>
              <w:t xml:space="preserve">                                </w:t>
            </w:r>
            <w:r>
              <w:rPr>
                <w:rFonts w:hint="eastAsia" w:ascii="仿宋_GB2312" w:hAnsi="宋体" w:eastAsia="仿宋_GB2312" w:cs="仿宋_GB2312"/>
                <w:bCs/>
                <w:color w:val="auto"/>
                <w:kern w:val="0"/>
                <w:sz w:val="24"/>
              </w:rPr>
              <w:t xml:space="preserve">     年  </w:t>
            </w:r>
            <w:r>
              <w:rPr>
                <w:rFonts w:ascii="仿宋_GB2312" w:hAnsi="宋体" w:eastAsia="仿宋_GB2312" w:cs="仿宋_GB2312"/>
                <w:bCs/>
                <w:color w:val="auto"/>
                <w:kern w:val="0"/>
                <w:sz w:val="24"/>
              </w:rPr>
              <w:t>月</w:t>
            </w:r>
            <w:r>
              <w:rPr>
                <w:rFonts w:hint="eastAsia" w:ascii="仿宋_GB2312" w:hAnsi="宋体" w:eastAsia="仿宋_GB2312" w:cs="仿宋_GB2312"/>
                <w:bCs/>
                <w:color w:val="auto"/>
                <w:kern w:val="0"/>
                <w:sz w:val="24"/>
              </w:rPr>
              <w:t xml:space="preserve">  </w:t>
            </w:r>
            <w:r>
              <w:rPr>
                <w:rFonts w:ascii="仿宋_GB2312" w:hAnsi="宋体" w:eastAsia="仿宋_GB2312" w:cs="仿宋_GB2312"/>
                <w:bCs/>
                <w:color w:val="auto"/>
                <w:kern w:val="0"/>
                <w:sz w:val="24"/>
              </w:rPr>
              <w:t>日</w:t>
            </w:r>
          </w:p>
        </w:tc>
      </w:tr>
    </w:tbl>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00"/>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2"/>
      <w:rPr>
        <w:rStyle w:val="6"/>
        <w:rFonts w:hint="eastAsia" w:ascii="宋体" w:hAnsi="宋体" w:eastAsia="宋体" w:cs="宋体"/>
        <w:sz w:val="28"/>
        <w:szCs w:val="28"/>
      </w:rPr>
    </w:pP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6"/>
        <w:rFonts w:hint="eastAsia" w:ascii="宋体" w:hAnsi="宋体" w:eastAsia="宋体" w:cs="宋体"/>
        <w:sz w:val="28"/>
        <w:szCs w:val="28"/>
      </w:rPr>
      <w:t>- 1 -</w:t>
    </w:r>
    <w:r>
      <w:rPr>
        <w:rFonts w:hint="eastAsia" w:ascii="宋体" w:hAnsi="宋体" w:eastAsia="宋体" w:cs="宋体"/>
        <w:sz w:val="28"/>
        <w:szCs w:val="28"/>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F661A6"/>
    <w:multiLevelType w:val="singleLevel"/>
    <w:tmpl w:val="90F661A6"/>
    <w:lvl w:ilvl="0" w:tentative="0">
      <w:start w:val="1"/>
      <w:numFmt w:val="chineseCounting"/>
      <w:suff w:val="nothing"/>
      <w:lvlText w:val="%1、"/>
      <w:lvlJc w:val="left"/>
      <w:rPr>
        <w:rFonts w:hint="eastAsia"/>
      </w:rPr>
    </w:lvl>
  </w:abstractNum>
  <w:abstractNum w:abstractNumId="1">
    <w:nsid w:val="BCFD6AF8"/>
    <w:multiLevelType w:val="singleLevel"/>
    <w:tmpl w:val="BCFD6AF8"/>
    <w:lvl w:ilvl="0" w:tentative="0">
      <w:start w:val="2"/>
      <w:numFmt w:val="decimal"/>
      <w:lvlText w:val="%1."/>
      <w:lvlJc w:val="left"/>
      <w:pPr>
        <w:tabs>
          <w:tab w:val="left" w:pos="312"/>
        </w:tabs>
      </w:pPr>
    </w:lvl>
  </w:abstractNum>
  <w:abstractNum w:abstractNumId="2">
    <w:nsid w:val="CDFD5512"/>
    <w:multiLevelType w:val="singleLevel"/>
    <w:tmpl w:val="CDFD5512"/>
    <w:lvl w:ilvl="0" w:tentative="0">
      <w:start w:val="1"/>
      <w:numFmt w:val="decimal"/>
      <w:lvlText w:val="%1."/>
      <w:lvlJc w:val="left"/>
      <w:pPr>
        <w:tabs>
          <w:tab w:val="left" w:pos="312"/>
        </w:tabs>
      </w:pPr>
    </w:lvl>
  </w:abstractNum>
  <w:abstractNum w:abstractNumId="3">
    <w:nsid w:val="60EE95C9"/>
    <w:multiLevelType w:val="singleLevel"/>
    <w:tmpl w:val="60EE95C9"/>
    <w:lvl w:ilvl="0" w:tentative="0">
      <w:start w:val="2"/>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靖建华 2021-11-30 16:46:26">
    <w15:presenceInfo w15:providerId="None" w15:userId="靖建华 2021-11-30 16:46: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4E15C6"/>
    <w:rsid w:val="457C5CF7"/>
    <w:rsid w:val="5B513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page number"/>
    <w:basedOn w:val="5"/>
    <w:uiPriority w:val="0"/>
  </w:style>
  <w:style w:type="paragraph" w:customStyle="1" w:styleId="7">
    <w:name w:val="Body text|3"/>
    <w:basedOn w:val="1"/>
    <w:qFormat/>
    <w:uiPriority w:val="0"/>
    <w:pPr>
      <w:widowControl w:val="0"/>
      <w:shd w:val="clear" w:color="auto" w:fill="FFFFFF"/>
      <w:spacing w:after="740" w:line="300" w:lineRule="exact"/>
      <w:jc w:val="distribute"/>
    </w:pPr>
    <w:rPr>
      <w:rFonts w:ascii="PMingLiU" w:hAnsi="PMingLiU" w:eastAsia="PMingLiU" w:cs="PMingLiU"/>
      <w:b/>
      <w:bCs/>
      <w:spacing w:val="20"/>
      <w:sz w:val="30"/>
      <w:szCs w:val="30"/>
    </w:rPr>
  </w:style>
  <w:style w:type="paragraph" w:customStyle="1" w:styleId="8">
    <w:name w:val="列出段落2"/>
    <w:basedOn w:val="1"/>
    <w:unhideWhenUsed/>
    <w:qFormat/>
    <w:uiPriority w:val="99"/>
    <w:pPr>
      <w:ind w:firstLine="420" w:firstLineChars="200"/>
    </w:pPr>
  </w:style>
  <w:style w:type="paragraph" w:customStyle="1" w:styleId="9">
    <w:name w:val=" Char"/>
    <w:basedOn w:val="1"/>
    <w:uiPriority w:val="0"/>
    <w:rPr>
      <w:rFonts w:ascii="宋体" w:hAnsi="宋体" w:cs="Courier New"/>
      <w:sz w:val="32"/>
      <w:szCs w:val="32"/>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2021-12-03T01:12:00Z</dcterms:created>
  <dc:creator>wu'x's</dc:creator>
  <cp:lastModifiedBy>mongolian</cp:lastModifiedBy>
  <dcterms:modified xsi:type="dcterms:W3CDTF">2021-12-07T02:15:14Z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4843C3F88A6B4A24BC3FA14C8417767D</vt:lpwstr>
  </property>
</Properties>
</file>