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简体" w:eastAsia="方正小标宋_GBK" w:cs="方正小标宋简体"/>
          <w:sz w:val="44"/>
          <w:szCs w:val="44"/>
        </w:rPr>
      </w:pPr>
    </w:p>
    <w:p>
      <w:pPr>
        <w:spacing w:line="56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山东省药品上市后风险管理计划撰写指南</w:t>
      </w:r>
    </w:p>
    <w:p>
      <w:pPr>
        <w:spacing w:line="560" w:lineRule="exact"/>
        <w:jc w:val="center"/>
        <w:rPr>
          <w:rFonts w:ascii="黑体" w:eastAsia="黑体"/>
          <w:sz w:val="30"/>
          <w:szCs w:val="30"/>
        </w:rPr>
      </w:pPr>
      <w:r>
        <w:rPr>
          <w:rFonts w:hint="eastAsia" w:ascii="方正小标宋_GBK" w:hAnsi="方正小标宋简体" w:eastAsia="方正小标宋_GBK" w:cs="方正小标宋简体"/>
          <w:sz w:val="44"/>
          <w:szCs w:val="44"/>
        </w:rPr>
        <w:t>（征求意见稿）</w:t>
      </w:r>
    </w:p>
    <w:p>
      <w:pPr>
        <w:spacing w:line="560" w:lineRule="exact"/>
        <w:ind w:firstLine="640" w:firstLineChars="200"/>
        <w:rPr>
          <w:rFonts w:hint="eastAsia" w:ascii="黑体" w:eastAsia="黑体"/>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一、目的</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为指导药品上市后风险管理计划（简称药品上市后</w:t>
      </w:r>
      <w:r>
        <w:rPr>
          <w:rFonts w:ascii="仿宋_GB2312" w:eastAsia="仿宋_GB2312" w:cs="仿宋_GB2312"/>
          <w:sz w:val="32"/>
          <w:szCs w:val="32"/>
        </w:rPr>
        <w:t>RMP</w:t>
      </w:r>
      <w:r>
        <w:rPr>
          <w:rFonts w:hint="eastAsia" w:ascii="仿宋_GB2312" w:eastAsia="仿宋_GB2312" w:cs="仿宋_GB2312"/>
          <w:sz w:val="32"/>
          <w:szCs w:val="32"/>
        </w:rPr>
        <w:t>）的制定和落实，根据《药品管理法》《疫苗管理法》《药品生产监督管理办法》等法律法规</w:t>
      </w:r>
      <w:r>
        <w:rPr>
          <w:rFonts w:hint="eastAsia" w:ascii="仿宋_GB2312" w:eastAsia="仿宋_GB2312" w:cs="仿宋_GB2312"/>
          <w:sz w:val="32"/>
          <w:szCs w:val="32"/>
          <w:lang w:val="en-US" w:eastAsia="zh-CN"/>
        </w:rPr>
        <w:t>要求</w:t>
      </w:r>
      <w:r>
        <w:rPr>
          <w:rFonts w:hint="eastAsia" w:ascii="仿宋_GB2312" w:eastAsia="仿宋_GB2312" w:cs="仿宋_GB2312"/>
          <w:sz w:val="32"/>
          <w:szCs w:val="32"/>
        </w:rPr>
        <w:t>，借鉴国内外药品上市后</w:t>
      </w:r>
      <w:r>
        <w:rPr>
          <w:rFonts w:ascii="仿宋_GB2312" w:eastAsia="仿宋_GB2312" w:cs="仿宋_GB2312"/>
          <w:sz w:val="32"/>
          <w:szCs w:val="32"/>
        </w:rPr>
        <w:t>RMP</w:t>
      </w:r>
      <w:r>
        <w:rPr>
          <w:rFonts w:hint="eastAsia" w:ascii="仿宋_GB2312" w:eastAsia="仿宋_GB2312" w:cs="仿宋_GB2312"/>
          <w:sz w:val="32"/>
          <w:szCs w:val="32"/>
        </w:rPr>
        <w:t>的相关规定，结合我省药品生产监管实际，制定本撰写指南。药品上市后</w:t>
      </w:r>
      <w:r>
        <w:rPr>
          <w:rFonts w:ascii="仿宋_GB2312" w:eastAsia="仿宋_GB2312" w:cs="仿宋_GB2312"/>
          <w:sz w:val="32"/>
          <w:szCs w:val="32"/>
        </w:rPr>
        <w:t>RMP</w:t>
      </w:r>
      <w:r>
        <w:rPr>
          <w:rFonts w:hint="eastAsia" w:ascii="仿宋_GB2312" w:eastAsia="仿宋_GB2312" w:cs="仿宋_GB2312"/>
          <w:sz w:val="32"/>
          <w:szCs w:val="32"/>
        </w:rPr>
        <w:t>用以指导药品上市许可持有人（简称持有人）</w:t>
      </w:r>
      <w:r>
        <w:rPr>
          <w:rFonts w:hint="eastAsia" w:ascii="仿宋_GB2312" w:hAnsi="Calibri" w:eastAsia="仿宋_GB2312" w:cs="仿宋_GB2312"/>
          <w:color w:val="auto"/>
          <w:sz w:val="32"/>
          <w:szCs w:val="32"/>
        </w:rPr>
        <w:t>主动开展药品上市后研究，</w:t>
      </w:r>
      <w:r>
        <w:rPr>
          <w:rFonts w:hint="eastAsia" w:ascii="仿宋_GB2312" w:eastAsia="仿宋_GB2312" w:cs="仿宋_GB2312"/>
          <w:sz w:val="32"/>
          <w:szCs w:val="32"/>
        </w:rPr>
        <w:t>收集药品上市后全生命周期内各环节数据信息，评估可能存在的风险，及时做好风险管控，持续开展药品风险获益评估，进一步</w:t>
      </w:r>
      <w:r>
        <w:rPr>
          <w:rFonts w:hint="eastAsia" w:ascii="仿宋_GB2312" w:eastAsia="仿宋_GB2312" w:cs="仿宋_GB2312"/>
          <w:sz w:val="32"/>
          <w:szCs w:val="32"/>
          <w:lang w:eastAsia="zh-CN"/>
        </w:rPr>
        <w:t>确证</w:t>
      </w:r>
      <w:r>
        <w:rPr>
          <w:rFonts w:hint="eastAsia" w:ascii="仿宋_GB2312" w:eastAsia="仿宋_GB2312" w:cs="仿宋_GB2312"/>
          <w:sz w:val="32"/>
          <w:szCs w:val="32"/>
        </w:rPr>
        <w:t>上市后药品的安全性、有效性和质量可控性（简称</w:t>
      </w:r>
      <w:r>
        <w:rPr>
          <w:rFonts w:hint="eastAsia" w:ascii="仿宋_GB2312" w:eastAsia="仿宋_GB2312" w:cs="仿宋_GB2312"/>
          <w:sz w:val="32"/>
          <w:szCs w:val="32"/>
          <w:lang w:val="en-US" w:eastAsia="zh-CN"/>
        </w:rPr>
        <w:t>药品</w:t>
      </w:r>
      <w:r>
        <w:rPr>
          <w:rFonts w:hint="eastAsia" w:ascii="仿宋_GB2312" w:eastAsia="仿宋_GB2312" w:cs="仿宋_GB2312"/>
          <w:sz w:val="32"/>
          <w:szCs w:val="32"/>
        </w:rPr>
        <w:t>“三性”）</w:t>
      </w:r>
      <w:r>
        <w:rPr>
          <w:rFonts w:hint="eastAsia" w:ascii="仿宋_GB2312" w:eastAsia="仿宋_GB2312" w:cs="仿宋_GB2312"/>
          <w:sz w:val="32"/>
          <w:szCs w:val="32"/>
          <w:lang w:eastAsia="zh-CN"/>
        </w:rPr>
        <w:t>，</w:t>
      </w:r>
      <w:r>
        <w:rPr>
          <w:rFonts w:hint="eastAsia" w:ascii="仿宋_GB2312" w:hAnsi="Calibri" w:eastAsia="仿宋_GB2312" w:cs="仿宋_GB2312"/>
          <w:color w:val="auto"/>
          <w:sz w:val="32"/>
          <w:szCs w:val="32"/>
        </w:rPr>
        <w:t>加强已上市药品的持续管理</w:t>
      </w:r>
      <w:r>
        <w:rPr>
          <w:rFonts w:hint="eastAsia" w:ascii="仿宋_GB2312" w:hAnsi="Calibri" w:eastAsia="仿宋_GB2312" w:cs="仿宋_GB2312"/>
          <w:color w:val="auto"/>
          <w:sz w:val="32"/>
          <w:szCs w:val="32"/>
          <w:lang w:eastAsia="zh-CN"/>
        </w:rPr>
        <w:t>，</w:t>
      </w:r>
      <w:r>
        <w:rPr>
          <w:rFonts w:hint="eastAsia" w:ascii="仿宋_GB2312" w:eastAsia="仿宋_GB2312" w:cs="仿宋_GB2312"/>
          <w:sz w:val="32"/>
          <w:szCs w:val="32"/>
          <w:lang w:eastAsia="zh-CN"/>
        </w:rPr>
        <w:t>确保公众用药安全有效</w:t>
      </w:r>
      <w:r>
        <w:rPr>
          <w:rFonts w:hint="eastAsia" w:ascii="仿宋_GB2312" w:eastAsia="仿宋_GB2312" w:cs="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二、适用范围</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本指南适用于指导山东省行政区域内的持有人对其</w:t>
      </w:r>
      <w:r>
        <w:rPr>
          <w:rFonts w:hint="eastAsia" w:ascii="仿宋_GB2312" w:eastAsia="仿宋_GB2312" w:cs="仿宋_GB2312"/>
          <w:sz w:val="32"/>
          <w:szCs w:val="32"/>
          <w:lang w:val="en-US" w:eastAsia="zh-CN"/>
        </w:rPr>
        <w:t>在中华人民共和国境内</w:t>
      </w:r>
      <w:r>
        <w:rPr>
          <w:rFonts w:hint="eastAsia" w:ascii="仿宋_GB2312" w:eastAsia="仿宋_GB2312" w:cs="仿宋_GB2312"/>
          <w:sz w:val="32"/>
          <w:szCs w:val="32"/>
        </w:rPr>
        <w:t>上市</w:t>
      </w:r>
      <w:r>
        <w:rPr>
          <w:rFonts w:hint="eastAsia" w:ascii="仿宋_GB2312" w:eastAsia="仿宋_GB2312" w:cs="仿宋_GB2312"/>
          <w:sz w:val="32"/>
          <w:szCs w:val="32"/>
          <w:lang w:val="en-US" w:eastAsia="zh-CN"/>
        </w:rPr>
        <w:t>的</w:t>
      </w:r>
      <w:r>
        <w:rPr>
          <w:rFonts w:hint="eastAsia" w:ascii="仿宋_GB2312" w:eastAsia="仿宋_GB2312" w:cs="仿宋_GB2312"/>
          <w:sz w:val="32"/>
          <w:szCs w:val="32"/>
        </w:rPr>
        <w:t>药品撰写药品上市后</w:t>
      </w:r>
      <w:r>
        <w:rPr>
          <w:rFonts w:ascii="仿宋_GB2312" w:eastAsia="仿宋_GB2312" w:cs="仿宋_GB2312"/>
          <w:sz w:val="32"/>
          <w:szCs w:val="32"/>
        </w:rPr>
        <w:t>RMP</w:t>
      </w:r>
      <w:r>
        <w:rPr>
          <w:rFonts w:hint="eastAsia" w:ascii="仿宋_GB2312" w:eastAsia="仿宋_GB2312" w:cs="仿宋_GB2312"/>
          <w:sz w:val="32"/>
          <w:szCs w:val="32"/>
          <w:lang w:eastAsia="zh-CN"/>
        </w:rPr>
        <w:t>，推动</w:t>
      </w:r>
      <w:r>
        <w:rPr>
          <w:rFonts w:hint="eastAsia" w:ascii="仿宋_GB2312" w:hAnsi="仿宋_GB2312" w:eastAsia="仿宋_GB2312" w:cs="仿宋_GB2312"/>
          <w:sz w:val="32"/>
          <w:szCs w:val="32"/>
          <w:lang w:eastAsia="zh-CN"/>
        </w:rPr>
        <w:t>企业落实主体责任</w:t>
      </w:r>
      <w:r>
        <w:rPr>
          <w:rFonts w:hint="eastAsia" w:ascii="仿宋_GB2312" w:eastAsia="仿宋_GB2312" w:cs="仿宋_GB2312"/>
          <w:sz w:val="32"/>
          <w:szCs w:val="32"/>
        </w:rPr>
        <w:t>。本指南不具有强</w:t>
      </w:r>
      <w:bookmarkStart w:id="14" w:name="_GoBack"/>
      <w:bookmarkEnd w:id="14"/>
      <w:r>
        <w:rPr>
          <w:rFonts w:hint="eastAsia" w:ascii="仿宋_GB2312" w:eastAsia="仿宋_GB2312" w:cs="仿宋_GB2312"/>
          <w:sz w:val="32"/>
          <w:szCs w:val="32"/>
        </w:rPr>
        <w:t>制性的法律约束力，仅供持有人制定药品上市后</w:t>
      </w:r>
      <w:r>
        <w:rPr>
          <w:rFonts w:ascii="仿宋_GB2312" w:eastAsia="仿宋_GB2312" w:cs="仿宋_GB2312"/>
          <w:sz w:val="32"/>
          <w:szCs w:val="32"/>
        </w:rPr>
        <w:t>RMP</w:t>
      </w:r>
      <w:r>
        <w:rPr>
          <w:rFonts w:hint="eastAsia" w:ascii="仿宋_GB2312" w:eastAsia="仿宋_GB2312" w:cs="仿宋_GB2312"/>
          <w:sz w:val="32"/>
          <w:szCs w:val="32"/>
        </w:rPr>
        <w:t>时参考。持有人制定药品上市后</w:t>
      </w:r>
      <w:r>
        <w:rPr>
          <w:rFonts w:ascii="仿宋_GB2312" w:eastAsia="仿宋_GB2312" w:cs="仿宋_GB2312"/>
          <w:sz w:val="32"/>
          <w:szCs w:val="32"/>
        </w:rPr>
        <w:t>RMP</w:t>
      </w:r>
      <w:r>
        <w:rPr>
          <w:rFonts w:hint="eastAsia" w:ascii="仿宋_GB2312" w:eastAsia="仿宋_GB2312" w:cs="仿宋_GB2312"/>
          <w:sz w:val="32"/>
          <w:szCs w:val="32"/>
        </w:rPr>
        <w:t>时，应首先遵守中国药品注册和监管法律法规的要求，同时参考国际和国内药品监管部门发布的其他相关技术指导原则。本指南如有与国家药品监督管理局相关规定不一致的，以国家药品监督管理局规定为准。</w:t>
      </w:r>
    </w:p>
    <w:p>
      <w:pPr>
        <w:spacing w:line="560" w:lineRule="exact"/>
        <w:ind w:firstLine="640" w:firstLineChars="200"/>
        <w:rPr>
          <w:rFonts w:ascii="黑体" w:eastAsia="黑体"/>
          <w:sz w:val="32"/>
          <w:szCs w:val="32"/>
        </w:rPr>
      </w:pPr>
      <w:r>
        <w:rPr>
          <w:rFonts w:hint="eastAsia" w:ascii="黑体" w:eastAsia="黑体"/>
          <w:sz w:val="32"/>
          <w:szCs w:val="32"/>
        </w:rPr>
        <w:t>三、基本要求</w:t>
      </w:r>
      <w:r>
        <w:rPr>
          <w:rFonts w:ascii="黑体" w:eastAsia="黑体"/>
          <w:sz w:val="32"/>
          <w:szCs w:val="32"/>
        </w:rPr>
        <w:t xml:space="preserve"> </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（一）药品上市后风险管理覆盖自取得药品注册证书直到该产品退市的全生命周期。药品上市后</w:t>
      </w:r>
      <w:r>
        <w:rPr>
          <w:rFonts w:ascii="仿宋_GB2312" w:eastAsia="仿宋_GB2312" w:cs="仿宋_GB2312"/>
          <w:sz w:val="32"/>
          <w:szCs w:val="32"/>
        </w:rPr>
        <w:t>RMP</w:t>
      </w:r>
      <w:r>
        <w:rPr>
          <w:rFonts w:hint="eastAsia" w:ascii="仿宋_GB2312" w:eastAsia="仿宋_GB2312" w:cs="仿宋_GB2312"/>
          <w:sz w:val="32"/>
          <w:szCs w:val="32"/>
        </w:rPr>
        <w:t>按照药品的不同环节可分为五个部分：与注册相关的风险管理、生产环节风险管理、储存运输环节风险管理、临床使用环节风险管理以及监管和行业变化引发的风险管理。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（二）原则上按品种制定药品上市后</w:t>
      </w:r>
      <w:r>
        <w:rPr>
          <w:rFonts w:ascii="仿宋_GB2312" w:eastAsia="仿宋_GB2312" w:cs="仿宋_GB2312"/>
          <w:sz w:val="32"/>
          <w:szCs w:val="32"/>
        </w:rPr>
        <w:t xml:space="preserve">RMP </w:t>
      </w:r>
      <w:r>
        <w:rPr>
          <w:rFonts w:hint="eastAsia" w:ascii="仿宋_GB2312" w:eastAsia="仿宋_GB2312" w:cs="仿宋_GB2312"/>
          <w:sz w:val="32"/>
          <w:szCs w:val="32"/>
        </w:rPr>
        <w:t>，即相同活性成分、相同剂型为同一品种</w:t>
      </w:r>
      <w:r>
        <w:rPr>
          <w:rFonts w:hint="eastAsia" w:ascii="仿宋_GB2312" w:eastAsia="仿宋_GB2312" w:cs="仿宋_GB2312"/>
          <w:sz w:val="32"/>
          <w:szCs w:val="32"/>
          <w:lang w:eastAsia="zh-CN"/>
        </w:rPr>
        <w:t>。对不同</w:t>
      </w:r>
      <w:r>
        <w:rPr>
          <w:rFonts w:hint="eastAsia" w:ascii="仿宋_GB2312" w:eastAsia="仿宋_GB2312" w:cs="仿宋_GB2312"/>
          <w:sz w:val="32"/>
          <w:szCs w:val="32"/>
        </w:rPr>
        <w:t>规格、</w:t>
      </w:r>
      <w:r>
        <w:rPr>
          <w:rFonts w:hint="eastAsia" w:ascii="仿宋_GB2312" w:eastAsia="仿宋_GB2312" w:cs="仿宋_GB2312"/>
          <w:sz w:val="32"/>
          <w:szCs w:val="32"/>
          <w:lang w:eastAsia="zh-CN"/>
        </w:rPr>
        <w:t>不同</w:t>
      </w:r>
      <w:r>
        <w:rPr>
          <w:rFonts w:hint="eastAsia" w:ascii="仿宋_GB2312" w:eastAsia="仿宋_GB2312" w:cs="仿宋_GB2312"/>
          <w:sz w:val="32"/>
          <w:szCs w:val="32"/>
        </w:rPr>
        <w:t>批准文号</w:t>
      </w:r>
      <w:r>
        <w:rPr>
          <w:rFonts w:hint="eastAsia" w:ascii="仿宋_GB2312" w:eastAsia="仿宋_GB2312" w:cs="仿宋_GB2312"/>
          <w:sz w:val="32"/>
          <w:szCs w:val="32"/>
          <w:lang w:eastAsia="zh-CN"/>
        </w:rPr>
        <w:t>的品名相同产品，企业</w:t>
      </w:r>
      <w:r>
        <w:rPr>
          <w:rFonts w:hint="eastAsia" w:ascii="仿宋_GB2312" w:eastAsia="仿宋_GB2312" w:cs="仿宋_GB2312"/>
          <w:sz w:val="32"/>
          <w:szCs w:val="32"/>
        </w:rPr>
        <w:t>经评估后</w:t>
      </w:r>
      <w:r>
        <w:rPr>
          <w:rFonts w:hint="eastAsia" w:ascii="仿宋_GB2312" w:eastAsia="仿宋_GB2312" w:cs="仿宋_GB2312"/>
          <w:sz w:val="32"/>
          <w:szCs w:val="32"/>
          <w:lang w:eastAsia="zh-CN"/>
        </w:rPr>
        <w:t>，</w:t>
      </w:r>
      <w:r>
        <w:rPr>
          <w:rFonts w:hint="eastAsia" w:ascii="仿宋_GB2312" w:eastAsia="仿宋_GB2312" w:cs="仿宋_GB2312"/>
          <w:sz w:val="32"/>
          <w:szCs w:val="32"/>
        </w:rPr>
        <w:t>可以</w:t>
      </w:r>
      <w:r>
        <w:rPr>
          <w:rFonts w:hint="eastAsia" w:ascii="仿宋_GB2312" w:eastAsia="仿宋_GB2312" w:cs="仿宋_GB2312"/>
          <w:sz w:val="32"/>
          <w:szCs w:val="32"/>
          <w:lang w:eastAsia="zh-CN"/>
        </w:rPr>
        <w:t>按</w:t>
      </w:r>
      <w:r>
        <w:rPr>
          <w:rFonts w:hint="eastAsia" w:ascii="仿宋_GB2312" w:eastAsia="仿宋_GB2312" w:cs="仿宋_GB2312"/>
          <w:sz w:val="32"/>
          <w:szCs w:val="32"/>
        </w:rPr>
        <w:t>同一品种制定药品上市后</w:t>
      </w:r>
      <w:r>
        <w:rPr>
          <w:rFonts w:ascii="仿宋_GB2312" w:eastAsia="仿宋_GB2312" w:cs="仿宋_GB2312"/>
          <w:sz w:val="32"/>
          <w:szCs w:val="32"/>
        </w:rPr>
        <w:t>RMP</w:t>
      </w:r>
      <w:r>
        <w:rPr>
          <w:rFonts w:hint="eastAsia" w:ascii="仿宋_GB2312" w:eastAsia="仿宋_GB2312" w:cs="仿宋_GB2312"/>
          <w:sz w:val="32"/>
          <w:szCs w:val="32"/>
          <w:lang w:eastAsia="zh-CN"/>
        </w:rPr>
        <w:t>，也可根据实际</w:t>
      </w:r>
      <w:r>
        <w:rPr>
          <w:rFonts w:hint="eastAsia" w:ascii="仿宋_GB2312" w:eastAsia="仿宋_GB2312" w:cs="仿宋_GB2312"/>
          <w:sz w:val="32"/>
          <w:szCs w:val="32"/>
        </w:rPr>
        <w:t>按规格分别制定药品上市后</w:t>
      </w:r>
      <w:r>
        <w:rPr>
          <w:rFonts w:ascii="仿宋_GB2312" w:eastAsia="仿宋_GB2312" w:cs="仿宋_GB2312"/>
          <w:sz w:val="32"/>
          <w:szCs w:val="32"/>
        </w:rPr>
        <w:t>RMP</w:t>
      </w:r>
      <w:r>
        <w:rPr>
          <w:rFonts w:hint="eastAsia" w:ascii="仿宋_GB2312" w:eastAsia="仿宋_GB2312" w:cs="仿宋_GB2312"/>
          <w:sz w:val="32"/>
          <w:szCs w:val="32"/>
        </w:rPr>
        <w:t>。</w:t>
      </w:r>
    </w:p>
    <w:p>
      <w:pPr>
        <w:spacing w:line="560" w:lineRule="exact"/>
        <w:ind w:left="0" w:leftChars="0" w:firstLine="640" w:firstLineChars="200"/>
        <w:rPr>
          <w:rFonts w:ascii="仿宋_GB2312" w:eastAsia="仿宋_GB2312" w:cs="仿宋_GB2312"/>
          <w:sz w:val="32"/>
          <w:szCs w:val="32"/>
        </w:rPr>
      </w:pPr>
      <w:r>
        <w:rPr>
          <w:rFonts w:hint="eastAsia" w:ascii="仿宋_GB2312" w:eastAsia="仿宋_GB2312" w:cs="仿宋_GB2312"/>
          <w:sz w:val="32"/>
          <w:szCs w:val="32"/>
        </w:rPr>
        <w:t>（三）原则上已上市药品均需制定药品上市后</w:t>
      </w:r>
      <w:r>
        <w:rPr>
          <w:rFonts w:ascii="仿宋_GB2312" w:eastAsia="仿宋_GB2312" w:cs="仿宋_GB2312"/>
          <w:sz w:val="32"/>
          <w:szCs w:val="32"/>
        </w:rPr>
        <w:t>RMP</w:t>
      </w:r>
      <w:r>
        <w:rPr>
          <w:rFonts w:hint="eastAsia" w:ascii="仿宋_GB2312" w:eastAsia="仿宋_GB2312" w:cs="仿宋_GB2312"/>
          <w:sz w:val="32"/>
          <w:szCs w:val="32"/>
        </w:rPr>
        <w:t>，长期停产品种（市场上无有效期内的产品）可暂不制定药品上市后</w:t>
      </w:r>
      <w:r>
        <w:rPr>
          <w:rFonts w:ascii="仿宋_GB2312" w:eastAsia="仿宋_GB2312" w:cs="仿宋_GB2312"/>
          <w:sz w:val="32"/>
          <w:szCs w:val="32"/>
        </w:rPr>
        <w:t xml:space="preserve">RMP </w:t>
      </w:r>
      <w:r>
        <w:rPr>
          <w:rFonts w:hint="eastAsia" w:ascii="仿宋_GB2312" w:eastAsia="仿宋_GB2312" w:cs="仿宋_GB2312"/>
          <w:sz w:val="32"/>
          <w:szCs w:val="32"/>
        </w:rPr>
        <w:t>。长期停产品种重新启动商业化生产时，建议</w:t>
      </w:r>
      <w:r>
        <w:rPr>
          <w:rFonts w:hint="eastAsia" w:ascii="仿宋_GB2312" w:eastAsia="仿宋_GB2312" w:cs="仿宋_GB2312"/>
          <w:sz w:val="32"/>
          <w:szCs w:val="32"/>
          <w:lang w:eastAsia="zh-CN"/>
        </w:rPr>
        <w:t>企业</w:t>
      </w:r>
      <w:r>
        <w:rPr>
          <w:rFonts w:hint="eastAsia" w:ascii="仿宋_GB2312" w:eastAsia="仿宋_GB2312" w:cs="仿宋_GB2312"/>
          <w:bCs w:val="0"/>
          <w:sz w:val="32"/>
          <w:szCs w:val="32"/>
          <w:lang w:eastAsia="zh-CN"/>
        </w:rPr>
        <w:t>开展</w:t>
      </w:r>
      <w:r>
        <w:rPr>
          <w:rFonts w:hint="eastAsia" w:ascii="仿宋_GB2312" w:hAnsi="Calibri" w:eastAsia="仿宋_GB2312" w:cs="仿宋_GB2312"/>
          <w:bCs w:val="0"/>
          <w:sz w:val="32"/>
          <w:szCs w:val="32"/>
        </w:rPr>
        <w:t>生产前风险检查</w:t>
      </w:r>
      <w:r>
        <w:rPr>
          <w:rFonts w:hint="eastAsia" w:ascii="仿宋_GB2312" w:eastAsia="仿宋_GB2312" w:cs="仿宋_GB2312"/>
          <w:bCs w:val="0"/>
          <w:sz w:val="32"/>
          <w:szCs w:val="32"/>
          <w:lang w:eastAsia="zh-CN"/>
        </w:rPr>
        <w:t>以确证风险是否可控</w:t>
      </w:r>
      <w:r>
        <w:rPr>
          <w:rFonts w:hint="eastAsia" w:ascii="仿宋_GB2312" w:eastAsia="仿宋_GB2312" w:cs="仿宋_GB2312"/>
          <w:sz w:val="32"/>
          <w:szCs w:val="32"/>
          <w:lang w:eastAsia="zh-CN"/>
        </w:rPr>
        <w:t>（</w:t>
      </w: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（四）药品上市后</w:t>
      </w:r>
      <w:r>
        <w:rPr>
          <w:rFonts w:ascii="仿宋_GB2312" w:eastAsia="仿宋_GB2312" w:cs="仿宋_GB2312"/>
          <w:sz w:val="32"/>
          <w:szCs w:val="32"/>
        </w:rPr>
        <w:t>RMP</w:t>
      </w:r>
      <w:r>
        <w:rPr>
          <w:rFonts w:hint="eastAsia" w:ascii="仿宋_GB2312" w:eastAsia="仿宋_GB2312" w:cs="仿宋_GB2312"/>
          <w:sz w:val="32"/>
          <w:szCs w:val="32"/>
        </w:rPr>
        <w:t>需定期进行回顾，评估当前措施的控制效果，持续改进和完善药品上市后</w:t>
      </w:r>
      <w:r>
        <w:rPr>
          <w:rFonts w:ascii="仿宋_GB2312" w:eastAsia="仿宋_GB2312" w:cs="仿宋_GB2312"/>
          <w:sz w:val="32"/>
          <w:szCs w:val="32"/>
        </w:rPr>
        <w:t>RMP</w:t>
      </w:r>
      <w:r>
        <w:rPr>
          <w:rFonts w:hint="eastAsia" w:ascii="仿宋_GB2312" w:eastAsia="仿宋_GB2312" w:cs="仿宋_GB2312"/>
          <w:sz w:val="32"/>
          <w:szCs w:val="32"/>
        </w:rPr>
        <w:t>。持有人有责任保证药品的风险信息得到及时更新和沟通，并始终采取适当的风险管理工具和风险最小化措施，以确保药品的获益持续大于风险。</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（五）委托其他企业开展生产、经营、药物警戒等相关活动的，持有人需在相关协议中（集团内各持有人之间以及总部和各持有人之间</w:t>
      </w:r>
      <w:r>
        <w:rPr>
          <w:rFonts w:hint="eastAsia" w:ascii="仿宋_GB2312" w:eastAsia="仿宋_GB2312" w:cs="仿宋_GB2312"/>
          <w:sz w:val="32"/>
          <w:szCs w:val="32"/>
          <w:lang w:eastAsia="zh-CN"/>
        </w:rPr>
        <w:t>应当</w:t>
      </w:r>
      <w:r>
        <w:rPr>
          <w:rFonts w:hint="eastAsia" w:ascii="仿宋_GB2312" w:eastAsia="仿宋_GB2312" w:cs="仿宋_GB2312"/>
          <w:sz w:val="32"/>
          <w:szCs w:val="32"/>
        </w:rPr>
        <w:t>书面约定）明确药品上市后</w:t>
      </w:r>
      <w:r>
        <w:rPr>
          <w:rFonts w:ascii="仿宋_GB2312" w:eastAsia="仿宋_GB2312" w:cs="仿宋_GB2312"/>
          <w:sz w:val="32"/>
          <w:szCs w:val="32"/>
        </w:rPr>
        <w:t xml:space="preserve">RMP </w:t>
      </w:r>
      <w:r>
        <w:rPr>
          <w:rFonts w:hint="eastAsia" w:ascii="仿宋_GB2312" w:eastAsia="仿宋_GB2312" w:cs="仿宋_GB2312"/>
          <w:sz w:val="32"/>
          <w:szCs w:val="32"/>
        </w:rPr>
        <w:t>的工作要求。受托开展生产、经营、药物警戒的单位以及原辅包供应商等相关方应当积极配合持有人开展药品上市后风险管理工作。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（六）药品上市后</w:t>
      </w:r>
      <w:r>
        <w:rPr>
          <w:rFonts w:ascii="仿宋_GB2312" w:eastAsia="仿宋_GB2312" w:cs="仿宋_GB2312"/>
          <w:sz w:val="32"/>
          <w:szCs w:val="32"/>
        </w:rPr>
        <w:t>RMP</w:t>
      </w:r>
      <w:r>
        <w:rPr>
          <w:rFonts w:hint="eastAsia" w:ascii="仿宋_GB2312" w:eastAsia="仿宋_GB2312" w:cs="仿宋_GB2312"/>
          <w:sz w:val="32"/>
          <w:szCs w:val="32"/>
        </w:rPr>
        <w:t>属于企业内部风险管理资料，其实施情况作为药品生产监督检查的内容。</w:t>
      </w:r>
    </w:p>
    <w:p>
      <w:pPr>
        <w:spacing w:line="560" w:lineRule="exact"/>
        <w:ind w:firstLine="640" w:firstLineChars="200"/>
        <w:rPr>
          <w:rFonts w:ascii="黑体" w:eastAsia="黑体"/>
          <w:sz w:val="32"/>
          <w:szCs w:val="32"/>
        </w:rPr>
      </w:pPr>
      <w:r>
        <w:rPr>
          <w:rFonts w:hint="eastAsia" w:ascii="黑体" w:eastAsia="黑体"/>
          <w:sz w:val="32"/>
          <w:szCs w:val="32"/>
        </w:rPr>
        <w:t>四、</w:t>
      </w:r>
      <w:r>
        <w:rPr>
          <w:rFonts w:ascii="黑体" w:eastAsia="黑体"/>
          <w:sz w:val="32"/>
          <w:szCs w:val="32"/>
        </w:rPr>
        <w:t>RMP</w:t>
      </w:r>
      <w:r>
        <w:rPr>
          <w:rFonts w:hint="eastAsia" w:ascii="黑体" w:eastAsia="黑体"/>
          <w:sz w:val="32"/>
          <w:szCs w:val="32"/>
        </w:rPr>
        <w:t>各环节的风险管理内容</w:t>
      </w:r>
    </w:p>
    <w:p>
      <w:pPr>
        <w:spacing w:line="560" w:lineRule="exact"/>
        <w:ind w:firstLine="640" w:firstLineChars="200"/>
        <w:rPr>
          <w:rFonts w:ascii="楷体_GB2312" w:hAnsi="楷体_GB2312" w:eastAsia="楷体_GB2312" w:cs="楷体_GB2312"/>
          <w:sz w:val="32"/>
          <w:szCs w:val="32"/>
          <w:highlight w:val="yellow"/>
        </w:rPr>
      </w:pPr>
      <w:r>
        <w:rPr>
          <w:rFonts w:hint="eastAsia" w:ascii="仿宋_GB2312" w:eastAsia="仿宋_GB2312" w:cs="仿宋_GB2312"/>
          <w:sz w:val="32"/>
          <w:szCs w:val="32"/>
        </w:rPr>
        <w:t>药品上市后</w:t>
      </w:r>
      <w:r>
        <w:rPr>
          <w:rFonts w:ascii="仿宋_GB2312" w:eastAsia="仿宋_GB2312" w:cs="仿宋_GB2312"/>
          <w:sz w:val="32"/>
          <w:szCs w:val="32"/>
        </w:rPr>
        <w:t>RMP</w:t>
      </w:r>
      <w:r>
        <w:rPr>
          <w:rFonts w:hint="eastAsia" w:ascii="仿宋_GB2312" w:eastAsia="仿宋_GB2312" w:cs="仿宋_GB2312"/>
          <w:sz w:val="32"/>
          <w:szCs w:val="32"/>
        </w:rPr>
        <w:t>基于对产品风险的全面分析，按照质量风险管理和产品生命周期理念，紧扣确证药品“三性”的工作目标，通过收集和评价药品自注册审评预留问题直至药品退市的全生命周期的数据信息，开展风险识别、评价、控制、回顾等管理工作，最大限度预防或降低已识别风险的发生。</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（一）与注册相关的风险管理（注册部分）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注册部分主要包含注册审评预留问题、产品取得药品注册证书后至商业化生产前（简称产品落地阶段）、通过上市前的</w:t>
      </w:r>
      <w:r>
        <w:rPr>
          <w:rFonts w:ascii="仿宋_GB2312" w:eastAsia="仿宋_GB2312" w:cs="仿宋_GB2312"/>
          <w:sz w:val="32"/>
          <w:szCs w:val="32"/>
        </w:rPr>
        <w:t>GMP</w:t>
      </w:r>
      <w:r>
        <w:rPr>
          <w:rFonts w:hint="eastAsia" w:ascii="仿宋_GB2312" w:eastAsia="仿宋_GB2312" w:cs="仿宋_GB2312"/>
          <w:sz w:val="32"/>
          <w:szCs w:val="32"/>
        </w:rPr>
        <w:t>符合性检查的商业化规模批次等三个方面的风险管理，具体如下：</w:t>
      </w:r>
    </w:p>
    <w:p>
      <w:pPr>
        <w:spacing w:line="560" w:lineRule="exact"/>
        <w:ind w:firstLine="643" w:firstLineChars="200"/>
        <w:rPr>
          <w:rFonts w:ascii="仿宋_GB2312" w:eastAsia="仿宋_GB2312" w:cs="仿宋_GB2312"/>
          <w:b/>
          <w:bCs/>
          <w:sz w:val="32"/>
          <w:szCs w:val="32"/>
        </w:rPr>
      </w:pPr>
      <w:r>
        <w:rPr>
          <w:rFonts w:ascii="仿宋_GB2312" w:eastAsia="仿宋_GB2312"/>
          <w:b/>
          <w:bCs/>
          <w:sz w:val="32"/>
          <w:szCs w:val="32"/>
        </w:rPr>
        <w:t>1.</w:t>
      </w:r>
      <w:r>
        <w:rPr>
          <w:rFonts w:hint="eastAsia" w:ascii="仿宋_GB2312" w:eastAsia="仿宋_GB2312" w:cs="仿宋_GB2312"/>
          <w:b/>
          <w:bCs/>
          <w:sz w:val="32"/>
          <w:szCs w:val="32"/>
        </w:rPr>
        <w:t>数据收集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注册审评预留问题的风险管理，包含药品上市申请时提交的风险管理计划、药品注册审批（含重大变更补充申请审批）审评结论中提出的要求。持有人应当按照上述要求开展相应的上市后研究，收集已取得的质量研究数据。</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）产品落地阶段的风险管理。持有人在产品落地阶段收集商业化生产条件下的厂房设施</w:t>
      </w:r>
      <w:r>
        <w:rPr>
          <w:rFonts w:ascii="仿宋_GB2312" w:eastAsia="仿宋_GB2312" w:cs="仿宋_GB2312"/>
          <w:sz w:val="32"/>
          <w:szCs w:val="32"/>
        </w:rPr>
        <w:t>/</w:t>
      </w:r>
      <w:r>
        <w:rPr>
          <w:rFonts w:hint="eastAsia" w:ascii="仿宋_GB2312" w:eastAsia="仿宋_GB2312" w:cs="仿宋_GB2312"/>
          <w:sz w:val="32"/>
          <w:szCs w:val="32"/>
        </w:rPr>
        <w:t>设备、原辅包及供应商信息、生产工艺控制、中间控制、质量标准、检验方法、标签等信息。风险检查报告模板见附件</w:t>
      </w:r>
      <w:r>
        <w:rPr>
          <w:rFonts w:ascii="仿宋_GB2312" w:eastAsia="仿宋_GB2312" w:cs="仿宋_GB2312"/>
          <w:sz w:val="32"/>
          <w:szCs w:val="32"/>
        </w:rPr>
        <w:t>1</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）通过上市前的</w:t>
      </w:r>
      <w:r>
        <w:rPr>
          <w:rFonts w:ascii="仿宋_GB2312" w:eastAsia="仿宋_GB2312" w:cs="仿宋_GB2312"/>
          <w:sz w:val="32"/>
          <w:szCs w:val="32"/>
        </w:rPr>
        <w:t>GMP</w:t>
      </w:r>
      <w:r>
        <w:rPr>
          <w:rFonts w:hint="eastAsia" w:ascii="仿宋_GB2312" w:eastAsia="仿宋_GB2312" w:cs="仿宋_GB2312"/>
          <w:sz w:val="32"/>
          <w:szCs w:val="32"/>
        </w:rPr>
        <w:t>符合性检查的商业化规模批次的风险管理。持有人应当收集与该批次相关的稳定性考察数据、销售流向、市场抽检、药物警戒等信息。</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．数据评价</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）持有人应当关注附条件批准或批件中要求持续研究的工作，是否按照承诺的计划开展了相应的研究，研究的进展和结果是否符合预期的效果。</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持有人在商业化生产前以检查表的形式确认商业化生产前是否存在风险，确认现有的生产条件、生产工艺、质量标准等资源配置是否满足生产需要，与注册批准一致。根据已识别的风险制定风险控制措施，确保各项风险在可控的范围内方可开始商业化生产。</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）持有人应当重点关注通过上市前的</w:t>
      </w:r>
      <w:r>
        <w:rPr>
          <w:rFonts w:ascii="仿宋_GB2312" w:eastAsia="仿宋_GB2312" w:cs="仿宋_GB2312"/>
          <w:sz w:val="32"/>
          <w:szCs w:val="32"/>
        </w:rPr>
        <w:t>GMP</w:t>
      </w:r>
      <w:r>
        <w:rPr>
          <w:rFonts w:hint="eastAsia" w:ascii="仿宋_GB2312" w:eastAsia="仿宋_GB2312" w:cs="仿宋_GB2312"/>
          <w:sz w:val="32"/>
          <w:szCs w:val="32"/>
        </w:rPr>
        <w:t>符合性检查的商业化规模批次的药品生产销售、临床使用等环节的风险信息，确保相关批次药品上市后风险可控。</w:t>
      </w:r>
    </w:p>
    <w:p>
      <w:pPr>
        <w:spacing w:line="560" w:lineRule="exact"/>
        <w:ind w:firstLine="640" w:firstLineChars="200"/>
        <w:rPr>
          <w:rFonts w:ascii="仿宋_GB2312" w:eastAsia="仿宋_GB2312" w:cs="仿宋_GB2312"/>
          <w:sz w:val="32"/>
          <w:szCs w:val="32"/>
        </w:rPr>
      </w:pPr>
      <w:r>
        <w:rPr>
          <w:rFonts w:hint="eastAsia" w:ascii="楷体_GB2312" w:hAnsi="楷体_GB2312" w:eastAsia="楷体_GB2312" w:cs="楷体_GB2312"/>
          <w:sz w:val="32"/>
          <w:szCs w:val="32"/>
        </w:rPr>
        <w:t>（二）生产环节风险管理（</w:t>
      </w:r>
      <w:r>
        <w:rPr>
          <w:rFonts w:ascii="楷体_GB2312" w:hAnsi="楷体_GB2312" w:eastAsia="楷体_GB2312" w:cs="楷体_GB2312"/>
          <w:sz w:val="32"/>
          <w:szCs w:val="32"/>
        </w:rPr>
        <w:t>GMP</w:t>
      </w:r>
      <w:r>
        <w:rPr>
          <w:rFonts w:hint="eastAsia" w:ascii="楷体_GB2312" w:hAnsi="楷体_GB2312" w:eastAsia="楷体_GB2312" w:cs="楷体_GB2312"/>
          <w:sz w:val="32"/>
          <w:szCs w:val="32"/>
        </w:rPr>
        <w:t>部分）</w:t>
      </w:r>
    </w:p>
    <w:p>
      <w:pPr>
        <w:spacing w:line="560" w:lineRule="exact"/>
        <w:ind w:firstLine="643" w:firstLineChars="200"/>
        <w:rPr>
          <w:rFonts w:ascii="仿宋_GB2312" w:eastAsia="仿宋_GB2312" w:cs="仿宋_GB2312"/>
          <w:b/>
          <w:bCs/>
          <w:sz w:val="32"/>
          <w:szCs w:val="32"/>
        </w:rPr>
      </w:pPr>
      <w:r>
        <w:rPr>
          <w:rFonts w:ascii="仿宋_GB2312" w:eastAsia="仿宋_GB2312"/>
          <w:b/>
          <w:bCs/>
          <w:sz w:val="32"/>
          <w:szCs w:val="32"/>
        </w:rPr>
        <w:t>1.</w:t>
      </w:r>
      <w:r>
        <w:rPr>
          <w:rFonts w:hint="eastAsia" w:ascii="仿宋_GB2312" w:eastAsia="仿宋_GB2312" w:cs="仿宋_GB2312"/>
          <w:b/>
          <w:bCs/>
          <w:sz w:val="32"/>
          <w:szCs w:val="32"/>
        </w:rPr>
        <w:t>数据收集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按照药品法律法规和</w:t>
      </w:r>
      <w:r>
        <w:rPr>
          <w:rFonts w:ascii="仿宋_GB2312" w:eastAsia="仿宋_GB2312" w:cs="仿宋_GB2312"/>
          <w:sz w:val="32"/>
          <w:szCs w:val="32"/>
        </w:rPr>
        <w:t>GMP</w:t>
      </w:r>
      <w:r>
        <w:rPr>
          <w:rFonts w:hint="eastAsia" w:ascii="仿宋_GB2312" w:eastAsia="仿宋_GB2312" w:cs="仿宋_GB2312"/>
          <w:sz w:val="32"/>
          <w:szCs w:val="32"/>
          <w:lang w:eastAsia="zh-CN"/>
        </w:rPr>
        <w:t>要求</w:t>
      </w:r>
      <w:r>
        <w:rPr>
          <w:rFonts w:hint="eastAsia" w:ascii="仿宋_GB2312" w:eastAsia="仿宋_GB2312" w:cs="仿宋_GB2312"/>
          <w:sz w:val="32"/>
          <w:szCs w:val="32"/>
        </w:rPr>
        <w:t>，以产品年度质量回顾分析报告为基础，收集和产品相关的原辅包、中间产品和成品检验数据、生产过程控制数据、变更、偏差、</w:t>
      </w:r>
      <w:r>
        <w:rPr>
          <w:rFonts w:ascii="仿宋_GB2312" w:eastAsia="仿宋_GB2312" w:cs="仿宋_GB2312"/>
          <w:sz w:val="32"/>
          <w:szCs w:val="32"/>
        </w:rPr>
        <w:t>OOS/OOT/OOE</w:t>
      </w:r>
      <w:r>
        <w:rPr>
          <w:rFonts w:hint="eastAsia" w:ascii="仿宋_GB2312" w:eastAsia="仿宋_GB2312" w:cs="仿宋_GB2312"/>
          <w:sz w:val="32"/>
          <w:szCs w:val="32"/>
        </w:rPr>
        <w:t>（确认的）、客户投诉、产品召回、稳定性数据、不合格、返工</w:t>
      </w:r>
      <w:r>
        <w:rPr>
          <w:rFonts w:ascii="仿宋_GB2312" w:eastAsia="仿宋_GB2312" w:cs="仿宋_GB2312"/>
          <w:sz w:val="32"/>
          <w:szCs w:val="32"/>
        </w:rPr>
        <w:t>/</w:t>
      </w:r>
      <w:r>
        <w:rPr>
          <w:rFonts w:hint="eastAsia" w:ascii="仿宋_GB2312" w:eastAsia="仿宋_GB2312" w:cs="仿宋_GB2312"/>
          <w:sz w:val="32"/>
          <w:szCs w:val="32"/>
        </w:rPr>
        <w:t>重新加工信息和质量退货数据。</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．数据评价</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每批放行前按照上市放行流程审核相关数据，发现异常及时调查处理，评价对药品“三性”的影响及范围，及时采取风险控制措施。每年以产品年度质量回顾分析的形式进行统计，分析趋势，识别生产工艺控制过程中存在的风险隐患，对已识别的风险及时采取有效控制措施。</w:t>
      </w:r>
    </w:p>
    <w:p>
      <w:pPr>
        <w:spacing w:line="560" w:lineRule="exact"/>
        <w:ind w:firstLine="640" w:firstLineChars="200"/>
        <w:rPr>
          <w:rFonts w:ascii="仿宋_GB2312" w:eastAsia="仿宋_GB2312" w:cs="仿宋_GB2312"/>
          <w:sz w:val="32"/>
          <w:szCs w:val="32"/>
        </w:rPr>
      </w:pPr>
      <w:r>
        <w:rPr>
          <w:rFonts w:hint="eastAsia" w:ascii="楷体_GB2312" w:hAnsi="楷体_GB2312" w:eastAsia="楷体_GB2312" w:cs="楷体_GB2312"/>
          <w:sz w:val="32"/>
          <w:szCs w:val="32"/>
        </w:rPr>
        <w:t>（三）储存运输环节风险管理（</w:t>
      </w:r>
      <w:r>
        <w:rPr>
          <w:rFonts w:ascii="楷体_GB2312" w:hAnsi="楷体_GB2312" w:eastAsia="楷体_GB2312" w:cs="楷体_GB2312"/>
          <w:sz w:val="32"/>
          <w:szCs w:val="32"/>
        </w:rPr>
        <w:t>GSP</w:t>
      </w:r>
      <w:r>
        <w:rPr>
          <w:rFonts w:hint="eastAsia" w:ascii="楷体_GB2312" w:hAnsi="楷体_GB2312" w:eastAsia="楷体_GB2312" w:cs="楷体_GB2312"/>
          <w:sz w:val="32"/>
          <w:szCs w:val="32"/>
        </w:rPr>
        <w:t>部分）</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数据收集</w:t>
      </w:r>
    </w:p>
    <w:p>
      <w:pPr>
        <w:spacing w:line="560" w:lineRule="exact"/>
        <w:ind w:firstLine="640" w:firstLineChars="200"/>
        <w:rPr>
          <w:rFonts w:ascii="仿宋_GB2312" w:eastAsia="仿宋_GB2312" w:cs="仿宋_GB2312"/>
          <w:b/>
          <w:bCs/>
          <w:sz w:val="32"/>
          <w:szCs w:val="32"/>
        </w:rPr>
      </w:pPr>
      <w:r>
        <w:rPr>
          <w:rFonts w:hint="eastAsia" w:ascii="仿宋_GB2312" w:eastAsia="仿宋_GB2312" w:cs="仿宋_GB2312"/>
          <w:sz w:val="32"/>
          <w:szCs w:val="32"/>
          <w:lang w:eastAsia="zh-CN"/>
        </w:rPr>
        <w:t>按照药品法律法规和</w:t>
      </w:r>
      <w:r>
        <w:rPr>
          <w:rFonts w:ascii="仿宋_GB2312" w:eastAsia="仿宋_GB2312" w:cs="仿宋_GB2312"/>
          <w:sz w:val="32"/>
          <w:szCs w:val="32"/>
        </w:rPr>
        <w:t>GSP</w:t>
      </w:r>
      <w:r>
        <w:rPr>
          <w:rFonts w:hint="eastAsia" w:ascii="仿宋_GB2312" w:eastAsia="仿宋_GB2312" w:cs="仿宋_GB2312"/>
          <w:sz w:val="32"/>
          <w:szCs w:val="32"/>
          <w:lang w:eastAsia="zh-CN"/>
        </w:rPr>
        <w:t>要求</w:t>
      </w:r>
      <w:r>
        <w:rPr>
          <w:rFonts w:hint="eastAsia" w:ascii="仿宋_GB2312" w:eastAsia="仿宋_GB2312" w:cs="仿宋_GB2312"/>
          <w:sz w:val="32"/>
          <w:szCs w:val="32"/>
        </w:rPr>
        <w:t>，持有人应当收集药品储存、运输过程中数据信息，供应运输链及药品追溯体系的完善性信息，包括委托开展药品储存、运输的，开展委托储存、运输前，对受托方的质量保证能力和风险管理能力评估情况；委托存储、运输冷藏冷冻药品的，对受托方的运输工具、运输方式、过程温度等有效管控情况。</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数据评价</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应对药品储存、运输过程开展评估、验证、审核等质量管理活动，评估供应运输链及药品追溯体系的完善性，评估药品购销渠道是否流入非法渠道，评估受托方是否按照质量协议开展药品储存、运输，评价是否存在不可控的风险因素，评估对上市药品的质量安全性和可控性影响，对已识别的风险及时采取有效控制措施，确保发生质量安全风险的药品可召回、责任可追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（四）临床使用环节风险管理（</w:t>
      </w:r>
      <w:r>
        <w:rPr>
          <w:rFonts w:ascii="楷体_GB2312" w:hAnsi="楷体_GB2312" w:eastAsia="楷体_GB2312" w:cs="楷体_GB2312"/>
          <w:sz w:val="32"/>
          <w:szCs w:val="32"/>
        </w:rPr>
        <w:t>GVP</w:t>
      </w:r>
      <w:r>
        <w:rPr>
          <w:rFonts w:hint="eastAsia" w:ascii="楷体_GB2312" w:hAnsi="楷体_GB2312" w:eastAsia="楷体_GB2312" w:cs="楷体_GB2312"/>
          <w:sz w:val="32"/>
          <w:szCs w:val="32"/>
        </w:rPr>
        <w:t>部分）</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信息收集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eastAsia="zh-CN"/>
        </w:rPr>
        <w:t>按照药品法律法规和</w:t>
      </w:r>
      <w:r>
        <w:rPr>
          <w:rFonts w:ascii="仿宋_GB2312" w:eastAsia="仿宋_GB2312" w:cs="仿宋_GB2312"/>
          <w:sz w:val="32"/>
          <w:szCs w:val="32"/>
        </w:rPr>
        <w:t>GVP</w:t>
      </w:r>
      <w:r>
        <w:rPr>
          <w:rFonts w:hint="eastAsia" w:ascii="仿宋_GB2312" w:eastAsia="仿宋_GB2312" w:cs="仿宋_GB2312"/>
          <w:sz w:val="32"/>
          <w:szCs w:val="32"/>
          <w:lang w:eastAsia="zh-CN"/>
        </w:rPr>
        <w:t>要求</w:t>
      </w:r>
      <w:r>
        <w:rPr>
          <w:rFonts w:hint="eastAsia" w:ascii="仿宋_GB2312" w:eastAsia="仿宋_GB2312" w:cs="仿宋_GB2312"/>
          <w:sz w:val="32"/>
          <w:szCs w:val="32"/>
        </w:rPr>
        <w:t>，以药物警戒计划和药物警戒年度报告为基础，主要收集药品不良反应及其他与用药有关的有害反应等药物警戒信息，自发主动收集和被动反馈征集相结合。对于重大变更批准后前三批、涉及重大偏差、不良趋势等特殊放行批次产品，持有人应当重点跟踪收集药物警戒信息。</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信息评价</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将检测的信号进行筛选、分析、评估，必要时进行风险获益评估。对于经过评估后确认的已识别风险和潜在风险，药物警戒部门应立即向药品安全委员会汇报，由持有人根据评估的情况制定相应的风险控制措施。持有人应当根据风险评估结果，对发现存在重要风险的已上市药品以及监管部门要求的，制定并实施药物警戒计划。</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监管和行业变化引发的风险管理</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信息收集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bCs/>
          <w:sz w:val="32"/>
          <w:szCs w:val="32"/>
        </w:rPr>
        <w:t>（</w:t>
      </w:r>
      <w:r>
        <w:rPr>
          <w:rFonts w:ascii="仿宋_GB2312" w:eastAsia="仿宋_GB2312" w:cs="仿宋_GB2312"/>
          <w:bCs/>
          <w:sz w:val="32"/>
          <w:szCs w:val="32"/>
        </w:rPr>
        <w:t>1</w:t>
      </w:r>
      <w:r>
        <w:rPr>
          <w:rFonts w:hint="eastAsia" w:ascii="仿宋_GB2312" w:eastAsia="仿宋_GB2312" w:cs="仿宋_GB2312"/>
          <w:bCs/>
          <w:sz w:val="32"/>
          <w:szCs w:val="32"/>
        </w:rPr>
        <w:t>）监管部门反馈的信息：</w:t>
      </w:r>
      <w:r>
        <w:rPr>
          <w:rFonts w:hint="eastAsia" w:ascii="仿宋_GB2312" w:eastAsia="仿宋_GB2312" w:cs="仿宋_GB2312"/>
          <w:sz w:val="32"/>
          <w:szCs w:val="32"/>
        </w:rPr>
        <w:t>包括</w:t>
      </w:r>
      <w:r>
        <w:rPr>
          <w:rFonts w:hint="eastAsia" w:ascii="仿宋_GB2312" w:hAnsi="仿宋" w:eastAsia="仿宋_GB2312"/>
          <w:sz w:val="32"/>
          <w:szCs w:val="32"/>
        </w:rPr>
        <w:t>各类</w:t>
      </w:r>
      <w:r>
        <w:rPr>
          <w:rFonts w:hint="eastAsia" w:ascii="仿宋_GB2312" w:eastAsia="仿宋_GB2312" w:cs="仿宋_GB2312"/>
          <w:sz w:val="32"/>
          <w:szCs w:val="32"/>
        </w:rPr>
        <w:t>检查信息</w:t>
      </w:r>
      <w:r>
        <w:rPr>
          <w:rFonts w:hint="eastAsia" w:ascii="仿宋_GB2312" w:hAnsi="仿宋" w:eastAsia="仿宋_GB2312"/>
          <w:sz w:val="32"/>
          <w:szCs w:val="32"/>
        </w:rPr>
        <w:t>（包括注册核查、许可检查、常规检查、有因检查、其他检查等）</w:t>
      </w:r>
      <w:r>
        <w:rPr>
          <w:rFonts w:hint="eastAsia" w:ascii="仿宋_GB2312" w:eastAsia="仿宋_GB2312" w:cs="仿宋_GB2312"/>
          <w:sz w:val="32"/>
          <w:szCs w:val="32"/>
        </w:rPr>
        <w:t>、抽检信息、风险提示函、不良反应监测特别是聚集性信号以及监管部门反馈的评价信息如修订说明书、临床风险、产品风险获益评估、产品退市信息等。</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w:t>
      </w:r>
      <w:r>
        <w:rPr>
          <w:rFonts w:hint="eastAsia" w:ascii="仿宋_GB2312" w:eastAsia="仿宋_GB2312" w:cs="仿宋_GB2312"/>
          <w:bCs/>
          <w:sz w:val="32"/>
          <w:szCs w:val="32"/>
        </w:rPr>
        <w:t>新法规</w:t>
      </w:r>
      <w:r>
        <w:rPr>
          <w:rFonts w:ascii="仿宋_GB2312" w:eastAsia="仿宋_GB2312" w:cs="仿宋_GB2312"/>
          <w:bCs/>
          <w:sz w:val="32"/>
          <w:szCs w:val="32"/>
        </w:rPr>
        <w:t>/</w:t>
      </w:r>
      <w:r>
        <w:rPr>
          <w:rFonts w:hint="eastAsia" w:ascii="仿宋_GB2312" w:eastAsia="仿宋_GB2312" w:cs="仿宋_GB2312"/>
          <w:bCs/>
          <w:sz w:val="32"/>
          <w:szCs w:val="32"/>
        </w:rPr>
        <w:t>新标准</w:t>
      </w:r>
      <w:r>
        <w:rPr>
          <w:rFonts w:ascii="仿宋_GB2312" w:eastAsia="仿宋_GB2312" w:cs="仿宋_GB2312"/>
          <w:bCs/>
          <w:sz w:val="32"/>
          <w:szCs w:val="32"/>
        </w:rPr>
        <w:t>/</w:t>
      </w:r>
      <w:r>
        <w:rPr>
          <w:rFonts w:hint="eastAsia" w:ascii="仿宋_GB2312" w:eastAsia="仿宋_GB2312" w:cs="仿宋_GB2312"/>
          <w:bCs/>
          <w:sz w:val="32"/>
          <w:szCs w:val="32"/>
        </w:rPr>
        <w:t>新技术引入的信息：</w:t>
      </w:r>
      <w:r>
        <w:rPr>
          <w:rFonts w:hint="eastAsia" w:ascii="仿宋_GB2312" w:eastAsia="仿宋_GB2312" w:cs="仿宋_GB2312"/>
          <w:sz w:val="32"/>
          <w:szCs w:val="32"/>
        </w:rPr>
        <w:t>持有人应当关注行业动态变化，如新法规发布、标准升级、新增检测技术要求、行业重大事件引发的新要求等。</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信息评价</w:t>
      </w:r>
    </w:p>
    <w:p>
      <w:pPr>
        <w:spacing w:line="560" w:lineRule="exact"/>
        <w:ind w:firstLine="640" w:firstLineChars="200"/>
        <w:rPr>
          <w:rFonts w:ascii="仿宋_GB2312" w:eastAsia="仿宋_GB2312" w:cs="仿宋_GB2312"/>
          <w:color w:val="FF0000"/>
          <w:sz w:val="32"/>
          <w:szCs w:val="32"/>
        </w:rPr>
      </w:pPr>
      <w:r>
        <w:rPr>
          <w:rFonts w:hint="eastAsia" w:ascii="仿宋_GB2312" w:eastAsia="仿宋_GB2312" w:cs="仿宋_GB2312"/>
          <w:bCs/>
          <w:sz w:val="32"/>
          <w:szCs w:val="32"/>
        </w:rPr>
        <w:t>（</w:t>
      </w:r>
      <w:r>
        <w:rPr>
          <w:rFonts w:ascii="仿宋_GB2312" w:eastAsia="仿宋_GB2312" w:cs="仿宋_GB2312"/>
          <w:bCs/>
          <w:sz w:val="32"/>
          <w:szCs w:val="32"/>
        </w:rPr>
        <w:t>1</w:t>
      </w:r>
      <w:r>
        <w:rPr>
          <w:rFonts w:hint="eastAsia" w:ascii="仿宋_GB2312" w:eastAsia="仿宋_GB2312" w:cs="仿宋_GB2312"/>
          <w:bCs/>
          <w:sz w:val="32"/>
          <w:szCs w:val="32"/>
        </w:rPr>
        <w:t>）监管部门反馈的信息：</w:t>
      </w:r>
      <w:r>
        <w:rPr>
          <w:rFonts w:hint="eastAsia" w:ascii="仿宋_GB2312" w:eastAsia="仿宋_GB2312" w:cs="仿宋_GB2312"/>
          <w:sz w:val="32"/>
          <w:szCs w:val="32"/>
        </w:rPr>
        <w:t>持有人应当积极组织相应领域专业技术人员对药监部门反馈的监督检查、药品抽检、风险提示函等信息进行充分的评估和评价，确认反馈信息对上市后药品质量的影响，评价对患者的用药安全性和有效性的影响。尤其对于药品质量影响严重的，持有人应当积极采取暂停生产和销售及召回产品等风险控制措施。</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w:t>
      </w:r>
      <w:r>
        <w:rPr>
          <w:rFonts w:hint="eastAsia" w:ascii="仿宋_GB2312" w:eastAsia="仿宋_GB2312" w:cs="仿宋_GB2312"/>
          <w:bCs/>
          <w:sz w:val="32"/>
          <w:szCs w:val="32"/>
        </w:rPr>
        <w:t>新法规</w:t>
      </w:r>
      <w:r>
        <w:rPr>
          <w:rFonts w:ascii="仿宋_GB2312" w:eastAsia="仿宋_GB2312" w:cs="仿宋_GB2312"/>
          <w:bCs/>
          <w:sz w:val="32"/>
          <w:szCs w:val="32"/>
        </w:rPr>
        <w:t>/</w:t>
      </w:r>
      <w:r>
        <w:rPr>
          <w:rFonts w:hint="eastAsia" w:ascii="仿宋_GB2312" w:eastAsia="仿宋_GB2312" w:cs="仿宋_GB2312"/>
          <w:bCs/>
          <w:sz w:val="32"/>
          <w:szCs w:val="32"/>
        </w:rPr>
        <w:t>新标准</w:t>
      </w:r>
      <w:r>
        <w:rPr>
          <w:rFonts w:ascii="仿宋_GB2312" w:eastAsia="仿宋_GB2312" w:cs="仿宋_GB2312"/>
          <w:bCs/>
          <w:sz w:val="32"/>
          <w:szCs w:val="32"/>
        </w:rPr>
        <w:t>/</w:t>
      </w:r>
      <w:r>
        <w:rPr>
          <w:rFonts w:hint="eastAsia" w:ascii="仿宋_GB2312" w:eastAsia="仿宋_GB2312" w:cs="仿宋_GB2312"/>
          <w:bCs/>
          <w:sz w:val="32"/>
          <w:szCs w:val="32"/>
        </w:rPr>
        <w:t>新技术引入的信息：持有人应当</w:t>
      </w:r>
      <w:r>
        <w:rPr>
          <w:rFonts w:hint="eastAsia" w:ascii="仿宋_GB2312" w:eastAsia="仿宋_GB2312" w:cs="仿宋_GB2312"/>
          <w:sz w:val="32"/>
          <w:szCs w:val="32"/>
        </w:rPr>
        <w:t>组织相关职能部门开展相应的质量研究工作，提升药品质量，降低上市后药品质量风险。在定期药品风险评估时应当收集该品种在新标准</w:t>
      </w:r>
      <w:r>
        <w:rPr>
          <w:rFonts w:ascii="仿宋_GB2312" w:eastAsia="仿宋_GB2312" w:cs="仿宋_GB2312"/>
          <w:sz w:val="32"/>
          <w:szCs w:val="32"/>
        </w:rPr>
        <w:t>/</w:t>
      </w:r>
      <w:r>
        <w:rPr>
          <w:rFonts w:hint="eastAsia" w:ascii="仿宋_GB2312" w:eastAsia="仿宋_GB2312" w:cs="仿宋_GB2312"/>
          <w:sz w:val="32"/>
          <w:szCs w:val="32"/>
        </w:rPr>
        <w:t>新技术引入后各项质量研究工作的开展情况，评价对药品质量的影响，对已识别的风险采取相应的风险控制措施</w:t>
      </w:r>
    </w:p>
    <w:p>
      <w:pPr>
        <w:spacing w:line="560" w:lineRule="exact"/>
        <w:ind w:firstLine="640" w:firstLineChars="200"/>
        <w:rPr>
          <w:rFonts w:ascii="黑体" w:eastAsia="黑体"/>
          <w:sz w:val="32"/>
          <w:szCs w:val="32"/>
        </w:rPr>
      </w:pPr>
      <w:r>
        <w:rPr>
          <w:rFonts w:hint="eastAsia" w:ascii="黑体" w:eastAsia="黑体"/>
          <w:sz w:val="32"/>
          <w:szCs w:val="32"/>
        </w:rPr>
        <w:t>五、药品上市后</w:t>
      </w:r>
      <w:r>
        <w:rPr>
          <w:rFonts w:ascii="黑体" w:eastAsia="黑体"/>
          <w:sz w:val="32"/>
          <w:szCs w:val="32"/>
        </w:rPr>
        <w:t xml:space="preserve">RMP </w:t>
      </w:r>
      <w:r>
        <w:rPr>
          <w:rFonts w:hint="eastAsia" w:ascii="黑体" w:eastAsia="黑体"/>
          <w:sz w:val="32"/>
          <w:szCs w:val="32"/>
        </w:rPr>
        <w:t>实施流程</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持有人首先应当对已上市药品进行风险分级，然后根据风险分级结果制定具体的实施计划，按照计划实施风险评估并输出报告，定期进行风险回顾和风险再评估。具体实施流程参见附件</w:t>
      </w:r>
      <w:r>
        <w:rPr>
          <w:rFonts w:ascii="仿宋_GB2312" w:eastAsia="仿宋_GB2312" w:cs="仿宋_GB2312"/>
          <w:sz w:val="32"/>
          <w:szCs w:val="32"/>
        </w:rPr>
        <w:t>2</w:t>
      </w:r>
      <w:r>
        <w:rPr>
          <w:rFonts w:hint="eastAsia" w:asci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（一）开展风险分级</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分级方法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持有人应当从产品成熟度出发，综合考虑各分级项目对药品“三性”的影响，采用风险评估的方式对已上市药品进行风险分级，依风险程度将药品分为</w:t>
      </w:r>
      <w:r>
        <w:rPr>
          <w:rFonts w:hint="eastAsia" w:ascii="仿宋_GB2312" w:eastAsia="仿宋_GB2312" w:cs="仿宋_GB2312"/>
          <w:sz w:val="32"/>
          <w:szCs w:val="32"/>
          <w:lang w:eastAsia="zh-CN"/>
        </w:rPr>
        <w:t>主要监测</w:t>
      </w:r>
      <w:r>
        <w:rPr>
          <w:rFonts w:hint="eastAsia" w:ascii="仿宋_GB2312" w:eastAsia="仿宋_GB2312" w:cs="仿宋_GB2312"/>
          <w:sz w:val="32"/>
          <w:szCs w:val="32"/>
        </w:rPr>
        <w:t>品种、</w:t>
      </w:r>
      <w:r>
        <w:rPr>
          <w:rFonts w:hint="eastAsia" w:ascii="仿宋_GB2312" w:eastAsia="仿宋_GB2312" w:cs="仿宋_GB2312"/>
          <w:sz w:val="32"/>
          <w:szCs w:val="32"/>
          <w:lang w:eastAsia="zh-CN"/>
        </w:rPr>
        <w:t>次要监控</w:t>
      </w:r>
      <w:r>
        <w:rPr>
          <w:rFonts w:hint="eastAsia" w:ascii="仿宋_GB2312" w:eastAsia="仿宋_GB2312" w:cs="仿宋_GB2312"/>
          <w:sz w:val="32"/>
          <w:szCs w:val="32"/>
        </w:rPr>
        <w:t>品种和</w:t>
      </w:r>
      <w:r>
        <w:rPr>
          <w:rFonts w:hint="eastAsia" w:ascii="仿宋_GB2312" w:eastAsia="仿宋_GB2312" w:cs="仿宋_GB2312"/>
          <w:sz w:val="32"/>
          <w:szCs w:val="32"/>
          <w:lang w:eastAsia="zh-CN"/>
        </w:rPr>
        <w:t>一般监控</w:t>
      </w:r>
      <w:r>
        <w:rPr>
          <w:rFonts w:hint="eastAsia" w:ascii="仿宋_GB2312" w:eastAsia="仿宋_GB2312" w:cs="仿宋_GB2312"/>
          <w:sz w:val="32"/>
          <w:szCs w:val="32"/>
        </w:rPr>
        <w:t>品种。</w:t>
      </w:r>
    </w:p>
    <w:p>
      <w:pPr>
        <w:spacing w:line="360" w:lineRule="auto"/>
        <w:ind w:firstLine="0" w:firstLineChars="0"/>
        <w:rPr>
          <w:rFonts w:ascii="仿宋_GB2312" w:eastAsia="仿宋_GB2312" w:cs="仿宋_GB2312"/>
          <w:sz w:val="32"/>
          <w:szCs w:val="32"/>
        </w:rPr>
      </w:pPr>
      <w:r>
        <w:rPr>
          <w:rFonts w:hint="eastAsia" w:ascii="仿宋_GB2312" w:eastAsia="仿宋_GB2312" w:cs="仿宋_GB2312"/>
          <w:sz w:val="32"/>
          <w:szCs w:val="32"/>
        </w:rPr>
        <w:t>表</w:t>
      </w:r>
      <w:r>
        <w:rPr>
          <w:rFonts w:ascii="仿宋_GB2312" w:eastAsia="仿宋_GB2312" w:cs="仿宋_GB2312"/>
          <w:sz w:val="32"/>
          <w:szCs w:val="32"/>
        </w:rPr>
        <w:t xml:space="preserve">1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黑体" w:hAnsi="黑体" w:eastAsia="黑体" w:cs="黑体"/>
          <w:sz w:val="32"/>
          <w:szCs w:val="32"/>
        </w:rPr>
        <w:t>已上市药品风险分级方法</w:t>
      </w:r>
    </w:p>
    <w:tbl>
      <w:tblPr>
        <w:tblStyle w:val="11"/>
        <w:tblW w:w="9144"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3"/>
        <w:gridCol w:w="2151"/>
        <w:gridCol w:w="2295"/>
        <w:gridCol w:w="2385"/>
        <w:tblGridChange w:id="0">
          <w:tblGrid>
            <w:gridCol w:w="2313"/>
            <w:gridCol w:w="2151"/>
            <w:gridCol w:w="2295"/>
            <w:gridCol w:w="2385"/>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13" w:type="dxa"/>
            <w:vAlign w:val="center"/>
          </w:tcPr>
          <w:p>
            <w:pPr>
              <w:spacing w:line="360" w:lineRule="auto"/>
              <w:jc w:val="center"/>
              <w:rPr>
                <w:rFonts w:ascii="仿宋_GB2312" w:eastAsia="仿宋_GB2312" w:cs="仿宋_GB2312"/>
                <w:b/>
                <w:bCs/>
                <w:sz w:val="24"/>
                <w:szCs w:val="24"/>
              </w:rPr>
            </w:pPr>
            <w:r>
              <w:rPr>
                <w:rFonts w:hint="eastAsia" w:ascii="仿宋_GB2312" w:eastAsia="仿宋_GB2312" w:cs="仿宋_GB2312"/>
                <w:b/>
                <w:bCs/>
                <w:sz w:val="24"/>
                <w:szCs w:val="24"/>
              </w:rPr>
              <w:t>分级项目</w:t>
            </w:r>
          </w:p>
        </w:tc>
        <w:tc>
          <w:tcPr>
            <w:tcW w:w="2151" w:type="dxa"/>
            <w:vAlign w:val="center"/>
          </w:tcPr>
          <w:p>
            <w:pPr>
              <w:spacing w:line="360" w:lineRule="auto"/>
              <w:jc w:val="center"/>
              <w:rPr>
                <w:rFonts w:ascii="仿宋_GB2312" w:eastAsia="仿宋_GB2312" w:cs="仿宋_GB2312"/>
                <w:b/>
                <w:bCs/>
                <w:sz w:val="24"/>
                <w:szCs w:val="24"/>
              </w:rPr>
            </w:pPr>
            <w:r>
              <w:rPr>
                <w:rFonts w:hint="eastAsia" w:ascii="仿宋_GB2312" w:eastAsia="仿宋_GB2312" w:cs="仿宋_GB2312"/>
                <w:b/>
                <w:bCs/>
                <w:sz w:val="24"/>
                <w:szCs w:val="24"/>
                <w:lang w:eastAsia="zh-CN"/>
              </w:rPr>
              <w:t>主要监控</w:t>
            </w:r>
            <w:r>
              <w:rPr>
                <w:rFonts w:hint="eastAsia" w:ascii="仿宋_GB2312" w:eastAsia="仿宋_GB2312" w:cs="仿宋_GB2312"/>
                <w:b/>
                <w:bCs/>
                <w:sz w:val="24"/>
                <w:szCs w:val="24"/>
              </w:rPr>
              <w:t>品种</w:t>
            </w:r>
          </w:p>
        </w:tc>
        <w:tc>
          <w:tcPr>
            <w:tcW w:w="2295" w:type="dxa"/>
            <w:vAlign w:val="center"/>
          </w:tcPr>
          <w:p>
            <w:pPr>
              <w:spacing w:line="360" w:lineRule="auto"/>
              <w:jc w:val="center"/>
              <w:rPr>
                <w:rFonts w:ascii="仿宋_GB2312" w:eastAsia="仿宋_GB2312" w:cs="仿宋_GB2312"/>
                <w:b/>
                <w:bCs/>
                <w:sz w:val="24"/>
                <w:szCs w:val="24"/>
              </w:rPr>
            </w:pPr>
            <w:r>
              <w:rPr>
                <w:rFonts w:hint="eastAsia" w:ascii="仿宋_GB2312" w:eastAsia="仿宋_GB2312" w:cs="仿宋_GB2312"/>
                <w:b/>
                <w:bCs/>
                <w:sz w:val="24"/>
                <w:szCs w:val="24"/>
                <w:lang w:eastAsia="zh-CN"/>
              </w:rPr>
              <w:t>次要监控</w:t>
            </w:r>
            <w:r>
              <w:rPr>
                <w:rFonts w:hint="eastAsia" w:ascii="仿宋_GB2312" w:eastAsia="仿宋_GB2312" w:cs="仿宋_GB2312"/>
                <w:b/>
                <w:bCs/>
                <w:sz w:val="24"/>
                <w:szCs w:val="24"/>
              </w:rPr>
              <w:t>品种</w:t>
            </w:r>
          </w:p>
        </w:tc>
        <w:tc>
          <w:tcPr>
            <w:tcW w:w="2385" w:type="dxa"/>
            <w:vAlign w:val="center"/>
          </w:tcPr>
          <w:p>
            <w:pPr>
              <w:spacing w:line="360" w:lineRule="auto"/>
              <w:jc w:val="center"/>
              <w:rPr>
                <w:rFonts w:ascii="仿宋_GB2312" w:eastAsia="仿宋_GB2312" w:cs="仿宋_GB2312"/>
                <w:b/>
                <w:bCs/>
                <w:sz w:val="24"/>
                <w:szCs w:val="24"/>
              </w:rPr>
            </w:pPr>
            <w:r>
              <w:rPr>
                <w:rFonts w:hint="eastAsia" w:ascii="仿宋_GB2312" w:eastAsia="仿宋_GB2312" w:cs="仿宋_GB2312"/>
                <w:b/>
                <w:bCs/>
                <w:sz w:val="24"/>
                <w:szCs w:val="24"/>
                <w:lang w:eastAsia="zh-CN"/>
              </w:rPr>
              <w:t>一般监控</w:t>
            </w:r>
            <w:r>
              <w:rPr>
                <w:rFonts w:hint="eastAsia" w:ascii="仿宋_GB2312" w:eastAsia="仿宋_GB2312" w:cs="仿宋_GB2312"/>
                <w:b/>
                <w:bCs/>
                <w:sz w:val="24"/>
                <w:szCs w:val="24"/>
              </w:rPr>
              <w:t>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2313"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生产批次（获批后所有上市批次）</w:t>
            </w:r>
          </w:p>
        </w:tc>
        <w:tc>
          <w:tcPr>
            <w:tcW w:w="2151" w:type="dxa"/>
            <w:vAlign w:val="center"/>
          </w:tcPr>
          <w:p>
            <w:pPr>
              <w:spacing w:line="360" w:lineRule="auto"/>
              <w:jc w:val="center"/>
              <w:rPr>
                <w:rFonts w:ascii="仿宋_GB2312" w:eastAsia="仿宋_GB2312" w:cs="仿宋_GB2312"/>
                <w:sz w:val="24"/>
                <w:szCs w:val="24"/>
              </w:rPr>
            </w:pPr>
            <w:r>
              <w:rPr>
                <w:rFonts w:ascii="仿宋_GB2312" w:eastAsia="仿宋_GB2312" w:cs="仿宋_GB2312"/>
                <w:sz w:val="24"/>
                <w:szCs w:val="24"/>
              </w:rPr>
              <w:t>N/A</w:t>
            </w:r>
          </w:p>
        </w:tc>
        <w:tc>
          <w:tcPr>
            <w:tcW w:w="229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商业化生产批次＜</w:t>
            </w:r>
            <w:r>
              <w:rPr>
                <w:rFonts w:ascii="仿宋_GB2312" w:eastAsia="仿宋_GB2312" w:cs="仿宋_GB2312"/>
                <w:sz w:val="24"/>
                <w:szCs w:val="24"/>
              </w:rPr>
              <w:t>20</w:t>
            </w:r>
            <w:r>
              <w:rPr>
                <w:rFonts w:hint="eastAsia" w:ascii="仿宋_GB2312" w:eastAsia="仿宋_GB2312" w:cs="仿宋_GB2312"/>
                <w:sz w:val="24"/>
                <w:szCs w:val="24"/>
              </w:rPr>
              <w:t>批次</w:t>
            </w:r>
          </w:p>
        </w:tc>
        <w:tc>
          <w:tcPr>
            <w:tcW w:w="238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商业化生产批次≥</w:t>
            </w:r>
            <w:r>
              <w:rPr>
                <w:rFonts w:ascii="仿宋_GB2312" w:eastAsia="仿宋_GB2312" w:cs="仿宋_GB2312"/>
                <w:sz w:val="24"/>
                <w:szCs w:val="24"/>
              </w:rPr>
              <w:t>20</w:t>
            </w:r>
            <w:r>
              <w:rPr>
                <w:rFonts w:hint="eastAsia" w:ascii="仿宋_GB2312" w:eastAsia="仿宋_GB2312" w:cs="仿宋_GB2312"/>
                <w:sz w:val="24"/>
                <w:szCs w:val="24"/>
              </w:rPr>
              <w:t>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2313"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上市时间</w:t>
            </w:r>
            <w:r>
              <w:rPr>
                <w:rFonts w:ascii="仿宋_GB2312" w:eastAsia="仿宋_GB2312" w:cs="仿宋_GB2312"/>
                <w:sz w:val="24"/>
                <w:szCs w:val="24"/>
              </w:rPr>
              <w:t>/</w:t>
            </w:r>
            <w:r>
              <w:rPr>
                <w:rFonts w:hint="eastAsia" w:ascii="仿宋_GB2312" w:eastAsia="仿宋_GB2312" w:cs="仿宋_GB2312"/>
                <w:sz w:val="24"/>
                <w:szCs w:val="24"/>
              </w:rPr>
              <w:t>变更补充注册批准后生产时间（评估周期内最新批准变更时间）</w:t>
            </w:r>
          </w:p>
        </w:tc>
        <w:tc>
          <w:tcPr>
            <w:tcW w:w="2151" w:type="dxa"/>
            <w:vAlign w:val="center"/>
          </w:tcPr>
          <w:p>
            <w:pPr>
              <w:spacing w:line="360" w:lineRule="auto"/>
              <w:jc w:val="center"/>
              <w:rPr>
                <w:rFonts w:ascii="仿宋_GB2312" w:eastAsia="仿宋_GB2312" w:cs="仿宋_GB2312"/>
                <w:sz w:val="24"/>
                <w:szCs w:val="24"/>
              </w:rPr>
            </w:pPr>
            <w:r>
              <w:rPr>
                <w:rFonts w:ascii="仿宋_GB2312" w:eastAsia="仿宋_GB2312" w:cs="仿宋_GB2312"/>
                <w:sz w:val="24"/>
                <w:szCs w:val="24"/>
              </w:rPr>
              <w:t>N/A</w:t>
            </w:r>
          </w:p>
        </w:tc>
        <w:tc>
          <w:tcPr>
            <w:tcW w:w="229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上市不足一年或变更补充注册获批后不足一年</w:t>
            </w:r>
          </w:p>
        </w:tc>
        <w:tc>
          <w:tcPr>
            <w:tcW w:w="238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上市时间一年以上或变更补充注册获批后一年以上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2313" w:type="dxa"/>
            <w:vAlign w:val="center"/>
          </w:tcPr>
          <w:p>
            <w:pPr>
              <w:spacing w:line="360" w:lineRule="auto"/>
              <w:jc w:val="center"/>
              <w:rPr>
                <w:rFonts w:hint="eastAsia" w:ascii="仿宋_GB2312" w:eastAsia="仿宋_GB2312" w:cs="仿宋_GB2312"/>
                <w:sz w:val="24"/>
                <w:szCs w:val="24"/>
              </w:rPr>
            </w:pPr>
            <w:r>
              <w:rPr>
                <w:rFonts w:hint="eastAsia" w:ascii="仿宋_GB2312" w:eastAsia="仿宋_GB2312" w:cs="仿宋_GB2312"/>
                <w:sz w:val="24"/>
                <w:szCs w:val="24"/>
              </w:rPr>
              <w:t>附条件批准</w:t>
            </w:r>
          </w:p>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的产品</w:t>
            </w:r>
          </w:p>
        </w:tc>
        <w:tc>
          <w:tcPr>
            <w:tcW w:w="2151"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附条件批准</w:t>
            </w:r>
          </w:p>
        </w:tc>
        <w:tc>
          <w:tcPr>
            <w:tcW w:w="229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非附条件批准但需要继续完成相关研究工作的品种</w:t>
            </w:r>
          </w:p>
        </w:tc>
        <w:tc>
          <w:tcPr>
            <w:tcW w:w="238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无继续研究要求的品种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2313" w:type="dxa"/>
            <w:vAlign w:val="center"/>
          </w:tcPr>
          <w:p>
            <w:pPr>
              <w:spacing w:line="360" w:lineRule="auto"/>
              <w:jc w:val="center"/>
              <w:rPr>
                <w:rFonts w:hint="eastAsia" w:ascii="仿宋_GB2312" w:eastAsia="仿宋_GB2312" w:cs="仿宋_GB2312"/>
                <w:sz w:val="24"/>
                <w:szCs w:val="24"/>
              </w:rPr>
            </w:pPr>
            <w:r>
              <w:rPr>
                <w:rFonts w:hint="eastAsia" w:ascii="仿宋_GB2312" w:eastAsia="仿宋_GB2312" w:cs="仿宋_GB2312"/>
                <w:sz w:val="24"/>
                <w:szCs w:val="24"/>
              </w:rPr>
              <w:t>产品年度质量</w:t>
            </w:r>
          </w:p>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回顾分析</w:t>
            </w:r>
          </w:p>
        </w:tc>
        <w:tc>
          <w:tcPr>
            <w:tcW w:w="2151" w:type="dxa"/>
            <w:vAlign w:val="center"/>
          </w:tcPr>
          <w:p>
            <w:pPr>
              <w:spacing w:line="360" w:lineRule="auto"/>
              <w:jc w:val="both"/>
              <w:rPr>
                <w:rFonts w:ascii="仿宋_GB2312" w:eastAsia="仿宋_GB2312" w:cs="仿宋_GB2312"/>
                <w:sz w:val="24"/>
                <w:szCs w:val="24"/>
              </w:rPr>
            </w:pPr>
            <w:r>
              <w:rPr>
                <w:rFonts w:hint="eastAsia" w:ascii="仿宋_GB2312" w:eastAsia="仿宋_GB2312" w:cs="仿宋_GB2312"/>
                <w:sz w:val="24"/>
                <w:szCs w:val="24"/>
              </w:rPr>
              <w:t>生产工艺控制极不稳定，发现质量严重不良趋势，工艺处于不受控状态</w:t>
            </w:r>
          </w:p>
        </w:tc>
        <w:tc>
          <w:tcPr>
            <w:tcW w:w="229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生产工艺控制基本稳定，未发现质量严重不良趋势，工艺处于基本受控状态</w:t>
            </w:r>
          </w:p>
        </w:tc>
        <w:tc>
          <w:tcPr>
            <w:tcW w:w="238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生产工艺控制稳定，质量趋势稳定，工艺受控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2313"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产品特性与储存运输条件影响</w:t>
            </w:r>
          </w:p>
        </w:tc>
        <w:tc>
          <w:tcPr>
            <w:tcW w:w="2151" w:type="dxa"/>
            <w:vAlign w:val="center"/>
          </w:tcPr>
          <w:p>
            <w:pPr>
              <w:spacing w:line="360" w:lineRule="auto"/>
              <w:jc w:val="both"/>
              <w:rPr>
                <w:rFonts w:ascii="仿宋_GB2312" w:eastAsia="仿宋_GB2312" w:cs="仿宋_GB2312"/>
                <w:sz w:val="24"/>
                <w:szCs w:val="24"/>
              </w:rPr>
            </w:pPr>
            <w:r>
              <w:rPr>
                <w:rFonts w:hint="eastAsia" w:ascii="仿宋_GB2312" w:eastAsia="仿宋_GB2312" w:cs="仿宋_GB2312"/>
                <w:sz w:val="24"/>
                <w:szCs w:val="24"/>
              </w:rPr>
              <w:t>产品贮藏要求较高，储存运输条件（流通渠道管理）受控性差，产品质量易受到不良影响</w:t>
            </w:r>
          </w:p>
        </w:tc>
        <w:tc>
          <w:tcPr>
            <w:tcW w:w="229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产品贮藏有特殊要求，储存运输条件（流通渠道管理）基本受控，产品质量可能受到不良影响</w:t>
            </w:r>
          </w:p>
        </w:tc>
        <w:tc>
          <w:tcPr>
            <w:tcW w:w="238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产品贮藏无特殊要求，储存运输条件（流通渠道管理）受控，产品质量受到不良影响可能性不大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2313" w:type="dxa"/>
            <w:vAlign w:val="center"/>
          </w:tcPr>
          <w:p>
            <w:pPr>
              <w:spacing w:line="360" w:lineRule="auto"/>
              <w:jc w:val="center"/>
              <w:rPr>
                <w:rFonts w:ascii="仿宋_GB2312" w:eastAsia="仿宋_GB2312" w:cs="仿宋_GB2312"/>
                <w:color w:val="FF0000"/>
                <w:sz w:val="24"/>
                <w:szCs w:val="24"/>
              </w:rPr>
            </w:pPr>
            <w:r>
              <w:rPr>
                <w:rFonts w:hint="eastAsia" w:ascii="仿宋_GB2312" w:eastAsia="仿宋_GB2312" w:cs="仿宋_GB2312"/>
                <w:sz w:val="24"/>
                <w:szCs w:val="24"/>
              </w:rPr>
              <w:t>药物警戒活动</w:t>
            </w:r>
          </w:p>
        </w:tc>
        <w:tc>
          <w:tcPr>
            <w:tcW w:w="2151" w:type="dxa"/>
            <w:vAlign w:val="center"/>
          </w:tcPr>
          <w:p>
            <w:pPr>
              <w:spacing w:line="360" w:lineRule="auto"/>
              <w:jc w:val="both"/>
              <w:rPr>
                <w:rFonts w:ascii="仿宋_GB2312" w:eastAsia="仿宋_GB2312" w:cs="仿宋_GB2312"/>
                <w:sz w:val="24"/>
                <w:szCs w:val="24"/>
              </w:rPr>
            </w:pPr>
            <w:r>
              <w:rPr>
                <w:rFonts w:hint="eastAsia" w:ascii="仿宋_GB2312" w:eastAsia="仿宋_GB2312" w:cs="仿宋_GB2312"/>
                <w:sz w:val="24"/>
                <w:szCs w:val="24"/>
              </w:rPr>
              <w:t>总结评价为已确认的、潜在的重大风险或重要缺失信息，未采取有效措施，且风险获益比需要重新评估的品种</w:t>
            </w:r>
          </w:p>
        </w:tc>
        <w:tc>
          <w:tcPr>
            <w:tcW w:w="229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总结评价为已确认的、潜在的重大风险或重要缺失信息，采取了一定的措施，且经评估获益大于风险的品种</w:t>
            </w:r>
          </w:p>
        </w:tc>
        <w:tc>
          <w:tcPr>
            <w:tcW w:w="238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总结评价为未发现已确认的、潜在的重大风险或重要缺失信息的品种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2313"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上市后定期风险评估后风险等级</w:t>
            </w:r>
          </w:p>
        </w:tc>
        <w:tc>
          <w:tcPr>
            <w:tcW w:w="2151" w:type="dxa"/>
            <w:vAlign w:val="center"/>
          </w:tcPr>
          <w:p>
            <w:pPr>
              <w:spacing w:line="360" w:lineRule="auto"/>
              <w:jc w:val="both"/>
              <w:rPr>
                <w:rFonts w:ascii="仿宋_GB2312" w:eastAsia="仿宋_GB2312" w:cs="仿宋_GB2312"/>
                <w:sz w:val="24"/>
                <w:szCs w:val="24"/>
              </w:rPr>
            </w:pPr>
            <w:r>
              <w:rPr>
                <w:rFonts w:hint="eastAsia" w:ascii="仿宋_GB2312" w:eastAsia="仿宋_GB2312" w:cs="仿宋_GB2312"/>
                <w:sz w:val="24"/>
                <w:szCs w:val="24"/>
              </w:rPr>
              <w:t>产品定期风险评估等级为高风险的品种</w:t>
            </w:r>
          </w:p>
        </w:tc>
        <w:tc>
          <w:tcPr>
            <w:tcW w:w="229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产品定期风险评估等级为中风险的品种</w:t>
            </w:r>
          </w:p>
        </w:tc>
        <w:tc>
          <w:tcPr>
            <w:tcW w:w="2385"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产品定期风险评估等级为低的品种</w:t>
            </w:r>
          </w:p>
        </w:tc>
      </w:tr>
    </w:tbl>
    <w:p>
      <w:pPr>
        <w:spacing w:line="50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注：（</w:t>
      </w:r>
      <w:r>
        <w:rPr>
          <w:rFonts w:ascii="仿宋_GB2312" w:eastAsia="仿宋_GB2312" w:cs="仿宋_GB2312"/>
          <w:sz w:val="28"/>
          <w:szCs w:val="28"/>
        </w:rPr>
        <w:t>1</w:t>
      </w:r>
      <w:r>
        <w:rPr>
          <w:rFonts w:hint="eastAsia" w:ascii="仿宋_GB2312" w:eastAsia="仿宋_GB2312" w:cs="仿宋_GB2312"/>
          <w:sz w:val="28"/>
          <w:szCs w:val="28"/>
        </w:rPr>
        <w:t>）表中分级项目为建议项目，持有人可根据品种、剂型、管制类别以及产品知识积累等具体情况，自行调整或增设分级项目。（</w:t>
      </w:r>
      <w:r>
        <w:rPr>
          <w:rFonts w:ascii="仿宋_GB2312" w:eastAsia="仿宋_GB2312" w:cs="仿宋_GB2312"/>
          <w:sz w:val="28"/>
          <w:szCs w:val="28"/>
        </w:rPr>
        <w:t>2</w:t>
      </w:r>
      <w:r>
        <w:rPr>
          <w:rFonts w:hint="eastAsia" w:ascii="仿宋_GB2312" w:eastAsia="仿宋_GB2312" w:cs="仿宋_GB2312"/>
          <w:sz w:val="28"/>
          <w:szCs w:val="28"/>
        </w:rPr>
        <w:t>）品种的风险分级按照以上所有分级项目中最高风险的分级确定其</w:t>
      </w:r>
      <w:r>
        <w:rPr>
          <w:rFonts w:hint="eastAsia" w:ascii="仿宋_GB2312" w:eastAsia="仿宋_GB2312" w:cs="仿宋_GB2312"/>
          <w:sz w:val="28"/>
          <w:szCs w:val="28"/>
          <w:lang w:val="en-US" w:eastAsia="zh-CN"/>
        </w:rPr>
        <w:t>监测</w:t>
      </w:r>
      <w:r>
        <w:rPr>
          <w:rFonts w:hint="eastAsia" w:ascii="仿宋_GB2312" w:eastAsia="仿宋_GB2312" w:cs="仿宋_GB2312"/>
          <w:sz w:val="28"/>
          <w:szCs w:val="28"/>
        </w:rPr>
        <w:t>级别，即只要有一个分级项目符合</w:t>
      </w:r>
      <w:r>
        <w:rPr>
          <w:rFonts w:hint="eastAsia" w:ascii="仿宋_GB2312" w:eastAsia="仿宋_GB2312" w:cs="仿宋_GB2312"/>
          <w:sz w:val="28"/>
          <w:szCs w:val="28"/>
          <w:lang w:eastAsia="zh-CN"/>
        </w:rPr>
        <w:t>主要监控</w:t>
      </w:r>
      <w:r>
        <w:rPr>
          <w:rFonts w:hint="eastAsia" w:ascii="仿宋_GB2312" w:eastAsia="仿宋_GB2312" w:cs="仿宋_GB2312"/>
          <w:sz w:val="28"/>
          <w:szCs w:val="28"/>
        </w:rPr>
        <w:t>品种，则该品种风险管理级别为</w:t>
      </w:r>
      <w:r>
        <w:rPr>
          <w:rFonts w:hint="eastAsia" w:ascii="仿宋_GB2312" w:eastAsia="仿宋_GB2312" w:cs="仿宋_GB2312"/>
          <w:sz w:val="28"/>
          <w:szCs w:val="28"/>
          <w:lang w:eastAsia="zh-CN"/>
        </w:rPr>
        <w:t>主要监控</w:t>
      </w:r>
      <w:r>
        <w:rPr>
          <w:rFonts w:hint="eastAsia" w:ascii="仿宋_GB2312" w:eastAsia="仿宋_GB2312" w:cs="仿宋_GB2312"/>
          <w:sz w:val="28"/>
          <w:szCs w:val="28"/>
        </w:rPr>
        <w:t>。只有所有的分级项目都符合低风险，才能定义该品种为</w:t>
      </w:r>
      <w:r>
        <w:rPr>
          <w:rFonts w:hint="eastAsia" w:ascii="仿宋_GB2312" w:eastAsia="仿宋_GB2312" w:cs="仿宋_GB2312"/>
          <w:sz w:val="28"/>
          <w:szCs w:val="28"/>
          <w:lang w:eastAsia="zh-CN"/>
        </w:rPr>
        <w:t>一般监控</w:t>
      </w:r>
      <w:r>
        <w:rPr>
          <w:rFonts w:hint="eastAsia" w:ascii="仿宋_GB2312" w:eastAsia="仿宋_GB2312" w:cs="仿宋_GB2312"/>
          <w:sz w:val="28"/>
          <w:szCs w:val="28"/>
        </w:rPr>
        <w:t>品种。</w:t>
      </w:r>
    </w:p>
    <w:p>
      <w:pPr>
        <w:spacing w:line="56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年度分级。</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持有人依据上述方法所有已上市药品</w:t>
      </w:r>
      <w:r>
        <w:rPr>
          <w:rFonts w:hint="eastAsia" w:ascii="仿宋_GB2312" w:eastAsia="仿宋_GB2312" w:cs="仿宋_GB2312"/>
          <w:sz w:val="32"/>
          <w:szCs w:val="32"/>
          <w:lang w:val="en-US" w:eastAsia="zh-CN"/>
        </w:rPr>
        <w:t>进行</w:t>
      </w:r>
      <w:r>
        <w:rPr>
          <w:rFonts w:hint="eastAsia" w:ascii="仿宋_GB2312" w:eastAsia="仿宋_GB2312" w:cs="仿宋_GB2312"/>
          <w:sz w:val="32"/>
          <w:szCs w:val="32"/>
        </w:rPr>
        <w:t>风险分级后，将分级评估结果汇总形成年度上市后药品风险评估分级表（附件</w:t>
      </w:r>
      <w:r>
        <w:rPr>
          <w:rFonts w:ascii="仿宋_GB2312" w:eastAsia="仿宋_GB2312" w:cs="仿宋_GB2312"/>
          <w:sz w:val="32"/>
          <w:szCs w:val="32"/>
        </w:rPr>
        <w:t>3</w:t>
      </w:r>
      <w:r>
        <w:rPr>
          <w:rFonts w:hint="eastAsia" w:ascii="仿宋_GB2312" w:eastAsia="仿宋_GB2312" w:cs="仿宋_GB2312"/>
          <w:sz w:val="32"/>
          <w:szCs w:val="32"/>
        </w:rPr>
        <w:t>）。对于年度内新获批品种按照以上分级原则进行品种风险分级，并对上市后药品风险评估分级表进行增补。持有人每年应当根据上年度药品上市后</w:t>
      </w:r>
      <w:r>
        <w:rPr>
          <w:rFonts w:ascii="仿宋_GB2312" w:eastAsia="仿宋_GB2312" w:cs="仿宋_GB2312"/>
          <w:sz w:val="32"/>
          <w:szCs w:val="32"/>
        </w:rPr>
        <w:t xml:space="preserve">RMP </w:t>
      </w:r>
      <w:r>
        <w:rPr>
          <w:rFonts w:hint="eastAsia" w:ascii="仿宋_GB2312" w:eastAsia="仿宋_GB2312" w:cs="仿宋_GB2312"/>
          <w:sz w:val="32"/>
          <w:szCs w:val="32"/>
        </w:rPr>
        <w:t>实施情况，对年度分级评估表进行更新。</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（二）制定</w:t>
      </w:r>
      <w:r>
        <w:rPr>
          <w:rFonts w:ascii="楷体_GB2312" w:hAnsi="楷体_GB2312" w:eastAsia="楷体_GB2312" w:cs="楷体_GB2312"/>
          <w:sz w:val="32"/>
          <w:szCs w:val="32"/>
        </w:rPr>
        <w:t>RMP</w:t>
      </w:r>
      <w:r>
        <w:rPr>
          <w:rFonts w:hint="eastAsia" w:ascii="楷体_GB2312" w:hAnsi="楷体_GB2312" w:eastAsia="楷体_GB2312" w:cs="楷体_GB2312"/>
          <w:sz w:val="32"/>
          <w:szCs w:val="32"/>
        </w:rPr>
        <w:t>年度实施计划</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持有人应当根据年度上市后药品风险评估分级表和对应的评估周期，综合上一年度药品上市后</w:t>
      </w:r>
      <w:r>
        <w:rPr>
          <w:rFonts w:ascii="仿宋_GB2312" w:eastAsia="仿宋_GB2312" w:cs="仿宋_GB2312"/>
          <w:sz w:val="32"/>
          <w:szCs w:val="32"/>
        </w:rPr>
        <w:t xml:space="preserve">RMP </w:t>
      </w:r>
      <w:r>
        <w:rPr>
          <w:rFonts w:hint="eastAsia" w:ascii="仿宋_GB2312" w:eastAsia="仿宋_GB2312" w:cs="仿宋_GB2312"/>
          <w:sz w:val="32"/>
          <w:szCs w:val="32"/>
        </w:rPr>
        <w:t>完成情况，每年</w:t>
      </w:r>
      <w:r>
        <w:rPr>
          <w:rFonts w:ascii="仿宋_GB2312" w:eastAsia="仿宋_GB2312" w:cs="仿宋_GB2312"/>
          <w:sz w:val="32"/>
          <w:szCs w:val="32"/>
        </w:rPr>
        <w:t>4</w:t>
      </w:r>
      <w:r>
        <w:rPr>
          <w:rFonts w:hint="eastAsia" w:ascii="仿宋_GB2312" w:eastAsia="仿宋_GB2312" w:cs="仿宋_GB2312"/>
          <w:sz w:val="32"/>
          <w:szCs w:val="32"/>
        </w:rPr>
        <w:t>月底前制定本年度药品上市后风险管理计划实施计划表（附件</w:t>
      </w:r>
      <w:r>
        <w:rPr>
          <w:rFonts w:ascii="仿宋_GB2312" w:eastAsia="仿宋_GB2312" w:cs="仿宋_GB2312"/>
          <w:sz w:val="32"/>
          <w:szCs w:val="32"/>
        </w:rPr>
        <w:t>4</w:t>
      </w:r>
      <w:r>
        <w:rPr>
          <w:rFonts w:hint="eastAsia" w:ascii="仿宋_GB2312" w:eastAsia="仿宋_GB2312" w:cs="仿宋_GB2312"/>
          <w:sz w:val="32"/>
          <w:szCs w:val="32"/>
        </w:rPr>
        <w:t>）。该计划表通常包括上市药品名称、规格、所在生产地址</w:t>
      </w:r>
      <w:r>
        <w:rPr>
          <w:rFonts w:ascii="仿宋_GB2312" w:eastAsia="仿宋_GB2312" w:cs="仿宋_GB2312"/>
          <w:sz w:val="32"/>
          <w:szCs w:val="32"/>
        </w:rPr>
        <w:t>/</w:t>
      </w:r>
      <w:r>
        <w:rPr>
          <w:rFonts w:hint="eastAsia" w:ascii="仿宋_GB2312" w:eastAsia="仿宋_GB2312" w:cs="仿宋_GB2312"/>
          <w:sz w:val="32"/>
          <w:szCs w:val="32"/>
        </w:rPr>
        <w:t>生产单位</w:t>
      </w:r>
      <w:r>
        <w:rPr>
          <w:rFonts w:ascii="仿宋_GB2312" w:eastAsia="仿宋_GB2312" w:cs="仿宋_GB2312"/>
          <w:sz w:val="32"/>
          <w:szCs w:val="32"/>
        </w:rPr>
        <w:t>/</w:t>
      </w:r>
      <w:r>
        <w:rPr>
          <w:rFonts w:hint="eastAsia" w:ascii="仿宋_GB2312" w:eastAsia="仿宋_GB2312" w:cs="仿宋_GB2312"/>
          <w:sz w:val="32"/>
          <w:szCs w:val="32"/>
        </w:rPr>
        <w:t>生产线、药品上市后</w:t>
      </w:r>
      <w:r>
        <w:rPr>
          <w:rFonts w:ascii="仿宋_GB2312" w:eastAsia="仿宋_GB2312" w:cs="仿宋_GB2312"/>
          <w:sz w:val="32"/>
          <w:szCs w:val="32"/>
        </w:rPr>
        <w:t xml:space="preserve">RMP </w:t>
      </w:r>
      <w:r>
        <w:rPr>
          <w:rFonts w:hint="eastAsia" w:ascii="仿宋_GB2312" w:eastAsia="仿宋_GB2312" w:cs="仿宋_GB2312"/>
          <w:sz w:val="32"/>
          <w:szCs w:val="32"/>
        </w:rPr>
        <w:t>预计完成时间、实际完成时间、跟踪人及跟踪时间、计划的修订情况等内容。年度内新增获批的品种应当及时增补列入计划表。持有人应当及时跟踪本年度内药品上市后</w:t>
      </w:r>
      <w:r>
        <w:rPr>
          <w:rFonts w:ascii="仿宋_GB2312" w:eastAsia="仿宋_GB2312" w:cs="仿宋_GB2312"/>
          <w:sz w:val="32"/>
          <w:szCs w:val="32"/>
        </w:rPr>
        <w:t xml:space="preserve">RMP </w:t>
      </w:r>
      <w:r>
        <w:rPr>
          <w:rFonts w:hint="eastAsia" w:ascii="仿宋_GB2312" w:eastAsia="仿宋_GB2312" w:cs="仿宋_GB2312"/>
          <w:sz w:val="32"/>
          <w:szCs w:val="32"/>
        </w:rPr>
        <w:t>的具体实施进度，确保按照计划完成风险评估，并将跟踪记录实际完成时间、跟踪人及跟踪时间。</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制定</w:t>
      </w:r>
      <w:r>
        <w:rPr>
          <w:rFonts w:hint="eastAsia" w:ascii="楷体_GB2312" w:hAnsi="楷体_GB2312" w:eastAsia="楷体_GB2312" w:cs="楷体_GB2312"/>
          <w:sz w:val="32"/>
          <w:szCs w:val="32"/>
        </w:rPr>
        <w:t>实施</w:t>
      </w:r>
      <w:r>
        <w:rPr>
          <w:rFonts w:hint="eastAsia" w:ascii="楷体_GB2312" w:hAnsi="楷体_GB2312" w:eastAsia="楷体_GB2312" w:cs="楷体_GB2312"/>
          <w:sz w:val="32"/>
          <w:szCs w:val="32"/>
          <w:lang w:val="en-US" w:eastAsia="zh-CN"/>
        </w:rPr>
        <w:t>药品上市后</w:t>
      </w:r>
      <w:r>
        <w:rPr>
          <w:rFonts w:ascii="楷体_GB2312" w:hAnsi="楷体_GB2312" w:eastAsia="楷体_GB2312" w:cs="楷体_GB2312"/>
          <w:sz w:val="32"/>
          <w:szCs w:val="32"/>
        </w:rPr>
        <w:t>RMP</w:t>
      </w:r>
    </w:p>
    <w:p>
      <w:pPr>
        <w:spacing w:line="560" w:lineRule="exact"/>
        <w:ind w:firstLine="643" w:firstLineChars="200"/>
        <w:rPr>
          <w:rFonts w:ascii="仿宋_GB2312" w:eastAsia="仿宋_GB2312" w:cs="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制定</w:t>
      </w:r>
      <w:r>
        <w:rPr>
          <w:rFonts w:ascii="仿宋_GB2312" w:eastAsia="仿宋_GB2312" w:cs="仿宋_GB2312"/>
          <w:b/>
          <w:bCs/>
          <w:sz w:val="32"/>
          <w:szCs w:val="32"/>
        </w:rPr>
        <w:t>RMP</w:t>
      </w:r>
      <w:r>
        <w:rPr>
          <w:rFonts w:hint="eastAsia" w:ascii="仿宋_GB2312" w:eastAsia="仿宋_GB2312" w:cs="仿宋_GB2312"/>
          <w:b/>
          <w:bCs/>
          <w:sz w:val="32"/>
          <w:szCs w:val="32"/>
        </w:rPr>
        <w:t>。</w:t>
      </w:r>
      <w:r>
        <w:rPr>
          <w:rFonts w:hint="eastAsia" w:ascii="仿宋_GB2312" w:eastAsia="仿宋_GB2312" w:cs="仿宋_GB2312"/>
          <w:sz w:val="32"/>
          <w:szCs w:val="32"/>
        </w:rPr>
        <w:t>持有人应当依据年度药品上市后</w:t>
      </w:r>
      <w:r>
        <w:rPr>
          <w:rFonts w:hint="eastAsia" w:ascii="仿宋_GB2312" w:eastAsia="仿宋_GB2312" w:cs="仿宋_GB2312"/>
          <w:sz w:val="32"/>
          <w:szCs w:val="32"/>
          <w:lang w:val="en-US" w:eastAsia="zh-CN"/>
        </w:rPr>
        <w:t>RMP</w:t>
      </w:r>
      <w:r>
        <w:rPr>
          <w:rFonts w:hint="eastAsia" w:ascii="仿宋_GB2312" w:eastAsia="仿宋_GB2312" w:cs="仿宋_GB2312"/>
          <w:sz w:val="32"/>
          <w:szCs w:val="32"/>
        </w:rPr>
        <w:t>实施计划表，按品种或规格分别制定药品上市后</w:t>
      </w:r>
      <w:r>
        <w:rPr>
          <w:rFonts w:ascii="仿宋_GB2312" w:eastAsia="仿宋_GB2312" w:cs="仿宋_GB2312"/>
          <w:sz w:val="32"/>
          <w:szCs w:val="32"/>
        </w:rPr>
        <w:t>RMP</w:t>
      </w:r>
      <w:r>
        <w:rPr>
          <w:rFonts w:hint="eastAsia" w:ascii="仿宋_GB2312" w:eastAsia="仿宋_GB2312" w:cs="仿宋_GB2312"/>
          <w:sz w:val="32"/>
          <w:szCs w:val="32"/>
        </w:rPr>
        <w:t>，明确风险降低的项目、计划采取的风险控制措施、责任人和完成时限，确保上市后药品“三性”，药品上市后</w:t>
      </w:r>
      <w:r>
        <w:rPr>
          <w:rFonts w:ascii="仿宋_GB2312" w:eastAsia="仿宋_GB2312" w:cs="仿宋_GB2312"/>
          <w:sz w:val="32"/>
          <w:szCs w:val="32"/>
        </w:rPr>
        <w:t>RMP</w:t>
      </w:r>
      <w:r>
        <w:rPr>
          <w:rFonts w:hint="eastAsia" w:ascii="仿宋_GB2312" w:eastAsia="仿宋_GB2312" w:cs="仿宋_GB2312"/>
          <w:sz w:val="32"/>
          <w:szCs w:val="32"/>
        </w:rPr>
        <w:t>模板见附件</w:t>
      </w:r>
      <w:r>
        <w:rPr>
          <w:rFonts w:ascii="仿宋_GB2312" w:eastAsia="仿宋_GB2312" w:cs="仿宋_GB2312"/>
          <w:sz w:val="32"/>
          <w:szCs w:val="32"/>
        </w:rPr>
        <w:t>5</w:t>
      </w:r>
      <w:r>
        <w:rPr>
          <w:rFonts w:hint="eastAsia" w:ascii="仿宋_GB2312" w:eastAsia="仿宋_GB2312" w:cs="仿宋_GB2312"/>
          <w:sz w:val="32"/>
          <w:szCs w:val="32"/>
        </w:rPr>
        <w:t>。</w:t>
      </w:r>
      <w:r>
        <w:rPr>
          <w:rFonts w:hint="eastAsia" w:ascii="仿宋_GB2312" w:eastAsia="仿宋_GB2312" w:cs="仿宋_GB2312"/>
          <w:sz w:val="32"/>
          <w:szCs w:val="32"/>
          <w:highlight w:val="none"/>
        </w:rPr>
        <w:t>企业可参考</w:t>
      </w:r>
      <w:r>
        <w:rPr>
          <w:rFonts w:ascii="仿宋_GB2312" w:eastAsia="仿宋_GB2312" w:cs="仿宋_GB2312"/>
          <w:sz w:val="32"/>
          <w:szCs w:val="32"/>
          <w:highlight w:val="none"/>
        </w:rPr>
        <w:t>ICH Q9</w:t>
      </w:r>
      <w:r>
        <w:rPr>
          <w:rFonts w:hint="eastAsia" w:ascii="仿宋_GB2312" w:eastAsia="仿宋_GB2312" w:cs="仿宋_GB2312"/>
          <w:sz w:val="32"/>
          <w:szCs w:val="32"/>
          <w:highlight w:val="none"/>
        </w:rPr>
        <w:t>《质量风险管理》，结合自身实际情况采用不同的风险评估工具开展风险评估。风险评估工具包括但不限于：鱼骨图、危害分析和关键控制点</w:t>
      </w:r>
      <w:r>
        <w:rPr>
          <w:rFonts w:ascii="仿宋_GB2312" w:eastAsia="仿宋_GB2312" w:cs="仿宋_GB2312"/>
          <w:sz w:val="32"/>
          <w:szCs w:val="32"/>
          <w:highlight w:val="none"/>
        </w:rPr>
        <w:t>(HACCP)</w:t>
      </w:r>
      <w:r>
        <w:rPr>
          <w:rFonts w:hint="eastAsia" w:ascii="仿宋_GB2312" w:eastAsia="仿宋_GB2312" w:cs="仿宋_GB2312"/>
          <w:sz w:val="32"/>
          <w:szCs w:val="32"/>
          <w:highlight w:val="none"/>
        </w:rPr>
        <w:t>、危害操作分析</w:t>
      </w:r>
      <w:r>
        <w:rPr>
          <w:rFonts w:ascii="仿宋_GB2312" w:eastAsia="仿宋_GB2312" w:cs="仿宋_GB2312"/>
          <w:sz w:val="32"/>
          <w:szCs w:val="32"/>
          <w:highlight w:val="none"/>
        </w:rPr>
        <w:t>(HAZOP)</w:t>
      </w:r>
      <w:r>
        <w:rPr>
          <w:rFonts w:hint="eastAsia" w:ascii="仿宋_GB2312" w:eastAsia="仿宋_GB2312" w:cs="仿宋_GB2312"/>
          <w:sz w:val="32"/>
          <w:szCs w:val="32"/>
          <w:highlight w:val="none"/>
        </w:rPr>
        <w:t>、失败模式与影响分析</w:t>
      </w:r>
      <w:r>
        <w:rPr>
          <w:rFonts w:ascii="仿宋_GB2312" w:eastAsia="仿宋_GB2312" w:cs="仿宋_GB2312"/>
          <w:sz w:val="32"/>
          <w:szCs w:val="32"/>
          <w:highlight w:val="none"/>
        </w:rPr>
        <w:t>(FMEA)</w:t>
      </w:r>
      <w:r>
        <w:rPr>
          <w:rFonts w:hint="eastAsia" w:ascii="仿宋_GB2312" w:eastAsia="仿宋_GB2312" w:cs="仿宋_GB2312"/>
          <w:sz w:val="32"/>
          <w:szCs w:val="32"/>
          <w:highlight w:val="none"/>
        </w:rPr>
        <w:t>等。</w:t>
      </w:r>
      <w:r>
        <w:rPr>
          <w:rFonts w:hint="eastAsia" w:ascii="仿宋_GB2312" w:eastAsia="仿宋_GB2312" w:cs="仿宋_GB2312"/>
          <w:sz w:val="32"/>
          <w:szCs w:val="32"/>
        </w:rPr>
        <w:t>风险控制措施包括常规措施和特殊措施，通常情况下每项已识别的重要风险均需要制定相应的风险控制措施。需要紧急控制的，可采取暂停药品生产、销售及召回产品等措施。</w:t>
      </w:r>
    </w:p>
    <w:p>
      <w:pPr>
        <w:spacing w:line="560" w:lineRule="exact"/>
        <w:ind w:firstLine="643" w:firstLineChars="200"/>
        <w:rPr>
          <w:rFonts w:ascii="仿宋_GB2312" w:eastAsia="仿宋_GB2312" w:cs="仿宋_GB2312"/>
          <w:color w:val="FF0000"/>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实施期限。</w:t>
      </w:r>
      <w:r>
        <w:rPr>
          <w:rFonts w:hint="eastAsia" w:ascii="仿宋_GB2312" w:eastAsia="仿宋_GB2312" w:cs="仿宋_GB2312"/>
          <w:sz w:val="32"/>
          <w:szCs w:val="32"/>
        </w:rPr>
        <w:t>药品上市后</w:t>
      </w:r>
      <w:r>
        <w:rPr>
          <w:rFonts w:ascii="仿宋_GB2312" w:eastAsia="仿宋_GB2312" w:cs="仿宋_GB2312"/>
          <w:sz w:val="32"/>
          <w:szCs w:val="32"/>
        </w:rPr>
        <w:t>RMP</w:t>
      </w:r>
      <w:r>
        <w:rPr>
          <w:rFonts w:hint="eastAsia" w:ascii="仿宋_GB2312" w:eastAsia="仿宋_GB2312" w:cs="仿宋_GB2312"/>
          <w:sz w:val="32"/>
          <w:szCs w:val="32"/>
        </w:rPr>
        <w:t>实施期限一般为自制定计划之日起至该品种评估周期结束</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各企业</w:t>
      </w:r>
      <w:r>
        <w:rPr>
          <w:rFonts w:hint="eastAsia" w:ascii="仿宋_GB2312" w:eastAsia="仿宋_GB2312" w:cs="仿宋_GB2312"/>
          <w:sz w:val="32"/>
          <w:szCs w:val="32"/>
        </w:rPr>
        <w:t>可结合实际</w:t>
      </w:r>
      <w:r>
        <w:rPr>
          <w:rFonts w:hint="eastAsia" w:ascii="仿宋_GB2312" w:eastAsia="仿宋_GB2312" w:cs="仿宋_GB2312"/>
          <w:sz w:val="32"/>
          <w:szCs w:val="32"/>
          <w:lang w:val="en-US" w:eastAsia="zh-CN"/>
        </w:rPr>
        <w:t>自行</w:t>
      </w:r>
      <w:r>
        <w:rPr>
          <w:rFonts w:hint="eastAsia" w:ascii="仿宋_GB2312" w:eastAsia="仿宋_GB2312" w:cs="仿宋_GB2312"/>
          <w:sz w:val="32"/>
          <w:szCs w:val="32"/>
        </w:rPr>
        <w:t>确定</w:t>
      </w:r>
      <w:r>
        <w:rPr>
          <w:rFonts w:hint="eastAsia" w:ascii="仿宋_GB2312" w:eastAsia="仿宋_GB2312" w:cs="仿宋_GB2312"/>
          <w:sz w:val="32"/>
          <w:szCs w:val="32"/>
          <w:lang w:val="en-US" w:eastAsia="zh-CN"/>
        </w:rPr>
        <w:t>药品</w:t>
      </w:r>
      <w:r>
        <w:rPr>
          <w:rFonts w:hint="eastAsia" w:ascii="仿宋_GB2312" w:eastAsia="仿宋_GB2312" w:cs="仿宋_GB2312"/>
          <w:sz w:val="32"/>
          <w:szCs w:val="32"/>
        </w:rPr>
        <w:t>评估周期，建议</w:t>
      </w:r>
      <w:r>
        <w:rPr>
          <w:rFonts w:hint="eastAsia" w:ascii="仿宋_GB2312" w:eastAsia="仿宋_GB2312" w:cs="仿宋_GB2312"/>
          <w:sz w:val="32"/>
          <w:szCs w:val="32"/>
          <w:lang w:eastAsia="zh-CN"/>
        </w:rPr>
        <w:t>主要监控</w:t>
      </w:r>
      <w:r>
        <w:rPr>
          <w:rFonts w:hint="eastAsia" w:ascii="仿宋_GB2312" w:eastAsia="仿宋_GB2312" w:cs="仿宋_GB2312"/>
          <w:sz w:val="32"/>
          <w:szCs w:val="32"/>
        </w:rPr>
        <w:t>品种</w:t>
      </w:r>
      <w:r>
        <w:rPr>
          <w:rFonts w:hint="eastAsia" w:ascii="仿宋_GB2312" w:eastAsia="仿宋_GB2312" w:cs="仿宋_GB2312"/>
          <w:sz w:val="32"/>
          <w:szCs w:val="32"/>
          <w:lang w:val="en-US" w:eastAsia="zh-CN"/>
        </w:rPr>
        <w:t>至少</w:t>
      </w:r>
      <w:r>
        <w:rPr>
          <w:rFonts w:hint="eastAsia" w:ascii="仿宋_GB2312" w:eastAsia="仿宋_GB2312" w:cs="仿宋_GB2312"/>
          <w:sz w:val="32"/>
          <w:szCs w:val="32"/>
        </w:rPr>
        <w:t>每年开展一次风险评估，</w:t>
      </w:r>
      <w:r>
        <w:rPr>
          <w:rFonts w:hint="eastAsia" w:ascii="仿宋_GB2312" w:eastAsia="仿宋_GB2312" w:cs="仿宋_GB2312"/>
          <w:sz w:val="32"/>
          <w:szCs w:val="32"/>
          <w:lang w:eastAsia="zh-CN"/>
        </w:rPr>
        <w:t>次要监控</w:t>
      </w:r>
      <w:r>
        <w:rPr>
          <w:rFonts w:hint="eastAsia" w:ascii="仿宋_GB2312" w:eastAsia="仿宋_GB2312" w:cs="仿宋_GB2312"/>
          <w:sz w:val="32"/>
          <w:szCs w:val="32"/>
        </w:rPr>
        <w:t>品种</w:t>
      </w:r>
      <w:r>
        <w:rPr>
          <w:rFonts w:hint="eastAsia" w:ascii="仿宋_GB2312" w:eastAsia="仿宋_GB2312" w:cs="仿宋_GB2312"/>
          <w:sz w:val="32"/>
          <w:szCs w:val="32"/>
          <w:lang w:val="en-US" w:eastAsia="zh-CN"/>
        </w:rPr>
        <w:t>至少</w:t>
      </w:r>
      <w:r>
        <w:rPr>
          <w:rFonts w:hint="eastAsia" w:ascii="仿宋_GB2312" w:eastAsia="仿宋_GB2312" w:cs="仿宋_GB2312"/>
          <w:sz w:val="32"/>
          <w:szCs w:val="32"/>
        </w:rPr>
        <w:t>每两年开展一次风险评估，</w:t>
      </w:r>
      <w:r>
        <w:rPr>
          <w:rFonts w:hint="eastAsia" w:ascii="仿宋_GB2312" w:eastAsia="仿宋_GB2312" w:cs="仿宋_GB2312"/>
          <w:sz w:val="32"/>
          <w:szCs w:val="32"/>
          <w:lang w:eastAsia="zh-CN"/>
        </w:rPr>
        <w:t>一般监控</w:t>
      </w:r>
      <w:r>
        <w:rPr>
          <w:rFonts w:hint="eastAsia" w:ascii="仿宋_GB2312" w:eastAsia="仿宋_GB2312" w:cs="仿宋_GB2312"/>
          <w:sz w:val="32"/>
          <w:szCs w:val="32"/>
        </w:rPr>
        <w:t>品种</w:t>
      </w:r>
      <w:r>
        <w:rPr>
          <w:rFonts w:hint="eastAsia" w:ascii="仿宋_GB2312" w:eastAsia="仿宋_GB2312" w:cs="仿宋_GB2312"/>
          <w:sz w:val="32"/>
          <w:szCs w:val="32"/>
          <w:lang w:val="en-US" w:eastAsia="zh-CN"/>
        </w:rPr>
        <w:t>至少</w:t>
      </w:r>
      <w:r>
        <w:rPr>
          <w:rFonts w:hint="eastAsia" w:ascii="仿宋_GB2312" w:eastAsia="仿宋_GB2312" w:cs="仿宋_GB2312"/>
          <w:sz w:val="32"/>
          <w:szCs w:val="32"/>
        </w:rPr>
        <w:t>每三年开展一次风险评估。实施</w:t>
      </w:r>
      <w:r>
        <w:rPr>
          <w:rFonts w:hint="eastAsia" w:ascii="仿宋_GB2312" w:eastAsia="仿宋_GB2312" w:cs="仿宋_GB2312"/>
          <w:sz w:val="32"/>
          <w:szCs w:val="32"/>
          <w:lang w:val="en-US" w:eastAsia="zh-CN"/>
        </w:rPr>
        <w:t>期限</w:t>
      </w:r>
      <w:r>
        <w:rPr>
          <w:rFonts w:hint="eastAsia" w:ascii="仿宋_GB2312" w:eastAsia="仿宋_GB2312" w:cs="仿宋_GB2312"/>
          <w:sz w:val="32"/>
          <w:szCs w:val="32"/>
        </w:rPr>
        <w:t>内，持有人应当结合自身质量管理工作，对药品上市后</w:t>
      </w:r>
      <w:r>
        <w:rPr>
          <w:rFonts w:ascii="仿宋_GB2312" w:eastAsia="仿宋_GB2312" w:cs="仿宋_GB2312"/>
          <w:sz w:val="32"/>
          <w:szCs w:val="32"/>
        </w:rPr>
        <w:t>RMP</w:t>
      </w:r>
      <w:r>
        <w:rPr>
          <w:rFonts w:hint="eastAsia" w:ascii="仿宋_GB2312" w:eastAsia="仿宋_GB2312" w:cs="仿宋_GB2312"/>
          <w:sz w:val="32"/>
          <w:szCs w:val="32"/>
        </w:rPr>
        <w:t>涉及的各环节数据信息进行收集及评价，跟踪药品上市后</w:t>
      </w:r>
      <w:r>
        <w:rPr>
          <w:rFonts w:ascii="仿宋_GB2312" w:eastAsia="仿宋_GB2312" w:cs="仿宋_GB2312"/>
          <w:sz w:val="32"/>
          <w:szCs w:val="32"/>
        </w:rPr>
        <w:t>RMP</w:t>
      </w:r>
      <w:r>
        <w:rPr>
          <w:rFonts w:hint="eastAsia" w:ascii="仿宋_GB2312" w:eastAsia="仿宋_GB2312" w:cs="仿宋_GB2312"/>
          <w:sz w:val="32"/>
          <w:szCs w:val="32"/>
        </w:rPr>
        <w:t>年度完成进展，及时审核评价药品在安全、有效和质量可控方面的风险。一经发现收集的数据信息经评价存在高</w:t>
      </w:r>
      <w:r>
        <w:rPr>
          <w:rFonts w:ascii="仿宋_GB2312" w:eastAsia="仿宋_GB2312" w:cs="仿宋_GB2312"/>
          <w:sz w:val="32"/>
          <w:szCs w:val="32"/>
        </w:rPr>
        <w:t>/</w:t>
      </w:r>
      <w:r>
        <w:rPr>
          <w:rFonts w:hint="eastAsia" w:ascii="仿宋_GB2312" w:eastAsia="仿宋_GB2312" w:cs="仿宋_GB2312"/>
          <w:sz w:val="32"/>
          <w:szCs w:val="32"/>
        </w:rPr>
        <w:t>中风险，则应立即启动全面风险评估，及时采取风险控制措施，并根据评估结果必要时相应调整风险评估分级（附件</w:t>
      </w:r>
      <w:r>
        <w:rPr>
          <w:rFonts w:ascii="仿宋_GB2312" w:eastAsia="仿宋_GB2312" w:cs="仿宋_GB2312"/>
          <w:sz w:val="32"/>
          <w:szCs w:val="32"/>
        </w:rPr>
        <w:t>3</w:t>
      </w:r>
      <w:r>
        <w:rPr>
          <w:rFonts w:hint="eastAsia" w:ascii="仿宋_GB2312" w:eastAsia="仿宋_GB2312" w:cs="仿宋_GB2312"/>
          <w:sz w:val="32"/>
          <w:szCs w:val="32"/>
        </w:rPr>
        <w:t>）和药品上市后</w:t>
      </w:r>
      <w:r>
        <w:rPr>
          <w:rFonts w:ascii="仿宋_GB2312" w:eastAsia="仿宋_GB2312" w:cs="仿宋_GB2312"/>
          <w:sz w:val="32"/>
          <w:szCs w:val="32"/>
        </w:rPr>
        <w:t>RMP</w:t>
      </w:r>
      <w:r>
        <w:rPr>
          <w:rFonts w:hint="eastAsia" w:ascii="仿宋_GB2312" w:eastAsia="仿宋_GB2312" w:cs="仿宋_GB2312"/>
          <w:sz w:val="32"/>
          <w:szCs w:val="32"/>
        </w:rPr>
        <w:t>实施计划表（附件</w:t>
      </w:r>
      <w:r>
        <w:rPr>
          <w:rFonts w:ascii="仿宋_GB2312" w:eastAsia="仿宋_GB2312" w:cs="仿宋_GB2312"/>
          <w:sz w:val="32"/>
          <w:szCs w:val="32"/>
        </w:rPr>
        <w:t>4</w:t>
      </w:r>
      <w:r>
        <w:rPr>
          <w:rFonts w:hint="eastAsia" w:ascii="仿宋_GB2312" w:eastAsia="仿宋_GB2312" w:cs="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（四）风险沟通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药品上市后</w:t>
      </w:r>
      <w:r>
        <w:rPr>
          <w:rFonts w:ascii="仿宋_GB2312" w:eastAsia="仿宋_GB2312" w:cs="仿宋_GB2312"/>
          <w:sz w:val="32"/>
          <w:szCs w:val="32"/>
        </w:rPr>
        <w:t xml:space="preserve">RMP </w:t>
      </w:r>
      <w:r>
        <w:rPr>
          <w:rFonts w:hint="eastAsia" w:ascii="仿宋_GB2312" w:eastAsia="仿宋_GB2312" w:cs="仿宋_GB2312"/>
          <w:sz w:val="32"/>
          <w:szCs w:val="32"/>
        </w:rPr>
        <w:t>确定后，持有人应当及时与相关部门人员通报风险信息及管理计划，可以在风险管理的任何阶段进行沟通交流。风险沟通的目的是知情、说服和咨询，促进所有参与者认识和理解存在的风险、严重性、可能性、可接受性及处理方法等。风险沟通一般体现在对内和对外两个方面：对内应在企业内部各相关部门相互沟通，做到信息共享，从而引起全员对药品风险的重视、关注、预防；对外应重视风险的级别、危害程度以及控制措施，应与外界沟通，如通过网络等有关媒体对外进行正面宣传，对患者和社会进行沟通。</w:t>
      </w:r>
      <w:r>
        <w:rPr>
          <w:rFonts w:hint="eastAsia" w:ascii="仿宋_GB2312" w:eastAsia="仿宋_GB2312" w:cs="仿宋_GB2312"/>
          <w:sz w:val="32"/>
          <w:szCs w:val="32"/>
          <w:lang w:val="en-US" w:eastAsia="zh-CN"/>
        </w:rPr>
        <w:t>同时，应及时</w:t>
      </w:r>
      <w:r>
        <w:rPr>
          <w:rFonts w:hint="eastAsia" w:ascii="仿宋_GB2312" w:eastAsia="仿宋_GB2312" w:cs="仿宋_GB2312"/>
          <w:sz w:val="32"/>
          <w:szCs w:val="32"/>
        </w:rPr>
        <w:t>向监管部门及</w:t>
      </w:r>
      <w:r>
        <w:rPr>
          <w:rFonts w:hint="eastAsia" w:ascii="仿宋_GB2312" w:eastAsia="仿宋_GB2312" w:cs="仿宋_GB2312"/>
          <w:sz w:val="32"/>
          <w:szCs w:val="32"/>
          <w:lang w:val="en-US" w:eastAsia="zh-CN"/>
        </w:rPr>
        <w:t>其</w:t>
      </w:r>
      <w:r>
        <w:rPr>
          <w:rFonts w:hint="eastAsia" w:ascii="仿宋_GB2312" w:eastAsia="仿宋_GB2312" w:cs="仿宋_GB2312"/>
          <w:sz w:val="32"/>
          <w:szCs w:val="32"/>
        </w:rPr>
        <w:t>所属技术机构沟通，争取专业机构的指导，把风险降到最低。</w:t>
      </w:r>
    </w:p>
    <w:p>
      <w:p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风险评审</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药品风险管理是贯穿于药品</w:t>
      </w:r>
      <w:r>
        <w:rPr>
          <w:rFonts w:hint="eastAsia" w:ascii="仿宋_GB2312" w:eastAsia="仿宋_GB2312" w:cs="仿宋_GB2312"/>
          <w:sz w:val="32"/>
          <w:szCs w:val="32"/>
          <w:lang w:val="en-US" w:eastAsia="zh-CN"/>
        </w:rPr>
        <w:t>全</w:t>
      </w:r>
      <w:r>
        <w:rPr>
          <w:rFonts w:hint="eastAsia" w:ascii="仿宋_GB2312" w:eastAsia="仿宋_GB2312" w:cs="仿宋_GB2312"/>
          <w:sz w:val="32"/>
          <w:szCs w:val="32"/>
        </w:rPr>
        <w:t>生命周期的循环往复的过程。药品上市后</w:t>
      </w:r>
      <w:r>
        <w:rPr>
          <w:rFonts w:ascii="仿宋_GB2312" w:eastAsia="仿宋_GB2312" w:cs="仿宋_GB2312"/>
          <w:sz w:val="32"/>
          <w:szCs w:val="32"/>
        </w:rPr>
        <w:t>RMP</w:t>
      </w:r>
      <w:r>
        <w:rPr>
          <w:rFonts w:hint="eastAsia" w:ascii="仿宋_GB2312" w:eastAsia="仿宋_GB2312" w:cs="仿宋_GB2312"/>
          <w:sz w:val="32"/>
          <w:szCs w:val="32"/>
        </w:rPr>
        <w:t>实施期满后，持有人应当对评估周期内药品上市后</w:t>
      </w:r>
      <w:r>
        <w:rPr>
          <w:rFonts w:ascii="仿宋_GB2312" w:eastAsia="仿宋_GB2312" w:cs="仿宋_GB2312"/>
          <w:sz w:val="32"/>
          <w:szCs w:val="32"/>
        </w:rPr>
        <w:t xml:space="preserve">RMP </w:t>
      </w:r>
      <w:r>
        <w:rPr>
          <w:rFonts w:hint="eastAsia" w:ascii="仿宋_GB2312" w:eastAsia="仿宋_GB2312" w:cs="仿宋_GB2312"/>
          <w:sz w:val="32"/>
          <w:szCs w:val="32"/>
        </w:rPr>
        <w:t>完成情况进行风险评估，审核评价各环节发现风险的等级划分、风险控制措施的有效性及改进措施计划，综合评定药品在安全、有效和质量可控方面的风险管理状况，重新制定下一</w:t>
      </w:r>
      <w:r>
        <w:rPr>
          <w:rFonts w:hint="eastAsia" w:ascii="仿宋_GB2312" w:eastAsia="仿宋_GB2312" w:cs="仿宋_GB2312"/>
          <w:sz w:val="32"/>
          <w:szCs w:val="32"/>
          <w:lang w:val="en-US" w:eastAsia="zh-CN"/>
        </w:rPr>
        <w:t>评估</w:t>
      </w:r>
      <w:r>
        <w:rPr>
          <w:rFonts w:hint="eastAsia" w:ascii="仿宋_GB2312" w:eastAsia="仿宋_GB2312" w:cs="仿宋_GB2312"/>
          <w:sz w:val="32"/>
          <w:szCs w:val="32"/>
        </w:rPr>
        <w:t>周期药品上市后</w:t>
      </w:r>
      <w:r>
        <w:rPr>
          <w:rFonts w:ascii="仿宋_GB2312" w:eastAsia="仿宋_GB2312" w:cs="仿宋_GB2312"/>
          <w:sz w:val="32"/>
          <w:szCs w:val="32"/>
        </w:rPr>
        <w:t>RMP</w:t>
      </w:r>
      <w:r>
        <w:rPr>
          <w:rFonts w:hint="eastAsia" w:ascii="仿宋_GB2312" w:eastAsia="仿宋_GB2312" w:cs="仿宋_GB2312"/>
          <w:sz w:val="32"/>
          <w:szCs w:val="32"/>
        </w:rPr>
        <w:t>，更新年度产品风险管理分级表和年度药品上市后</w:t>
      </w:r>
      <w:r>
        <w:rPr>
          <w:rFonts w:ascii="仿宋_GB2312" w:eastAsia="仿宋_GB2312" w:cs="仿宋_GB2312"/>
          <w:sz w:val="32"/>
          <w:szCs w:val="32"/>
        </w:rPr>
        <w:t>RMP</w:t>
      </w:r>
      <w:r>
        <w:rPr>
          <w:rFonts w:hint="eastAsia" w:ascii="仿宋_GB2312" w:eastAsia="仿宋_GB2312" w:cs="仿宋_GB2312"/>
          <w:sz w:val="32"/>
          <w:szCs w:val="32"/>
        </w:rPr>
        <w:t>实施计划表。</w:t>
      </w:r>
    </w:p>
    <w:p>
      <w:pPr>
        <w:spacing w:line="360" w:lineRule="auto"/>
        <w:ind w:firstLine="0" w:firstLineChars="0"/>
        <w:rPr>
          <w:rFonts w:ascii="仿宋_GB2312" w:eastAsia="仿宋_GB2312" w:cs="仿宋_GB2312"/>
          <w:sz w:val="32"/>
          <w:szCs w:val="32"/>
        </w:rPr>
      </w:pPr>
      <w:r>
        <w:rPr>
          <w:rFonts w:hint="eastAsia" w:ascii="仿宋_GB2312" w:eastAsia="仿宋_GB2312" w:cs="仿宋_GB2312"/>
          <w:sz w:val="32"/>
          <w:szCs w:val="32"/>
        </w:rPr>
        <w:t>表</w:t>
      </w:r>
      <w:r>
        <w:rPr>
          <w:rFonts w:ascii="仿宋_GB2312" w:eastAsia="仿宋_GB2312" w:cs="仿宋_GB2312"/>
          <w:sz w:val="32"/>
          <w:szCs w:val="32"/>
        </w:rPr>
        <w:t xml:space="preserve">2  </w:t>
      </w:r>
      <w:r>
        <w:rPr>
          <w:rFonts w:hint="eastAsia" w:asci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风险评审主要</w:t>
      </w:r>
      <w:r>
        <w:rPr>
          <w:rFonts w:hint="eastAsia" w:ascii="黑体" w:hAnsi="黑体" w:eastAsia="黑体" w:cs="黑体"/>
          <w:sz w:val="32"/>
          <w:szCs w:val="32"/>
        </w:rPr>
        <w:t>内容</w:t>
      </w:r>
    </w:p>
    <w:tbl>
      <w:tblPr>
        <w:tblStyle w:val="11"/>
        <w:tblW w:w="874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6"/>
        <w:gridCol w:w="1512"/>
        <w:gridCol w:w="5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spacing w:line="360" w:lineRule="auto"/>
              <w:jc w:val="center"/>
              <w:rPr>
                <w:rFonts w:ascii="仿宋_GB2312" w:eastAsia="仿宋_GB2312" w:cs="仿宋_GB2312"/>
                <w:b/>
                <w:bCs/>
                <w:sz w:val="24"/>
                <w:szCs w:val="24"/>
              </w:rPr>
            </w:pPr>
            <w:r>
              <w:rPr>
                <w:rFonts w:hint="eastAsia" w:ascii="仿宋_GB2312" w:eastAsia="仿宋_GB2312" w:cs="仿宋_GB2312"/>
                <w:b/>
                <w:bCs/>
                <w:sz w:val="24"/>
                <w:szCs w:val="24"/>
              </w:rPr>
              <w:t>风险评估级别</w:t>
            </w:r>
          </w:p>
        </w:tc>
        <w:tc>
          <w:tcPr>
            <w:tcW w:w="1512" w:type="dxa"/>
            <w:vAlign w:val="center"/>
          </w:tcPr>
          <w:p>
            <w:pPr>
              <w:spacing w:line="360" w:lineRule="auto"/>
              <w:jc w:val="center"/>
              <w:rPr>
                <w:rFonts w:hint="eastAsia" w:ascii="仿宋_GB2312" w:eastAsia="仿宋_GB2312" w:cs="仿宋_GB2312"/>
                <w:b/>
                <w:bCs/>
                <w:sz w:val="24"/>
                <w:szCs w:val="24"/>
                <w:lang w:eastAsia="zh-CN"/>
              </w:rPr>
            </w:pPr>
            <w:r>
              <w:rPr>
                <w:rFonts w:hint="eastAsia" w:ascii="仿宋_GB2312" w:eastAsia="仿宋_GB2312" w:cs="仿宋_GB2312"/>
                <w:b/>
                <w:bCs/>
                <w:sz w:val="24"/>
                <w:szCs w:val="24"/>
                <w:lang w:eastAsia="zh-CN"/>
              </w:rPr>
              <w:t>监控方式</w:t>
            </w:r>
          </w:p>
        </w:tc>
        <w:tc>
          <w:tcPr>
            <w:tcW w:w="5965" w:type="dxa"/>
            <w:vAlign w:val="center"/>
          </w:tcPr>
          <w:p>
            <w:pPr>
              <w:spacing w:line="360" w:lineRule="auto"/>
              <w:jc w:val="center"/>
              <w:rPr>
                <w:rFonts w:ascii="仿宋_GB2312" w:eastAsia="仿宋_GB2312" w:cs="仿宋_GB2312"/>
                <w:b/>
                <w:bCs/>
                <w:sz w:val="24"/>
                <w:szCs w:val="24"/>
              </w:rPr>
            </w:pPr>
            <w:r>
              <w:rPr>
                <w:rFonts w:hint="eastAsia" w:ascii="仿宋_GB2312" w:eastAsia="仿宋_GB2312" w:cs="仿宋_GB2312"/>
                <w:b/>
                <w:bCs/>
                <w:sz w:val="24"/>
                <w:szCs w:val="24"/>
                <w:lang w:val="en-US" w:eastAsia="zh-CN"/>
              </w:rPr>
              <w:t>评审</w:t>
            </w:r>
            <w:r>
              <w:rPr>
                <w:rFonts w:hint="eastAsia" w:ascii="仿宋_GB2312" w:eastAsia="仿宋_GB2312" w:cs="仿宋_GB2312"/>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高</w:t>
            </w:r>
          </w:p>
        </w:tc>
        <w:tc>
          <w:tcPr>
            <w:tcW w:w="1512" w:type="dxa"/>
            <w:vAlign w:val="center"/>
          </w:tcPr>
          <w:p>
            <w:pPr>
              <w:spacing w:line="360" w:lineRule="auto"/>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主要监控</w:t>
            </w:r>
          </w:p>
        </w:tc>
        <w:tc>
          <w:tcPr>
            <w:tcW w:w="5965" w:type="dxa"/>
          </w:tcPr>
          <w:p>
            <w:pPr>
              <w:spacing w:line="360" w:lineRule="auto"/>
              <w:rPr>
                <w:rFonts w:ascii="仿宋_GB2312" w:eastAsia="仿宋_GB2312" w:cs="仿宋_GB2312"/>
                <w:sz w:val="24"/>
                <w:szCs w:val="24"/>
              </w:rPr>
            </w:pPr>
            <w:r>
              <w:rPr>
                <w:rFonts w:hint="eastAsia" w:ascii="仿宋_GB2312" w:eastAsia="仿宋_GB2312" w:cs="仿宋_GB2312"/>
                <w:sz w:val="24"/>
                <w:szCs w:val="24"/>
              </w:rPr>
              <w:t>风险措施完成情况、自发主动收集外部数据信息及被动反馈征集数据、内部质量数据和继续完成的研究工作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中</w:t>
            </w:r>
          </w:p>
        </w:tc>
        <w:tc>
          <w:tcPr>
            <w:tcW w:w="1512" w:type="dxa"/>
            <w:vAlign w:val="center"/>
          </w:tcPr>
          <w:p>
            <w:pPr>
              <w:spacing w:line="360" w:lineRule="auto"/>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次要监控</w:t>
            </w:r>
          </w:p>
        </w:tc>
        <w:tc>
          <w:tcPr>
            <w:tcW w:w="5965" w:type="dxa"/>
          </w:tcPr>
          <w:p>
            <w:pPr>
              <w:spacing w:line="360" w:lineRule="auto"/>
              <w:rPr>
                <w:rFonts w:ascii="仿宋_GB2312" w:eastAsia="仿宋_GB2312" w:cs="仿宋_GB2312"/>
                <w:sz w:val="24"/>
                <w:szCs w:val="24"/>
              </w:rPr>
            </w:pPr>
            <w:r>
              <w:rPr>
                <w:rFonts w:hint="eastAsia" w:ascii="仿宋_GB2312" w:eastAsia="仿宋_GB2312" w:cs="仿宋_GB2312"/>
                <w:sz w:val="24"/>
                <w:szCs w:val="24"/>
              </w:rPr>
              <w:t>风险措施完成情况、自发主动收集外部数据信息及被动反馈征集数据、内部质量数据和继续完成的研究工作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低</w:t>
            </w:r>
          </w:p>
        </w:tc>
        <w:tc>
          <w:tcPr>
            <w:tcW w:w="1512" w:type="dxa"/>
            <w:vAlign w:val="center"/>
          </w:tcPr>
          <w:p>
            <w:pPr>
              <w:spacing w:line="360" w:lineRule="auto"/>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一般监控</w:t>
            </w:r>
          </w:p>
        </w:tc>
        <w:tc>
          <w:tcPr>
            <w:tcW w:w="5965" w:type="dxa"/>
          </w:tcPr>
          <w:p>
            <w:pPr>
              <w:spacing w:line="360" w:lineRule="auto"/>
              <w:rPr>
                <w:rFonts w:ascii="仿宋_GB2312" w:eastAsia="仿宋_GB2312" w:cs="仿宋_GB2312"/>
                <w:sz w:val="24"/>
                <w:szCs w:val="24"/>
              </w:rPr>
            </w:pPr>
            <w:r>
              <w:rPr>
                <w:rFonts w:hint="eastAsia" w:ascii="仿宋_GB2312" w:eastAsia="仿宋_GB2312" w:cs="仿宋_GB2312"/>
                <w:sz w:val="24"/>
                <w:szCs w:val="24"/>
              </w:rPr>
              <w:t>被动反馈征集数据信息和内部质量数据</w:t>
            </w:r>
          </w:p>
        </w:tc>
      </w:tr>
    </w:tbl>
    <w:p>
      <w:pPr>
        <w:spacing w:line="360" w:lineRule="auto"/>
        <w:ind w:firstLine="560" w:firstLineChars="200"/>
        <w:rPr>
          <w:rFonts w:ascii="仿宋_GB2312" w:eastAsia="仿宋_GB2312" w:cs="仿宋_GB2312"/>
          <w:sz w:val="28"/>
          <w:szCs w:val="28"/>
        </w:rPr>
      </w:pPr>
      <w:r>
        <w:rPr>
          <w:rFonts w:hint="eastAsia" w:ascii="仿宋_GB2312" w:eastAsia="仿宋_GB2312" w:cs="仿宋_GB2312"/>
          <w:sz w:val="28"/>
          <w:szCs w:val="28"/>
          <w:lang w:eastAsia="zh-CN"/>
        </w:rPr>
        <w:t>备</w:t>
      </w:r>
      <w:r>
        <w:rPr>
          <w:rFonts w:hint="eastAsia" w:ascii="仿宋_GB2312" w:eastAsia="仿宋_GB2312" w:cs="仿宋_GB2312"/>
          <w:sz w:val="28"/>
          <w:szCs w:val="28"/>
        </w:rPr>
        <w:t>注：除特殊批准外，原则上</w:t>
      </w:r>
      <w:r>
        <w:rPr>
          <w:rFonts w:hint="eastAsia" w:ascii="仿宋_GB2312" w:eastAsia="仿宋_GB2312" w:cs="仿宋_GB2312"/>
          <w:sz w:val="28"/>
          <w:szCs w:val="28"/>
          <w:lang w:val="en-US" w:eastAsia="zh-CN"/>
        </w:rPr>
        <w:t>风险评审期限与该品种评估周期一致</w:t>
      </w:r>
      <w:r>
        <w:rPr>
          <w:rFonts w:hint="eastAsia" w:ascii="仿宋_GB2312" w:eastAsia="仿宋_GB2312" w:cs="仿宋_GB2312"/>
          <w:sz w:val="28"/>
          <w:szCs w:val="28"/>
        </w:rPr>
        <w:t>。</w:t>
      </w:r>
    </w:p>
    <w:p>
      <w:pPr>
        <w:spacing w:line="560" w:lineRule="exact"/>
        <w:ind w:firstLine="640" w:firstLineChars="200"/>
        <w:rPr>
          <w:rFonts w:ascii="黑体" w:eastAsia="黑体"/>
          <w:sz w:val="32"/>
          <w:szCs w:val="32"/>
        </w:rPr>
      </w:pPr>
      <w:r>
        <w:rPr>
          <w:rFonts w:hint="eastAsia" w:ascii="黑体" w:eastAsia="黑体"/>
          <w:sz w:val="32"/>
          <w:szCs w:val="32"/>
        </w:rPr>
        <w:t>六、重大质量安全事件处置</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重大质量安全事件一般指对社会公众生命健康造成或可能造成严重损害的且与药品质量有关的药品群体不良事件、死亡病例、抽检不合格、药品质量隐患等质量安全事件，或者监管部门监督检查和风险监测中发现的质量安全事件，以及其他严重影响公众健康的质量安全事件。持有人应当首先开展重大质量安全事件信息与药品生产质量关联性分析，经调查分析与生产质量存在相关性的，应当按照以下程序进行调查和处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信息收集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应当主动通过销售等渠道收集药品临床不良反应信息，通过热线接听、持有人直接报告药品不良反应监测系统检索、质量公告查询、投诉处理等，及时获取药品聚集性信号、死亡病例、抽检不合格、药品质量隐患等；通过产品稳定性考察、风险警示函、国内外文献报道等，获取产品质量可能存在隐患的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原因调查</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对重大质量安全事件应当及时开展调查。对于抽检不合格，应当及时与出具不合格报告的检验单位进行沟通，了解不合格的基本情况，必要时应立即进行留样检验。对于药品聚集性信号，详细了解药品不良反应聚集性事件的发生、药品批次信息、药品使用及药品的生产、储存、流通、同批次其他地区反馈等情况。对于死亡病例，应当根据国家局药品评价中心《药品不良反应</w:t>
      </w:r>
      <w:r>
        <w:rPr>
          <w:rFonts w:ascii="仿宋_GB2312" w:eastAsia="仿宋_GB2312" w:cs="仿宋_GB2312"/>
          <w:sz w:val="32"/>
          <w:szCs w:val="32"/>
        </w:rPr>
        <w:t>/</w:t>
      </w:r>
      <w:r>
        <w:rPr>
          <w:rFonts w:hint="eastAsia" w:ascii="仿宋_GB2312" w:eastAsia="仿宋_GB2312" w:cs="仿宋_GB2312"/>
          <w:sz w:val="32"/>
          <w:szCs w:val="32"/>
        </w:rPr>
        <w:t>事件死亡病例调查工作指南》的要求进行调查及分析评价，研判与怀疑药品使用的关联性。</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持有人应当组织开展企业内部生产、质量调查，查找分析根本原因。对于产品可能存在质量隐患的，应当详细调查质量隐患发生的原因，评估质量隐患对患者可能造成的伤害等。</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处置与报告</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持有人应当根据可能引发危害的严重程度及时采取风险控制措施。包含但不限于以下的处置措施：</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在事件获知后持有人应当立即通知销售部门暂停该药品的销售和使用。立即对该药品及其相关原料、辅料以及直接接触药品的包装材料和容器、相关生产线等采取封存、暂停生产等控制措施。第一时间调查药品流向，评估对患者的影响，因药品质量问题造成的伤害，企业应当协助医疗机构救治受影响的患者。</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对于重大质量安全事件由药品缺陷导致的，持有人应当立即按照召回程序组织产品召回。</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抽检不合格且经初步调查评估产品质量不存在质量问题的，应当及时申请启动产品复检程序。</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企业应当</w:t>
      </w:r>
      <w:r>
        <w:rPr>
          <w:rFonts w:hint="eastAsia" w:ascii="仿宋_GB2312" w:eastAsia="仿宋_GB2312" w:cs="仿宋_GB2312"/>
          <w:sz w:val="32"/>
          <w:szCs w:val="32"/>
          <w:lang w:val="en-US" w:eastAsia="zh-CN"/>
        </w:rPr>
        <w:t>根据</w:t>
      </w:r>
      <w:r>
        <w:rPr>
          <w:rFonts w:hint="eastAsia" w:ascii="仿宋_GB2312" w:eastAsia="仿宋_GB2312" w:cs="仿宋_GB2312"/>
          <w:sz w:val="32"/>
          <w:szCs w:val="32"/>
        </w:rPr>
        <w:t>原因调查</w:t>
      </w:r>
      <w:r>
        <w:rPr>
          <w:rFonts w:hint="eastAsia" w:ascii="仿宋_GB2312" w:eastAsia="仿宋_GB2312" w:cs="仿宋_GB2312"/>
          <w:sz w:val="32"/>
          <w:szCs w:val="32"/>
          <w:lang w:val="en-US" w:eastAsia="zh-CN"/>
        </w:rPr>
        <w:t>情况</w:t>
      </w:r>
      <w:r>
        <w:rPr>
          <w:rFonts w:hint="eastAsia" w:ascii="仿宋_GB2312" w:eastAsia="仿宋_GB2312" w:cs="仿宋_GB2312"/>
          <w:sz w:val="32"/>
          <w:szCs w:val="32"/>
        </w:rPr>
        <w:t>，判定是否有其他批次或其他种类产品存在类似问题，</w:t>
      </w:r>
      <w:r>
        <w:rPr>
          <w:rFonts w:hint="eastAsia" w:ascii="仿宋_GB2312" w:eastAsia="仿宋_GB2312" w:cs="仿宋_GB2312"/>
          <w:sz w:val="32"/>
          <w:szCs w:val="32"/>
          <w:lang w:val="en-US" w:eastAsia="zh-CN"/>
        </w:rPr>
        <w:t>及时制定并采取</w:t>
      </w:r>
      <w:r>
        <w:rPr>
          <w:rFonts w:hint="eastAsia" w:ascii="仿宋_GB2312" w:eastAsia="仿宋_GB2312" w:cs="仿宋_GB2312"/>
          <w:sz w:val="32"/>
          <w:szCs w:val="32"/>
        </w:rPr>
        <w:t>风险控制措施，提高产品质量，降低药品上市后的风险。</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持有人应当立即向当地政府和承担监管职责的药品监管部门报告重大质量安全事件的基本情况、处置进展及风险控制措施。</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持有人应当建立舆情处置应急预案，加强舆情监控监测，要做到早发现、早上报、早应对、早处置。对舆情影响进行评估并迅速做出处理，及时回应舆情关切，第一时间发布准确、权威信息，最大限度避免或减少不良影响。相关舆情处置情况应当及时向当地政府和承担监管职责的药品监管部门报告。</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持有人应当开展风险获益评估。对于评估风险大于获益的，持有人应当主动注销药品注册证书或停止该产品生产销售。</w:t>
      </w:r>
    </w:p>
    <w:p>
      <w:pPr>
        <w:spacing w:line="560" w:lineRule="exact"/>
        <w:ind w:firstLine="640" w:firstLineChars="200"/>
        <w:rPr>
          <w:rFonts w:ascii="黑体" w:eastAsia="黑体"/>
          <w:sz w:val="32"/>
          <w:szCs w:val="32"/>
        </w:rPr>
      </w:pPr>
      <w:r>
        <w:rPr>
          <w:rFonts w:hint="eastAsia" w:ascii="黑体" w:eastAsia="黑体"/>
          <w:sz w:val="32"/>
          <w:szCs w:val="32"/>
        </w:rPr>
        <w:t>七、参考依据：</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bookmarkStart w:id="0" w:name="_Hlk77884113"/>
      <w:r>
        <w:rPr>
          <w:rFonts w:hint="eastAsia" w:ascii="仿宋_GB2312" w:eastAsia="仿宋_GB2312" w:cs="仿宋_GB2312"/>
          <w:sz w:val="32"/>
          <w:szCs w:val="32"/>
        </w:rPr>
        <w:t>《中华人民共和国药品管理法</w:t>
      </w:r>
      <w:bookmarkStart w:id="1" w:name="_Hlk77884308"/>
      <w:r>
        <w:rPr>
          <w:rFonts w:hint="eastAsia" w:ascii="仿宋_GB2312" w:eastAsia="仿宋_GB2312" w:cs="仿宋_GB2312"/>
          <w:sz w:val="32"/>
          <w:szCs w:val="32"/>
        </w:rPr>
        <w:t>》</w:t>
      </w:r>
      <w:bookmarkEnd w:id="1"/>
    </w:p>
    <w:p>
      <w:pPr>
        <w:numPr>
          <w:ilvl w:val="255"/>
          <w:numId w:val="0"/>
        </w:num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《中华人民共和国疫苗管理法》</w:t>
      </w:r>
    </w:p>
    <w:p>
      <w:pPr>
        <w:numPr>
          <w:ilvl w:val="255"/>
          <w:numId w:val="0"/>
        </w:num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《药品生产监督管理办法》</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《药品注册管理办法</w:t>
      </w:r>
      <w:r>
        <w:rPr>
          <w:rFonts w:ascii="仿宋_GB2312" w:eastAsia="仿宋_GB2312" w:cs="仿宋_GB2312"/>
          <w:sz w:val="32"/>
          <w:szCs w:val="32"/>
        </w:rPr>
        <w:t xml:space="preserve"> </w:t>
      </w:r>
      <w:r>
        <w:rPr>
          <w:rFonts w:hint="eastAsia" w:ascii="仿宋_GB2312" w:eastAsia="仿宋_GB2312" w:cs="仿宋_GB2312"/>
          <w:sz w:val="32"/>
          <w:szCs w:val="32"/>
        </w:rPr>
        <w:t>》</w:t>
      </w:r>
      <w:r>
        <w:rPr>
          <w:rFonts w:ascii="仿宋_GB2312" w:eastAsia="仿宋_GB2312" w:cs="仿宋_GB2312"/>
          <w:sz w:val="32"/>
          <w:szCs w:val="32"/>
        </w:rPr>
        <w:t xml:space="preserve"> </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《药物警戒质量管理规范》</w:t>
      </w:r>
    </w:p>
    <w:bookmarkEnd w:id="0"/>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 xml:space="preserve">[6]EMA.Guidanceon the format of the risk management plan (RMP) in the EU-in integrated format. </w:t>
      </w:r>
    </w:p>
    <w:p>
      <w:pPr>
        <w:spacing w:line="360" w:lineRule="auto"/>
        <w:ind w:firstLine="0" w:firstLineChars="0"/>
        <w:rPr>
          <w:rFonts w:ascii="仿宋_GB2312" w:eastAsia="仿宋_GB2312" w:cs="仿宋_GB2312"/>
          <w:sz w:val="32"/>
          <w:szCs w:val="32"/>
        </w:rPr>
      </w:pPr>
      <w:r>
        <w:rPr>
          <w:rFonts w:ascii="仿宋_GB2312" w:eastAsia="仿宋_GB2312" w:cs="仿宋_GB2312"/>
          <w:sz w:val="32"/>
          <w:szCs w:val="32"/>
        </w:rPr>
        <w:br w:type="page"/>
      </w:r>
      <w:r>
        <w:rPr>
          <w:rFonts w:hint="eastAsia" w:ascii="仿宋_GB2312" w:eastAsia="仿宋_GB2312" w:cs="仿宋_GB2312"/>
          <w:sz w:val="32"/>
          <w:szCs w:val="32"/>
        </w:rPr>
        <w:t>附件</w:t>
      </w:r>
      <w:r>
        <w:rPr>
          <w:rFonts w:ascii="仿宋_GB2312" w:eastAsia="仿宋_GB2312" w:cs="仿宋_GB2312"/>
          <w:sz w:val="32"/>
          <w:szCs w:val="32"/>
        </w:rPr>
        <w:t>1</w:t>
      </w:r>
    </w:p>
    <w:p>
      <w:pPr>
        <w:spacing w:line="560" w:lineRule="exact"/>
        <w:ind w:left="424" w:leftChars="202"/>
        <w:jc w:val="center"/>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XXXX</w:t>
      </w:r>
      <w:r>
        <w:rPr>
          <w:rFonts w:hint="eastAsia" w:ascii="方正小标宋简体" w:hAnsi="方正小标宋简体" w:eastAsia="方正小标宋简体" w:cs="方正小标宋简体"/>
          <w:bCs/>
          <w:sz w:val="44"/>
          <w:szCs w:val="44"/>
        </w:rPr>
        <w:t>药品获批后商业化生产前</w:t>
      </w:r>
    </w:p>
    <w:p>
      <w:pPr>
        <w:spacing w:line="560" w:lineRule="exact"/>
        <w:ind w:left="424" w:leftChars="202"/>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风险检查报告模板</w:t>
      </w: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一、检查目的：</w:t>
      </w:r>
    </w:p>
    <w:p>
      <w:pPr>
        <w:spacing w:line="560" w:lineRule="exact"/>
        <w:ind w:firstLine="640" w:firstLineChars="200"/>
        <w:jc w:val="left"/>
        <w:rPr>
          <w:rFonts w:ascii="仿宋_GB2312" w:eastAsia="仿宋_GB2312" w:cs="仿宋_GB2312"/>
          <w:sz w:val="32"/>
          <w:szCs w:val="32"/>
        </w:rPr>
      </w:pPr>
      <w:r>
        <w:rPr>
          <w:rFonts w:ascii="仿宋_GB2312" w:eastAsia="仿宋_GB2312" w:cs="仿宋_GB2312"/>
          <w:sz w:val="32"/>
          <w:szCs w:val="32"/>
        </w:rPr>
        <w:t>XXXX</w:t>
      </w:r>
      <w:r>
        <w:rPr>
          <w:rFonts w:hint="eastAsia" w:ascii="仿宋_GB2312" w:eastAsia="仿宋_GB2312" w:cs="仿宋_GB2312"/>
          <w:sz w:val="32"/>
          <w:szCs w:val="32"/>
        </w:rPr>
        <w:t>药品自</w:t>
      </w:r>
      <w:r>
        <w:rPr>
          <w:rFonts w:ascii="仿宋_GB2312" w:eastAsia="仿宋_GB2312" w:cs="仿宋_GB2312"/>
          <w:sz w:val="32"/>
          <w:szCs w:val="32"/>
        </w:rPr>
        <w:t>XXX</w:t>
      </w:r>
      <w:r>
        <w:rPr>
          <w:rFonts w:hint="eastAsia" w:ascii="仿宋_GB2312" w:eastAsia="仿宋_GB2312" w:cs="仿宋_GB2312"/>
          <w:sz w:val="32"/>
          <w:szCs w:val="32"/>
        </w:rPr>
        <w:t>时间获得注册批准批件，计划于</w:t>
      </w:r>
      <w:r>
        <w:rPr>
          <w:rFonts w:ascii="仿宋_GB2312" w:eastAsia="仿宋_GB2312" w:cs="仿宋_GB2312"/>
          <w:sz w:val="32"/>
          <w:szCs w:val="32"/>
        </w:rPr>
        <w:t>XXX</w:t>
      </w:r>
      <w:r>
        <w:rPr>
          <w:rFonts w:hint="eastAsia" w:ascii="仿宋_GB2312" w:eastAsia="仿宋_GB2312" w:cs="仿宋_GB2312"/>
          <w:sz w:val="32"/>
          <w:szCs w:val="32"/>
        </w:rPr>
        <w:t>时间进行商业化生产，现将准备商业化生产的各项条件与注册批准的条件进行一致性核对检查，确认生产工艺、设备、物料、标准、方法等与注册批准是否一致，是否存在上市生产风险，对于存在风险的项目采取降低风险的措施。</w:t>
      </w:r>
    </w:p>
    <w:p>
      <w:pPr>
        <w:spacing w:line="560" w:lineRule="exact"/>
        <w:jc w:val="left"/>
        <w:rPr>
          <w:rFonts w:ascii="黑体" w:hAnsi="黑体" w:eastAsia="黑体" w:cs="黑体"/>
          <w:sz w:val="32"/>
          <w:szCs w:val="32"/>
        </w:rPr>
      </w:pPr>
      <w:r>
        <w:rPr>
          <w:rFonts w:hint="eastAsia" w:ascii="黑体" w:hAnsi="黑体" w:eastAsia="黑体" w:cs="黑体"/>
          <w:sz w:val="32"/>
          <w:szCs w:val="32"/>
        </w:rPr>
        <w:t>二、检查范围</w:t>
      </w:r>
    </w:p>
    <w:p>
      <w:pPr>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拟进行</w:t>
      </w:r>
      <w:r>
        <w:rPr>
          <w:rFonts w:ascii="仿宋_GB2312" w:eastAsia="仿宋_GB2312" w:cs="仿宋_GB2312"/>
          <w:sz w:val="32"/>
          <w:szCs w:val="32"/>
        </w:rPr>
        <w:t>XXX</w:t>
      </w:r>
      <w:r>
        <w:rPr>
          <w:rFonts w:hint="eastAsia" w:ascii="仿宋_GB2312" w:eastAsia="仿宋_GB2312" w:cs="仿宋_GB2312"/>
          <w:sz w:val="32"/>
          <w:szCs w:val="32"/>
        </w:rPr>
        <w:t>药品商业化生产的生产地址</w:t>
      </w:r>
      <w:r>
        <w:rPr>
          <w:rFonts w:ascii="仿宋_GB2312" w:eastAsia="仿宋_GB2312" w:cs="仿宋_GB2312"/>
          <w:sz w:val="32"/>
          <w:szCs w:val="32"/>
        </w:rPr>
        <w:t>/</w:t>
      </w:r>
      <w:r>
        <w:rPr>
          <w:rFonts w:hint="eastAsia" w:ascii="仿宋_GB2312" w:eastAsia="仿宋_GB2312" w:cs="仿宋_GB2312"/>
          <w:sz w:val="32"/>
          <w:szCs w:val="32"/>
        </w:rPr>
        <w:t>生产线、生产批量、生产厂房设施</w:t>
      </w:r>
      <w:r>
        <w:rPr>
          <w:rFonts w:ascii="仿宋_GB2312" w:eastAsia="仿宋_GB2312" w:cs="仿宋_GB2312"/>
          <w:sz w:val="32"/>
          <w:szCs w:val="32"/>
        </w:rPr>
        <w:t>/</w:t>
      </w:r>
      <w:r>
        <w:rPr>
          <w:rFonts w:hint="eastAsia" w:ascii="仿宋_GB2312" w:eastAsia="仿宋_GB2312" w:cs="仿宋_GB2312"/>
          <w:sz w:val="32"/>
          <w:szCs w:val="32"/>
        </w:rPr>
        <w:t>设备、原辅包（内）生产商、原辅包质量标准及分析方法、工艺流程及过程控制、中间控制项目及方法、最终产品质量标准及分析方法、说明书及标签、工艺验证、清洁验证、操作</w:t>
      </w:r>
      <w:r>
        <w:rPr>
          <w:rFonts w:ascii="仿宋_GB2312" w:eastAsia="仿宋_GB2312" w:cs="仿宋_GB2312"/>
          <w:sz w:val="32"/>
          <w:szCs w:val="32"/>
        </w:rPr>
        <w:t>SOP</w:t>
      </w:r>
      <w:r>
        <w:rPr>
          <w:rFonts w:hint="eastAsia" w:ascii="仿宋_GB2312" w:eastAsia="仿宋_GB2312" w:cs="仿宋_GB2312"/>
          <w:sz w:val="32"/>
          <w:szCs w:val="32"/>
        </w:rPr>
        <w:t>、附条件批准、批件中要求持续研究的工作、人员培训和变更情况。</w:t>
      </w:r>
    </w:p>
    <w:p>
      <w:pPr>
        <w:spacing w:line="360" w:lineRule="auto"/>
        <w:jc w:val="left"/>
        <w:rPr>
          <w:rFonts w:ascii="黑体" w:hAnsi="黑体" w:eastAsia="黑体" w:cs="黑体"/>
          <w:sz w:val="32"/>
          <w:szCs w:val="32"/>
        </w:rPr>
      </w:pPr>
      <w:r>
        <w:rPr>
          <w:rFonts w:hint="eastAsia" w:ascii="黑体" w:hAnsi="黑体" w:eastAsia="黑体" w:cs="黑体"/>
          <w:sz w:val="32"/>
          <w:szCs w:val="32"/>
        </w:rPr>
        <w:t>三、检查结果</w:t>
      </w:r>
    </w:p>
    <w:tbl>
      <w:tblPr>
        <w:tblStyle w:val="11"/>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4149"/>
        <w:gridCol w:w="825"/>
        <w:gridCol w:w="1071"/>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vAlign w:val="center"/>
          </w:tcPr>
          <w:p>
            <w:pPr>
              <w:tabs>
                <w:tab w:val="left" w:pos="851"/>
              </w:tabs>
              <w:suppressAutoHyphens/>
              <w:spacing w:beforeAutospacing="1" w:line="420" w:lineRule="exact"/>
              <w:jc w:val="center"/>
              <w:rPr>
                <w:rFonts w:ascii="仿宋_GB2312" w:eastAsia="仿宋_GB2312" w:cs="仿宋_GB2312"/>
                <w:sz w:val="24"/>
                <w:szCs w:val="24"/>
              </w:rPr>
            </w:pPr>
            <w:r>
              <w:rPr>
                <w:rFonts w:hint="eastAsia" w:ascii="仿宋_GB2312" w:eastAsia="仿宋_GB2312" w:cs="仿宋_GB2312"/>
                <w:sz w:val="24"/>
                <w:szCs w:val="24"/>
              </w:rPr>
              <w:t>检查项目</w:t>
            </w:r>
          </w:p>
        </w:tc>
        <w:tc>
          <w:tcPr>
            <w:tcW w:w="4149" w:type="dxa"/>
            <w:vAlign w:val="center"/>
          </w:tcPr>
          <w:p>
            <w:pPr>
              <w:tabs>
                <w:tab w:val="left" w:pos="851"/>
              </w:tabs>
              <w:suppressAutoHyphens/>
              <w:spacing w:beforeAutospacing="1" w:line="420" w:lineRule="exact"/>
              <w:jc w:val="center"/>
              <w:rPr>
                <w:rFonts w:ascii="仿宋_GB2312" w:eastAsia="仿宋_GB2312" w:cs="仿宋_GB2312"/>
                <w:sz w:val="24"/>
                <w:szCs w:val="24"/>
              </w:rPr>
            </w:pPr>
            <w:r>
              <w:rPr>
                <w:rFonts w:hint="eastAsia" w:ascii="仿宋_GB2312" w:eastAsia="仿宋_GB2312" w:cs="仿宋_GB2312"/>
                <w:sz w:val="24"/>
                <w:szCs w:val="24"/>
              </w:rPr>
              <w:t>检查标准</w:t>
            </w:r>
          </w:p>
        </w:tc>
        <w:tc>
          <w:tcPr>
            <w:tcW w:w="825" w:type="dxa"/>
            <w:vAlign w:val="center"/>
          </w:tcPr>
          <w:p>
            <w:pPr>
              <w:tabs>
                <w:tab w:val="left" w:pos="851"/>
              </w:tabs>
              <w:suppressAutoHyphens/>
              <w:spacing w:beforeAutospacing="1" w:line="420" w:lineRule="exact"/>
              <w:jc w:val="center"/>
              <w:rPr>
                <w:rFonts w:ascii="仿宋_GB2312" w:eastAsia="仿宋_GB2312" w:cs="仿宋_GB2312"/>
                <w:sz w:val="24"/>
                <w:szCs w:val="24"/>
              </w:rPr>
            </w:pPr>
            <w:r>
              <w:rPr>
                <w:rFonts w:hint="eastAsia" w:ascii="仿宋_GB2312" w:eastAsia="仿宋_GB2312" w:cs="仿宋_GB2312"/>
                <w:sz w:val="24"/>
                <w:szCs w:val="24"/>
              </w:rPr>
              <w:t>检查结果</w:t>
            </w:r>
          </w:p>
        </w:tc>
        <w:tc>
          <w:tcPr>
            <w:tcW w:w="1071" w:type="dxa"/>
            <w:vAlign w:val="center"/>
          </w:tcPr>
          <w:p>
            <w:pPr>
              <w:tabs>
                <w:tab w:val="left" w:pos="851"/>
              </w:tabs>
              <w:suppressAutoHyphens/>
              <w:spacing w:beforeAutospacing="1" w:line="420" w:lineRule="exact"/>
              <w:jc w:val="center"/>
              <w:rPr>
                <w:rFonts w:ascii="仿宋_GB2312" w:eastAsia="仿宋_GB2312" w:cs="仿宋_GB2312"/>
                <w:sz w:val="24"/>
                <w:szCs w:val="24"/>
              </w:rPr>
            </w:pPr>
            <w:r>
              <w:rPr>
                <w:rFonts w:hint="eastAsia" w:ascii="仿宋_GB2312" w:eastAsia="仿宋_GB2312" w:cs="仿宋_GB2312"/>
                <w:sz w:val="24"/>
                <w:szCs w:val="24"/>
              </w:rPr>
              <w:t>是否存在风险</w:t>
            </w:r>
          </w:p>
        </w:tc>
        <w:tc>
          <w:tcPr>
            <w:tcW w:w="1320" w:type="dxa"/>
            <w:vAlign w:val="center"/>
          </w:tcPr>
          <w:p>
            <w:pPr>
              <w:tabs>
                <w:tab w:val="left" w:pos="851"/>
              </w:tabs>
              <w:suppressAutoHyphens/>
              <w:spacing w:beforeAutospacing="1" w:line="420" w:lineRule="exact"/>
              <w:jc w:val="center"/>
              <w:rPr>
                <w:rFonts w:ascii="仿宋_GB2312" w:eastAsia="仿宋_GB2312" w:cs="仿宋_GB2312"/>
                <w:sz w:val="24"/>
                <w:szCs w:val="24"/>
              </w:rPr>
            </w:pPr>
            <w:r>
              <w:rPr>
                <w:rFonts w:hint="eastAsia" w:ascii="仿宋_GB2312" w:eastAsia="仿宋_GB2312" w:cs="仿宋_GB2312"/>
                <w:sz w:val="24"/>
                <w:szCs w:val="24"/>
              </w:rPr>
              <w:t>拟定风险控制措施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生产厂房设施</w:t>
            </w:r>
            <w:r>
              <w:rPr>
                <w:rFonts w:ascii="仿宋_GB2312" w:eastAsia="仿宋_GB2312" w:cs="仿宋_GB2312"/>
                <w:sz w:val="24"/>
                <w:szCs w:val="24"/>
              </w:rPr>
              <w:t>/</w:t>
            </w:r>
            <w:r>
              <w:rPr>
                <w:rFonts w:hint="eastAsia" w:ascii="仿宋_GB2312" w:eastAsia="仿宋_GB2312" w:cs="仿宋_GB2312"/>
                <w:sz w:val="24"/>
                <w:szCs w:val="24"/>
              </w:rPr>
              <w:t>设备</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设备的型号、规格、厂家与注册批准一致。厂房设施</w:t>
            </w:r>
            <w:r>
              <w:rPr>
                <w:rFonts w:ascii="仿宋_GB2312" w:eastAsia="仿宋_GB2312" w:cs="仿宋_GB2312"/>
                <w:sz w:val="24"/>
                <w:szCs w:val="24"/>
              </w:rPr>
              <w:t>/</w:t>
            </w:r>
            <w:r>
              <w:rPr>
                <w:rFonts w:hint="eastAsia" w:ascii="仿宋_GB2312" w:eastAsia="仿宋_GB2312" w:cs="仿宋_GB2312"/>
                <w:sz w:val="24"/>
                <w:szCs w:val="24"/>
              </w:rPr>
              <w:t>设备经过确认满足生产工艺需求。</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原辅包（内）供应商、质量标准及分析方法</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原料（原材料）、辅料、与药品直接接触的包装材料的供应商、级别与注册批准一致，质量标准、分析方法与注册批准一致。供应商经过质量审核符合生产要求。</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工艺流程及过程控制</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工艺流程与注册批准一致。过程控制参数与注册批准一致。</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中间控制项目及方法</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中间控制项目及方法与注册批准一致。</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最终产品质量标准及分析方法</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最终产品的质量标准及分析方法与注册批准一致。</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说明书及标签</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已设计的药品说明书、标签的格式、内容与注册批准一致。</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生产地址</w:t>
            </w:r>
            <w:r>
              <w:rPr>
                <w:rFonts w:ascii="仿宋_GB2312" w:eastAsia="仿宋_GB2312" w:cs="仿宋_GB2312"/>
                <w:sz w:val="24"/>
                <w:szCs w:val="24"/>
              </w:rPr>
              <w:t>/</w:t>
            </w:r>
            <w:r>
              <w:rPr>
                <w:rFonts w:hint="eastAsia" w:ascii="仿宋_GB2312" w:eastAsia="仿宋_GB2312" w:cs="仿宋_GB2312"/>
                <w:sz w:val="24"/>
                <w:szCs w:val="24"/>
              </w:rPr>
              <w:t>生产线</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拟商业化生产的药品所属生产地址</w:t>
            </w:r>
            <w:r>
              <w:rPr>
                <w:rFonts w:ascii="仿宋_GB2312" w:eastAsia="仿宋_GB2312" w:cs="仿宋_GB2312"/>
                <w:sz w:val="24"/>
                <w:szCs w:val="24"/>
              </w:rPr>
              <w:t>/</w:t>
            </w:r>
            <w:r>
              <w:rPr>
                <w:rFonts w:hint="eastAsia" w:ascii="仿宋_GB2312" w:eastAsia="仿宋_GB2312" w:cs="仿宋_GB2312"/>
                <w:sz w:val="24"/>
                <w:szCs w:val="24"/>
              </w:rPr>
              <w:t>生产线与注册批准一致。</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生产批量</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生产批量与注册批准一致</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工艺验证、清洁验证、操作</w:t>
            </w:r>
            <w:r>
              <w:rPr>
                <w:rFonts w:ascii="仿宋_GB2312" w:eastAsia="仿宋_GB2312" w:cs="仿宋_GB2312"/>
                <w:sz w:val="24"/>
                <w:szCs w:val="24"/>
              </w:rPr>
              <w:t>SOP</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拟商业化生产的药品的工艺验证已完成且验证工艺与注册批准一致。拟商业化生产的产品的清洁验证已完成，且制定了相应规程。生产检验相关</w:t>
            </w:r>
            <w:r>
              <w:rPr>
                <w:rFonts w:ascii="仿宋_GB2312" w:eastAsia="仿宋_GB2312" w:cs="仿宋_GB2312"/>
                <w:sz w:val="24"/>
                <w:szCs w:val="24"/>
              </w:rPr>
              <w:t>SOP</w:t>
            </w:r>
            <w:r>
              <w:rPr>
                <w:rFonts w:hint="eastAsia" w:ascii="仿宋_GB2312" w:eastAsia="仿宋_GB2312" w:cs="仿宋_GB2312"/>
                <w:sz w:val="24"/>
                <w:szCs w:val="24"/>
              </w:rPr>
              <w:t>已建立并经培训。</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附条件批准</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附条件批准的项目，按照承诺计划按时继续开展，已完成的项目结果与预期一致。</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批件中要求持续研究的工作</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要求商业化生产前需要完成的持续研究工作，已完成。</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人员培训</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拟开展生产检验相关的人员经过培训并考核合格。</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所有变更措施</w:t>
            </w:r>
          </w:p>
        </w:tc>
        <w:tc>
          <w:tcPr>
            <w:tcW w:w="4149" w:type="dxa"/>
          </w:tcPr>
          <w:p>
            <w:pPr>
              <w:tabs>
                <w:tab w:val="left" w:pos="851"/>
              </w:tabs>
              <w:suppressAutoHyphens/>
              <w:spacing w:beforeAutospacing="1" w:line="420" w:lineRule="exact"/>
              <w:jc w:val="left"/>
              <w:rPr>
                <w:rFonts w:ascii="仿宋_GB2312" w:eastAsia="仿宋_GB2312" w:cs="仿宋_GB2312"/>
                <w:sz w:val="24"/>
                <w:szCs w:val="24"/>
              </w:rPr>
            </w:pPr>
            <w:r>
              <w:rPr>
                <w:rFonts w:hint="eastAsia" w:ascii="仿宋_GB2312" w:eastAsia="仿宋_GB2312" w:cs="仿宋_GB2312"/>
                <w:sz w:val="24"/>
                <w:szCs w:val="24"/>
              </w:rPr>
              <w:t>所有的变更措施按照批准的实施计划实施，达到预期效果。</w:t>
            </w:r>
          </w:p>
        </w:tc>
        <w:tc>
          <w:tcPr>
            <w:tcW w:w="825" w:type="dxa"/>
          </w:tcPr>
          <w:p>
            <w:pPr>
              <w:tabs>
                <w:tab w:val="left" w:pos="851"/>
              </w:tabs>
              <w:suppressAutoHyphens/>
              <w:spacing w:beforeAutospacing="1" w:line="420" w:lineRule="exact"/>
              <w:jc w:val="left"/>
              <w:rPr>
                <w:rFonts w:ascii="仿宋_GB2312" w:eastAsia="仿宋_GB2312" w:cs="仿宋_GB2312"/>
                <w:sz w:val="24"/>
                <w:szCs w:val="24"/>
              </w:rPr>
            </w:pPr>
          </w:p>
        </w:tc>
        <w:tc>
          <w:tcPr>
            <w:tcW w:w="1071" w:type="dxa"/>
          </w:tcPr>
          <w:p>
            <w:pPr>
              <w:tabs>
                <w:tab w:val="left" w:pos="851"/>
              </w:tabs>
              <w:suppressAutoHyphens/>
              <w:spacing w:beforeAutospacing="1" w:line="420" w:lineRule="exact"/>
              <w:jc w:val="left"/>
              <w:rPr>
                <w:rFonts w:ascii="仿宋_GB2312" w:eastAsia="仿宋_GB2312" w:cs="仿宋_GB2312"/>
                <w:sz w:val="24"/>
                <w:szCs w:val="24"/>
              </w:rPr>
            </w:pPr>
          </w:p>
        </w:tc>
        <w:tc>
          <w:tcPr>
            <w:tcW w:w="1320" w:type="dxa"/>
          </w:tcPr>
          <w:p>
            <w:pPr>
              <w:tabs>
                <w:tab w:val="left" w:pos="851"/>
              </w:tabs>
              <w:suppressAutoHyphens/>
              <w:spacing w:beforeAutospacing="1" w:line="420" w:lineRule="exact"/>
              <w:jc w:val="left"/>
              <w:rPr>
                <w:rFonts w:ascii="仿宋_GB2312" w:eastAsia="仿宋_GB2312" w:cs="仿宋_GB2312"/>
                <w:sz w:val="24"/>
                <w:szCs w:val="24"/>
              </w:rPr>
            </w:pPr>
          </w:p>
        </w:tc>
      </w:tr>
    </w:tbl>
    <w:p>
      <w:pPr>
        <w:suppressAutoHyphens/>
        <w:spacing w:line="360" w:lineRule="auto"/>
        <w:jc w:val="left"/>
        <w:rPr>
          <w:rFonts w:ascii="黑体" w:hAnsi="黑体" w:eastAsia="黑体" w:cs="黑体"/>
          <w:sz w:val="32"/>
          <w:szCs w:val="32"/>
        </w:rPr>
      </w:pPr>
      <w:r>
        <w:rPr>
          <w:rFonts w:hint="eastAsia" w:ascii="黑体" w:hAnsi="黑体" w:eastAsia="黑体" w:cs="黑体"/>
          <w:sz w:val="32"/>
          <w:szCs w:val="32"/>
        </w:rPr>
        <w:t>四、检查结论及拟定风险控制措施</w:t>
      </w:r>
    </w:p>
    <w:p>
      <w:pPr>
        <w:tabs>
          <w:tab w:val="left" w:pos="851"/>
        </w:tabs>
        <w:suppressAutoHyphens/>
        <w:spacing w:line="360" w:lineRule="auto"/>
        <w:jc w:val="left"/>
        <w:rPr>
          <w:rFonts w:ascii="仿宋_GB2312" w:eastAsia="仿宋_GB2312" w:cs="仿宋_GB2312"/>
          <w:sz w:val="32"/>
          <w:szCs w:val="32"/>
        </w:rPr>
      </w:pPr>
      <w:r>
        <w:rPr>
          <w:rFonts w:hint="eastAsia" w:ascii="仿宋_GB2312" w:hAnsi="仿宋_GB2312" w:eastAsia="仿宋_GB2312" w:cs="仿宋_GB2312"/>
          <w:color w:val="auto"/>
          <w:sz w:val="32"/>
          <w:szCs w:val="32"/>
        </w:rPr>
        <w:t>通过以上检查发现的风险项及采取的风险控制措施：</w:t>
      </w:r>
    </w:p>
    <w:tbl>
      <w:tblPr>
        <w:tblStyle w:val="11"/>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365"/>
        <w:gridCol w:w="1260"/>
        <w:gridCol w:w="1470"/>
        <w:gridCol w:w="189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风险项目描述</w:t>
            </w:r>
          </w:p>
        </w:tc>
        <w:tc>
          <w:tcPr>
            <w:tcW w:w="1365"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风险控制措施</w:t>
            </w:r>
          </w:p>
        </w:tc>
        <w:tc>
          <w:tcPr>
            <w:tcW w:w="1260"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完成时限</w:t>
            </w:r>
          </w:p>
        </w:tc>
        <w:tc>
          <w:tcPr>
            <w:tcW w:w="1470"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负责部门</w:t>
            </w:r>
            <w:r>
              <w:rPr>
                <w:rFonts w:ascii="仿宋_GB2312" w:eastAsia="仿宋_GB2312" w:cs="仿宋_GB2312"/>
                <w:sz w:val="24"/>
                <w:szCs w:val="24"/>
              </w:rPr>
              <w:t>/</w:t>
            </w:r>
            <w:r>
              <w:rPr>
                <w:rFonts w:hint="eastAsia" w:ascii="仿宋_GB2312" w:eastAsia="仿宋_GB2312" w:cs="仿宋_GB2312"/>
                <w:sz w:val="24"/>
                <w:szCs w:val="24"/>
              </w:rPr>
              <w:t>人员</w:t>
            </w:r>
          </w:p>
        </w:tc>
        <w:tc>
          <w:tcPr>
            <w:tcW w:w="1890"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完成情况描述</w:t>
            </w:r>
          </w:p>
        </w:tc>
        <w:tc>
          <w:tcPr>
            <w:tcW w:w="1365"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跟踪确认人</w:t>
            </w:r>
            <w:r>
              <w:rPr>
                <w:rFonts w:ascii="仿宋_GB2312" w:eastAsia="仿宋_GB2312" w:cs="仿宋_GB2312"/>
                <w:sz w:val="24"/>
                <w:szCs w:val="24"/>
              </w:rPr>
              <w:t>/</w:t>
            </w:r>
            <w:r>
              <w:rPr>
                <w:rFonts w:hint="eastAsia" w:ascii="仿宋_GB2312" w:eastAsia="仿宋_GB2312" w:cs="仿宋_GB2312"/>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tabs>
                <w:tab w:val="left" w:pos="851"/>
              </w:tabs>
              <w:suppressAutoHyphens/>
              <w:spacing w:beforeAutospacing="1" w:line="360" w:lineRule="auto"/>
              <w:jc w:val="left"/>
              <w:rPr>
                <w:rFonts w:ascii="仿宋_GB2312" w:eastAsia="仿宋_GB2312" w:cs="仿宋_GB2312"/>
                <w:sz w:val="24"/>
                <w:szCs w:val="24"/>
              </w:rPr>
            </w:pPr>
          </w:p>
        </w:tc>
        <w:tc>
          <w:tcPr>
            <w:tcW w:w="1365" w:type="dxa"/>
          </w:tcPr>
          <w:p>
            <w:pPr>
              <w:tabs>
                <w:tab w:val="left" w:pos="851"/>
              </w:tabs>
              <w:suppressAutoHyphens/>
              <w:spacing w:beforeAutospacing="1" w:line="360" w:lineRule="auto"/>
              <w:jc w:val="left"/>
              <w:rPr>
                <w:rFonts w:ascii="仿宋_GB2312" w:eastAsia="仿宋_GB2312" w:cs="仿宋_GB2312"/>
                <w:sz w:val="24"/>
                <w:szCs w:val="24"/>
              </w:rPr>
            </w:pPr>
          </w:p>
        </w:tc>
        <w:tc>
          <w:tcPr>
            <w:tcW w:w="1260" w:type="dxa"/>
          </w:tcPr>
          <w:p>
            <w:pPr>
              <w:tabs>
                <w:tab w:val="left" w:pos="851"/>
              </w:tabs>
              <w:suppressAutoHyphens/>
              <w:spacing w:beforeAutospacing="1" w:line="360" w:lineRule="auto"/>
              <w:jc w:val="left"/>
              <w:rPr>
                <w:rFonts w:ascii="仿宋_GB2312" w:eastAsia="仿宋_GB2312" w:cs="仿宋_GB2312"/>
                <w:sz w:val="24"/>
                <w:szCs w:val="24"/>
              </w:rPr>
            </w:pPr>
          </w:p>
        </w:tc>
        <w:tc>
          <w:tcPr>
            <w:tcW w:w="1470" w:type="dxa"/>
          </w:tcPr>
          <w:p>
            <w:pPr>
              <w:tabs>
                <w:tab w:val="left" w:pos="851"/>
              </w:tabs>
              <w:suppressAutoHyphens/>
              <w:spacing w:beforeAutospacing="1" w:line="360" w:lineRule="auto"/>
              <w:jc w:val="left"/>
              <w:rPr>
                <w:rFonts w:ascii="仿宋_GB2312" w:eastAsia="仿宋_GB2312" w:cs="仿宋_GB2312"/>
                <w:sz w:val="24"/>
                <w:szCs w:val="24"/>
              </w:rPr>
            </w:pPr>
          </w:p>
        </w:tc>
        <w:tc>
          <w:tcPr>
            <w:tcW w:w="1890" w:type="dxa"/>
          </w:tcPr>
          <w:p>
            <w:pPr>
              <w:tabs>
                <w:tab w:val="left" w:pos="851"/>
              </w:tabs>
              <w:suppressAutoHyphens/>
              <w:spacing w:beforeAutospacing="1" w:line="360" w:lineRule="auto"/>
              <w:jc w:val="left"/>
              <w:rPr>
                <w:rFonts w:ascii="仿宋_GB2312" w:eastAsia="仿宋_GB2312" w:cs="仿宋_GB2312"/>
                <w:sz w:val="24"/>
                <w:szCs w:val="24"/>
              </w:rPr>
            </w:pPr>
          </w:p>
        </w:tc>
        <w:tc>
          <w:tcPr>
            <w:tcW w:w="136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tabs>
                <w:tab w:val="left" w:pos="851"/>
              </w:tabs>
              <w:suppressAutoHyphens/>
              <w:spacing w:beforeAutospacing="1" w:line="360" w:lineRule="auto"/>
              <w:jc w:val="left"/>
              <w:rPr>
                <w:rFonts w:ascii="仿宋_GB2312" w:eastAsia="仿宋_GB2312" w:cs="仿宋_GB2312"/>
                <w:sz w:val="24"/>
                <w:szCs w:val="24"/>
              </w:rPr>
            </w:pPr>
          </w:p>
        </w:tc>
        <w:tc>
          <w:tcPr>
            <w:tcW w:w="1365" w:type="dxa"/>
          </w:tcPr>
          <w:p>
            <w:pPr>
              <w:tabs>
                <w:tab w:val="left" w:pos="851"/>
              </w:tabs>
              <w:suppressAutoHyphens/>
              <w:spacing w:beforeAutospacing="1" w:line="360" w:lineRule="auto"/>
              <w:jc w:val="left"/>
              <w:rPr>
                <w:rFonts w:ascii="仿宋_GB2312" w:eastAsia="仿宋_GB2312" w:cs="仿宋_GB2312"/>
                <w:sz w:val="24"/>
                <w:szCs w:val="24"/>
              </w:rPr>
            </w:pPr>
          </w:p>
        </w:tc>
        <w:tc>
          <w:tcPr>
            <w:tcW w:w="1260" w:type="dxa"/>
          </w:tcPr>
          <w:p>
            <w:pPr>
              <w:tabs>
                <w:tab w:val="left" w:pos="851"/>
              </w:tabs>
              <w:suppressAutoHyphens/>
              <w:spacing w:beforeAutospacing="1" w:line="360" w:lineRule="auto"/>
              <w:jc w:val="left"/>
              <w:rPr>
                <w:rFonts w:ascii="仿宋_GB2312" w:eastAsia="仿宋_GB2312" w:cs="仿宋_GB2312"/>
                <w:sz w:val="24"/>
                <w:szCs w:val="24"/>
              </w:rPr>
            </w:pPr>
          </w:p>
        </w:tc>
        <w:tc>
          <w:tcPr>
            <w:tcW w:w="1470" w:type="dxa"/>
          </w:tcPr>
          <w:p>
            <w:pPr>
              <w:tabs>
                <w:tab w:val="left" w:pos="851"/>
              </w:tabs>
              <w:suppressAutoHyphens/>
              <w:spacing w:beforeAutospacing="1" w:line="360" w:lineRule="auto"/>
              <w:jc w:val="left"/>
              <w:rPr>
                <w:rFonts w:ascii="仿宋_GB2312" w:eastAsia="仿宋_GB2312" w:cs="仿宋_GB2312"/>
                <w:sz w:val="24"/>
                <w:szCs w:val="24"/>
              </w:rPr>
            </w:pPr>
          </w:p>
        </w:tc>
        <w:tc>
          <w:tcPr>
            <w:tcW w:w="1890" w:type="dxa"/>
          </w:tcPr>
          <w:p>
            <w:pPr>
              <w:tabs>
                <w:tab w:val="left" w:pos="851"/>
              </w:tabs>
              <w:suppressAutoHyphens/>
              <w:spacing w:beforeAutospacing="1" w:line="360" w:lineRule="auto"/>
              <w:jc w:val="left"/>
              <w:rPr>
                <w:rFonts w:ascii="仿宋_GB2312" w:eastAsia="仿宋_GB2312" w:cs="仿宋_GB2312"/>
                <w:sz w:val="24"/>
                <w:szCs w:val="24"/>
              </w:rPr>
            </w:pPr>
          </w:p>
        </w:tc>
        <w:tc>
          <w:tcPr>
            <w:tcW w:w="136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7" w:type="dxa"/>
          </w:tcPr>
          <w:p>
            <w:pPr>
              <w:tabs>
                <w:tab w:val="left" w:pos="851"/>
              </w:tabs>
              <w:suppressAutoHyphens/>
              <w:spacing w:beforeAutospacing="1" w:line="360" w:lineRule="auto"/>
              <w:jc w:val="left"/>
              <w:rPr>
                <w:rFonts w:ascii="仿宋_GB2312" w:eastAsia="仿宋_GB2312" w:cs="仿宋_GB2312"/>
                <w:sz w:val="24"/>
                <w:szCs w:val="24"/>
              </w:rPr>
            </w:pPr>
          </w:p>
        </w:tc>
        <w:tc>
          <w:tcPr>
            <w:tcW w:w="1365" w:type="dxa"/>
          </w:tcPr>
          <w:p>
            <w:pPr>
              <w:tabs>
                <w:tab w:val="left" w:pos="851"/>
              </w:tabs>
              <w:suppressAutoHyphens/>
              <w:spacing w:beforeAutospacing="1" w:line="360" w:lineRule="auto"/>
              <w:jc w:val="left"/>
              <w:rPr>
                <w:rFonts w:ascii="仿宋_GB2312" w:eastAsia="仿宋_GB2312" w:cs="仿宋_GB2312"/>
                <w:sz w:val="24"/>
                <w:szCs w:val="24"/>
              </w:rPr>
            </w:pPr>
          </w:p>
        </w:tc>
        <w:tc>
          <w:tcPr>
            <w:tcW w:w="1260" w:type="dxa"/>
          </w:tcPr>
          <w:p>
            <w:pPr>
              <w:tabs>
                <w:tab w:val="left" w:pos="851"/>
              </w:tabs>
              <w:suppressAutoHyphens/>
              <w:spacing w:beforeAutospacing="1" w:line="360" w:lineRule="auto"/>
              <w:jc w:val="left"/>
              <w:rPr>
                <w:rFonts w:ascii="仿宋_GB2312" w:eastAsia="仿宋_GB2312" w:cs="仿宋_GB2312"/>
                <w:sz w:val="24"/>
                <w:szCs w:val="24"/>
              </w:rPr>
            </w:pPr>
          </w:p>
        </w:tc>
        <w:tc>
          <w:tcPr>
            <w:tcW w:w="1470" w:type="dxa"/>
          </w:tcPr>
          <w:p>
            <w:pPr>
              <w:tabs>
                <w:tab w:val="left" w:pos="851"/>
              </w:tabs>
              <w:suppressAutoHyphens/>
              <w:spacing w:beforeAutospacing="1" w:line="360" w:lineRule="auto"/>
              <w:jc w:val="left"/>
              <w:rPr>
                <w:rFonts w:ascii="仿宋_GB2312" w:eastAsia="仿宋_GB2312" w:cs="仿宋_GB2312"/>
                <w:sz w:val="24"/>
                <w:szCs w:val="24"/>
              </w:rPr>
            </w:pPr>
          </w:p>
        </w:tc>
        <w:tc>
          <w:tcPr>
            <w:tcW w:w="1890" w:type="dxa"/>
          </w:tcPr>
          <w:p>
            <w:pPr>
              <w:tabs>
                <w:tab w:val="left" w:pos="851"/>
              </w:tabs>
              <w:suppressAutoHyphens/>
              <w:spacing w:beforeAutospacing="1" w:line="360" w:lineRule="auto"/>
              <w:jc w:val="left"/>
              <w:rPr>
                <w:rFonts w:ascii="仿宋_GB2312" w:eastAsia="仿宋_GB2312" w:cs="仿宋_GB2312"/>
                <w:sz w:val="24"/>
                <w:szCs w:val="24"/>
              </w:rPr>
            </w:pPr>
          </w:p>
        </w:tc>
        <w:tc>
          <w:tcPr>
            <w:tcW w:w="1365" w:type="dxa"/>
          </w:tcPr>
          <w:p>
            <w:pPr>
              <w:tabs>
                <w:tab w:val="left" w:pos="851"/>
              </w:tabs>
              <w:suppressAutoHyphens/>
              <w:spacing w:beforeAutospacing="1" w:line="360" w:lineRule="auto"/>
              <w:jc w:val="left"/>
              <w:rPr>
                <w:rFonts w:ascii="仿宋_GB2312" w:eastAsia="仿宋_GB2312" w:cs="仿宋_GB2312"/>
                <w:sz w:val="24"/>
                <w:szCs w:val="24"/>
              </w:rPr>
            </w:pPr>
          </w:p>
        </w:tc>
      </w:tr>
    </w:tbl>
    <w:p>
      <w:pPr>
        <w:suppressAutoHyphens/>
        <w:spacing w:line="360" w:lineRule="auto"/>
        <w:jc w:val="left"/>
        <w:rPr>
          <w:rFonts w:ascii="黑体" w:hAnsi="黑体" w:eastAsia="黑体" w:cs="黑体"/>
          <w:sz w:val="32"/>
          <w:szCs w:val="32"/>
        </w:rPr>
      </w:pPr>
      <w:r>
        <w:rPr>
          <w:rFonts w:hint="eastAsia" w:ascii="黑体" w:hAnsi="黑体" w:eastAsia="黑体" w:cs="黑体"/>
          <w:sz w:val="32"/>
          <w:szCs w:val="32"/>
        </w:rPr>
        <w:t>五、报告批准</w:t>
      </w:r>
    </w:p>
    <w:p>
      <w:pPr>
        <w:tabs>
          <w:tab w:val="left" w:pos="851"/>
        </w:tabs>
        <w:suppressAutoHyphens/>
        <w:spacing w:line="360" w:lineRule="auto"/>
        <w:jc w:val="left"/>
        <w:rPr>
          <w:rFonts w:ascii="仿宋_GB2312" w:eastAsia="仿宋_GB2312" w:cs="仿宋_GB2312"/>
          <w:sz w:val="32"/>
          <w:szCs w:val="32"/>
        </w:rPr>
      </w:pPr>
      <w:r>
        <w:rPr>
          <w:rFonts w:hint="eastAsia" w:ascii="仿宋_GB2312" w:eastAsia="仿宋_GB2312" w:cs="仿宋_GB2312"/>
          <w:sz w:val="32"/>
          <w:szCs w:val="32"/>
        </w:rPr>
        <w:t>检查小组人员签字确认：</w:t>
      </w:r>
    </w:p>
    <w:tbl>
      <w:tblPr>
        <w:tblStyle w:val="11"/>
        <w:tblW w:w="916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470"/>
        <w:gridCol w:w="1470"/>
        <w:gridCol w:w="147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pStyle w:val="24"/>
              <w:spacing w:line="360" w:lineRule="auto"/>
              <w:ind w:firstLine="0" w:firstLineChars="0"/>
              <w:jc w:val="center"/>
              <w:rPr>
                <w:rFonts w:hint="eastAsia" w:ascii="仿宋_GB2312" w:eastAsia="仿宋_GB2312" w:cs="仿宋_GB2312"/>
                <w:sz w:val="24"/>
                <w:szCs w:val="24"/>
              </w:rPr>
            </w:pPr>
            <w:r>
              <w:rPr>
                <w:rFonts w:hint="eastAsia" w:ascii="仿宋_GB2312" w:eastAsia="仿宋_GB2312" w:cs="仿宋_GB2312"/>
                <w:sz w:val="24"/>
                <w:szCs w:val="24"/>
              </w:rPr>
              <w:t>部门</w:t>
            </w:r>
          </w:p>
        </w:tc>
        <w:tc>
          <w:tcPr>
            <w:tcW w:w="1470" w:type="dxa"/>
          </w:tcPr>
          <w:p>
            <w:pPr>
              <w:pStyle w:val="24"/>
              <w:spacing w:line="360" w:lineRule="auto"/>
              <w:ind w:firstLine="0" w:firstLineChars="0"/>
              <w:jc w:val="left"/>
              <w:rPr>
                <w:rFonts w:hint="eastAsia" w:ascii="仿宋_GB2312" w:eastAsia="仿宋_GB2312" w:cs="仿宋_GB2312"/>
                <w:sz w:val="24"/>
                <w:szCs w:val="24"/>
              </w:rPr>
            </w:pPr>
          </w:p>
        </w:tc>
        <w:tc>
          <w:tcPr>
            <w:tcW w:w="1470" w:type="dxa"/>
          </w:tcPr>
          <w:p>
            <w:pPr>
              <w:pStyle w:val="24"/>
              <w:spacing w:line="360" w:lineRule="auto"/>
              <w:ind w:firstLine="0" w:firstLineChars="0"/>
              <w:jc w:val="left"/>
              <w:rPr>
                <w:rFonts w:hint="eastAsia" w:ascii="仿宋_GB2312" w:eastAsia="仿宋_GB2312" w:cs="仿宋_GB2312"/>
                <w:sz w:val="24"/>
                <w:szCs w:val="24"/>
              </w:rPr>
            </w:pPr>
          </w:p>
        </w:tc>
        <w:tc>
          <w:tcPr>
            <w:tcW w:w="1470" w:type="dxa"/>
          </w:tcPr>
          <w:p>
            <w:pPr>
              <w:pStyle w:val="24"/>
              <w:spacing w:line="360" w:lineRule="auto"/>
              <w:ind w:firstLine="0" w:firstLineChars="0"/>
              <w:jc w:val="left"/>
              <w:rPr>
                <w:rFonts w:ascii="仿宋_GB2312" w:eastAsia="仿宋_GB2312" w:cs="仿宋_GB2312"/>
                <w:sz w:val="32"/>
                <w:szCs w:val="32"/>
              </w:rPr>
            </w:pPr>
          </w:p>
        </w:tc>
        <w:tc>
          <w:tcPr>
            <w:tcW w:w="1470" w:type="dxa"/>
          </w:tcPr>
          <w:p>
            <w:pPr>
              <w:pStyle w:val="24"/>
              <w:spacing w:line="360" w:lineRule="auto"/>
              <w:ind w:firstLine="0" w:firstLineChars="0"/>
              <w:jc w:val="left"/>
              <w:rPr>
                <w:rFonts w:ascii="仿宋_GB2312" w:eastAsia="仿宋_GB2312" w:cs="仿宋_GB2312"/>
                <w:sz w:val="32"/>
                <w:szCs w:val="32"/>
              </w:rPr>
            </w:pPr>
          </w:p>
        </w:tc>
        <w:tc>
          <w:tcPr>
            <w:tcW w:w="1470" w:type="dxa"/>
          </w:tcPr>
          <w:p>
            <w:pPr>
              <w:pStyle w:val="24"/>
              <w:spacing w:line="360" w:lineRule="auto"/>
              <w:ind w:firstLine="0" w:firstLineChars="0"/>
              <w:jc w:val="left"/>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pStyle w:val="24"/>
              <w:spacing w:line="360" w:lineRule="auto"/>
              <w:ind w:firstLine="0" w:firstLineChars="0"/>
              <w:jc w:val="center"/>
              <w:rPr>
                <w:rFonts w:hint="eastAsia" w:ascii="仿宋_GB2312" w:eastAsia="仿宋_GB2312" w:cs="仿宋_GB2312"/>
                <w:sz w:val="24"/>
                <w:szCs w:val="24"/>
              </w:rPr>
            </w:pPr>
            <w:r>
              <w:rPr>
                <w:rFonts w:hint="eastAsia" w:ascii="仿宋_GB2312" w:eastAsia="仿宋_GB2312" w:cs="仿宋_GB2312"/>
                <w:sz w:val="24"/>
                <w:szCs w:val="24"/>
              </w:rPr>
              <w:t>职务</w:t>
            </w:r>
          </w:p>
        </w:tc>
        <w:tc>
          <w:tcPr>
            <w:tcW w:w="1470" w:type="dxa"/>
          </w:tcPr>
          <w:p>
            <w:pPr>
              <w:pStyle w:val="24"/>
              <w:spacing w:line="360" w:lineRule="auto"/>
              <w:ind w:firstLine="0" w:firstLineChars="0"/>
              <w:jc w:val="left"/>
              <w:rPr>
                <w:rFonts w:hint="eastAsia" w:ascii="仿宋_GB2312" w:eastAsia="仿宋_GB2312" w:cs="仿宋_GB2312"/>
                <w:sz w:val="24"/>
                <w:szCs w:val="24"/>
              </w:rPr>
            </w:pPr>
          </w:p>
        </w:tc>
        <w:tc>
          <w:tcPr>
            <w:tcW w:w="1470" w:type="dxa"/>
          </w:tcPr>
          <w:p>
            <w:pPr>
              <w:pStyle w:val="24"/>
              <w:spacing w:line="360" w:lineRule="auto"/>
              <w:ind w:firstLine="0" w:firstLineChars="0"/>
              <w:jc w:val="left"/>
              <w:rPr>
                <w:rFonts w:hint="eastAsia" w:ascii="仿宋_GB2312" w:eastAsia="仿宋_GB2312" w:cs="仿宋_GB2312"/>
                <w:sz w:val="24"/>
                <w:szCs w:val="24"/>
              </w:rPr>
            </w:pPr>
          </w:p>
        </w:tc>
        <w:tc>
          <w:tcPr>
            <w:tcW w:w="1470" w:type="dxa"/>
          </w:tcPr>
          <w:p>
            <w:pPr>
              <w:pStyle w:val="24"/>
              <w:spacing w:line="360" w:lineRule="auto"/>
              <w:ind w:firstLine="0" w:firstLineChars="0"/>
              <w:jc w:val="left"/>
              <w:rPr>
                <w:rFonts w:ascii="仿宋_GB2312" w:eastAsia="仿宋_GB2312" w:cs="仿宋_GB2312"/>
                <w:sz w:val="32"/>
                <w:szCs w:val="32"/>
              </w:rPr>
            </w:pPr>
          </w:p>
        </w:tc>
        <w:tc>
          <w:tcPr>
            <w:tcW w:w="1470" w:type="dxa"/>
          </w:tcPr>
          <w:p>
            <w:pPr>
              <w:pStyle w:val="24"/>
              <w:spacing w:line="360" w:lineRule="auto"/>
              <w:ind w:firstLine="0" w:firstLineChars="0"/>
              <w:jc w:val="left"/>
              <w:rPr>
                <w:rFonts w:ascii="仿宋_GB2312" w:eastAsia="仿宋_GB2312" w:cs="仿宋_GB2312"/>
                <w:sz w:val="32"/>
                <w:szCs w:val="32"/>
              </w:rPr>
            </w:pPr>
          </w:p>
        </w:tc>
        <w:tc>
          <w:tcPr>
            <w:tcW w:w="1470" w:type="dxa"/>
          </w:tcPr>
          <w:p>
            <w:pPr>
              <w:pStyle w:val="24"/>
              <w:spacing w:line="360" w:lineRule="auto"/>
              <w:ind w:firstLine="0" w:firstLineChars="0"/>
              <w:jc w:val="left"/>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pStyle w:val="24"/>
              <w:spacing w:line="360" w:lineRule="auto"/>
              <w:ind w:firstLine="0" w:firstLineChars="0"/>
              <w:jc w:val="center"/>
              <w:rPr>
                <w:rFonts w:hint="eastAsia" w:ascii="仿宋_GB2312" w:eastAsia="仿宋_GB2312" w:cs="仿宋_GB2312"/>
                <w:sz w:val="24"/>
                <w:szCs w:val="24"/>
              </w:rPr>
            </w:pPr>
            <w:r>
              <w:rPr>
                <w:rFonts w:hint="eastAsia" w:ascii="仿宋_GB2312" w:eastAsia="仿宋_GB2312" w:cs="仿宋_GB2312"/>
                <w:sz w:val="24"/>
                <w:szCs w:val="24"/>
              </w:rPr>
              <w:t>签字/日期</w:t>
            </w:r>
          </w:p>
        </w:tc>
        <w:tc>
          <w:tcPr>
            <w:tcW w:w="1470" w:type="dxa"/>
          </w:tcPr>
          <w:p>
            <w:pPr>
              <w:pStyle w:val="24"/>
              <w:spacing w:line="360" w:lineRule="auto"/>
              <w:ind w:firstLine="0" w:firstLineChars="0"/>
              <w:jc w:val="left"/>
              <w:rPr>
                <w:rFonts w:hint="eastAsia" w:ascii="仿宋_GB2312" w:eastAsia="仿宋_GB2312" w:cs="仿宋_GB2312"/>
                <w:sz w:val="24"/>
                <w:szCs w:val="24"/>
              </w:rPr>
            </w:pPr>
          </w:p>
        </w:tc>
        <w:tc>
          <w:tcPr>
            <w:tcW w:w="1470" w:type="dxa"/>
          </w:tcPr>
          <w:p>
            <w:pPr>
              <w:pStyle w:val="24"/>
              <w:spacing w:line="360" w:lineRule="auto"/>
              <w:ind w:firstLine="0" w:firstLineChars="0"/>
              <w:jc w:val="left"/>
              <w:rPr>
                <w:rFonts w:hint="eastAsia" w:ascii="仿宋_GB2312" w:eastAsia="仿宋_GB2312" w:cs="仿宋_GB2312"/>
                <w:sz w:val="24"/>
                <w:szCs w:val="24"/>
              </w:rPr>
            </w:pPr>
          </w:p>
        </w:tc>
        <w:tc>
          <w:tcPr>
            <w:tcW w:w="1470" w:type="dxa"/>
          </w:tcPr>
          <w:p>
            <w:pPr>
              <w:pStyle w:val="24"/>
              <w:spacing w:line="360" w:lineRule="auto"/>
              <w:ind w:firstLine="0" w:firstLineChars="0"/>
              <w:jc w:val="left"/>
              <w:rPr>
                <w:rFonts w:ascii="仿宋_GB2312" w:eastAsia="仿宋_GB2312" w:cs="仿宋_GB2312"/>
                <w:sz w:val="32"/>
                <w:szCs w:val="32"/>
              </w:rPr>
            </w:pPr>
          </w:p>
        </w:tc>
        <w:tc>
          <w:tcPr>
            <w:tcW w:w="1470" w:type="dxa"/>
          </w:tcPr>
          <w:p>
            <w:pPr>
              <w:pStyle w:val="24"/>
              <w:spacing w:line="360" w:lineRule="auto"/>
              <w:ind w:firstLine="0" w:firstLineChars="0"/>
              <w:jc w:val="left"/>
              <w:rPr>
                <w:rFonts w:ascii="仿宋_GB2312" w:eastAsia="仿宋_GB2312" w:cs="仿宋_GB2312"/>
                <w:sz w:val="32"/>
                <w:szCs w:val="32"/>
              </w:rPr>
            </w:pPr>
          </w:p>
        </w:tc>
        <w:tc>
          <w:tcPr>
            <w:tcW w:w="1470" w:type="dxa"/>
          </w:tcPr>
          <w:p>
            <w:pPr>
              <w:pStyle w:val="24"/>
              <w:spacing w:line="360" w:lineRule="auto"/>
              <w:ind w:firstLine="0" w:firstLineChars="0"/>
              <w:jc w:val="left"/>
              <w:rPr>
                <w:rFonts w:ascii="仿宋_GB2312" w:eastAsia="仿宋_GB2312" w:cs="仿宋_GB2312"/>
                <w:sz w:val="32"/>
                <w:szCs w:val="32"/>
              </w:rPr>
            </w:pPr>
          </w:p>
        </w:tc>
      </w:tr>
    </w:tbl>
    <w:p>
      <w:pPr>
        <w:tabs>
          <w:tab w:val="left" w:pos="851"/>
        </w:tabs>
        <w:suppressAutoHyphens/>
        <w:spacing w:line="560" w:lineRule="exact"/>
        <w:jc w:val="left"/>
        <w:rPr>
          <w:rFonts w:ascii="仿宋_GB2312" w:eastAsia="仿宋_GB2312" w:cs="仿宋_GB2312"/>
          <w:sz w:val="32"/>
          <w:szCs w:val="32"/>
        </w:rPr>
      </w:pPr>
    </w:p>
    <w:p>
      <w:pPr>
        <w:tabs>
          <w:tab w:val="left" w:pos="851"/>
        </w:tabs>
        <w:suppressAutoHyphens/>
        <w:spacing w:line="560" w:lineRule="exact"/>
        <w:jc w:val="left"/>
        <w:rPr>
          <w:rFonts w:ascii="仿宋_GB2312" w:eastAsia="仿宋_GB2312" w:cs="仿宋_GB2312"/>
          <w:sz w:val="32"/>
          <w:szCs w:val="32"/>
        </w:rPr>
      </w:pPr>
      <w:r>
        <w:rPr>
          <w:rFonts w:hint="eastAsia" w:ascii="仿宋_GB2312" w:eastAsia="仿宋_GB2312" w:cs="仿宋_GB2312"/>
          <w:sz w:val="32"/>
          <w:szCs w:val="32"/>
        </w:rPr>
        <w:t>批准人签字确认：</w:t>
      </w:r>
    </w:p>
    <w:p>
      <w:pPr>
        <w:tabs>
          <w:tab w:val="left" w:pos="851"/>
        </w:tabs>
        <w:suppressAutoHyphens/>
        <w:spacing w:line="560" w:lineRule="exact"/>
        <w:jc w:val="left"/>
        <w:rPr>
          <w:rFonts w:ascii="仿宋_GB2312" w:eastAsia="仿宋_GB2312" w:cs="仿宋_GB2312"/>
          <w:sz w:val="32"/>
          <w:szCs w:val="32"/>
        </w:rPr>
      </w:pPr>
      <w:r>
        <w:rPr>
          <w:rFonts w:hint="eastAsia" w:ascii="仿宋_GB2312" w:eastAsia="仿宋_GB2312" w:cs="仿宋_GB2312"/>
          <w:sz w:val="32"/>
          <w:szCs w:val="32"/>
        </w:rPr>
        <w:t>质量负责人：</w:t>
      </w: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spacing w:line="240" w:lineRule="auto"/>
        <w:rPr>
          <w:rFonts w:ascii="仿宋_GB2312" w:eastAsia="仿宋_GB2312" w:cs="仿宋_GB2312"/>
          <w:sz w:val="32"/>
          <w:szCs w:val="32"/>
        </w:rPr>
      </w:pPr>
      <w:r>
        <w:rPr>
          <w:rFonts w:ascii="仿宋_GB2312" w:eastAsia="仿宋_GB2312" w:cs="仿宋_GB2312"/>
          <w:sz w:val="24"/>
          <w:szCs w:val="24"/>
        </w:rPr>
        <w:br w:type="page"/>
      </w:r>
      <w:r>
        <w:rPr>
          <w:rFonts w:hint="eastAsia" w:ascii="仿宋_GB2312" w:eastAsia="仿宋_GB2312" w:cs="仿宋_GB2312"/>
          <w:sz w:val="32"/>
          <w:szCs w:val="32"/>
        </w:rPr>
        <w:t>附件</w:t>
      </w:r>
      <w:r>
        <w:rPr>
          <w:rFonts w:ascii="仿宋_GB2312" w:eastAsia="仿宋_GB2312" w:cs="仿宋_GB2312"/>
          <w:sz w:val="32"/>
          <w:szCs w:val="32"/>
        </w:rPr>
        <w:t>2</w:t>
      </w:r>
    </w:p>
    <w:p>
      <w:pPr>
        <w:spacing w:line="360" w:lineRule="auto"/>
        <w:ind w:left="424" w:leftChars="202"/>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药品上市后</w:t>
      </w:r>
      <w:r>
        <w:rPr>
          <w:rFonts w:ascii="方正小标宋简体" w:hAnsi="方正小标宋简体" w:eastAsia="方正小标宋简体" w:cs="方正小标宋简体"/>
          <w:bCs/>
          <w:sz w:val="28"/>
          <w:szCs w:val="28"/>
        </w:rPr>
        <w:t xml:space="preserve">RMP </w:t>
      </w:r>
      <w:r>
        <w:rPr>
          <w:rFonts w:hint="eastAsia" w:ascii="方正小标宋简体" w:hAnsi="方正小标宋简体" w:eastAsia="方正小标宋简体" w:cs="方正小标宋简体"/>
          <w:bCs/>
          <w:sz w:val="28"/>
          <w:szCs w:val="28"/>
        </w:rPr>
        <w:t>工作实施流程图</w:t>
      </w:r>
    </w:p>
    <w:p>
      <w:pPr>
        <w:spacing w:line="360" w:lineRule="auto"/>
        <w:ind w:left="424" w:leftChars="202"/>
        <w:jc w:val="center"/>
        <w:rPr>
          <w:rFonts w:ascii="仿宋_GB2312" w:eastAsia="仿宋_GB2312" w:cs="仿宋_GB2312"/>
          <w:szCs w:val="21"/>
        </w:rPr>
      </w:pPr>
      <w:r>
        <w:pict>
          <v:rect id="_x0000_s1026" o:spid="_x0000_s1026" o:spt="1" style="position:absolute;left:0pt;margin-left:176.5pt;margin-top:4.75pt;height:229.1pt;width:128pt;z-index:-251630592;mso-width-relative:page;mso-height-relative:page;" coordsize="21600,21600">
            <v:path/>
            <v:fill focussize="0,0"/>
            <v:stroke weight="1.75pt" dashstyle="1 1"/>
            <v:imagedata o:title=""/>
            <o:lock v:ext="edit"/>
          </v:rect>
        </w:pict>
      </w:r>
      <w:r>
        <w:pict>
          <v:rect id="矩形 49" o:spid="_x0000_s1027" o:spt="1" style="position:absolute;left:0pt;margin-left:335.15pt;margin-top:31.25pt;height:36.9pt;width:81.7pt;z-index:251638784;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年度内新批准的品种</w:t>
                  </w:r>
                </w:p>
              </w:txbxContent>
            </v:textbox>
          </v:rect>
        </w:pict>
      </w:r>
      <w:r>
        <w:rPr>
          <w:rFonts w:hint="eastAsia" w:ascii="仿宋_GB2312" w:eastAsia="仿宋_GB2312" w:cs="仿宋_GB2312"/>
          <w:szCs w:val="21"/>
        </w:rPr>
        <w:t>分级维度</w:t>
      </w:r>
    </w:p>
    <w:p>
      <w:pPr>
        <w:tabs>
          <w:tab w:val="left" w:pos="851"/>
        </w:tabs>
        <w:suppressAutoHyphens/>
        <w:spacing w:line="360" w:lineRule="auto"/>
        <w:jc w:val="left"/>
        <w:rPr>
          <w:rFonts w:ascii="仿宋_GB2312" w:eastAsia="仿宋_GB2312" w:cs="仿宋_GB2312"/>
          <w:sz w:val="24"/>
          <w:szCs w:val="24"/>
        </w:rPr>
      </w:pPr>
      <w:r>
        <w:pict>
          <v:rect id="矩形 48" o:spid="_x0000_s1028" o:spt="1" style="position:absolute;left:0pt;margin-left:192.5pt;margin-top:7.2pt;height:22.4pt;width:100.45pt;z-index:251639808;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生产批次</w:t>
                  </w:r>
                </w:p>
              </w:txbxContent>
            </v:textbox>
          </v:rect>
        </w:pict>
      </w:r>
      <w:r>
        <w:pict>
          <v:rect id="矩形 47" o:spid="_x0000_s1029" o:spt="1" style="position:absolute;left:0pt;margin-left:80pt;margin-top:4.75pt;height:36.9pt;width:81.7pt;z-index:251634688;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已上市超过一年的品种</w:t>
                  </w:r>
                </w:p>
              </w:txbxContent>
            </v:textbox>
          </v:rect>
        </w:pict>
      </w:r>
    </w:p>
    <w:p>
      <w:pPr>
        <w:tabs>
          <w:tab w:val="left" w:pos="851"/>
        </w:tabs>
        <w:suppressAutoHyphens/>
        <w:spacing w:line="360" w:lineRule="auto"/>
        <w:jc w:val="left"/>
        <w:rPr>
          <w:rFonts w:ascii="仿宋_GB2312" w:eastAsia="仿宋_GB2312" w:cs="仿宋_GB2312"/>
          <w:sz w:val="24"/>
          <w:szCs w:val="24"/>
        </w:rPr>
      </w:pPr>
      <w:r>
        <w:pict>
          <v:rect id="矩形 16" o:spid="_x0000_s1030" o:spt="1" style="position:absolute;left:0pt;margin-left:190.85pt;margin-top:11.25pt;height:37.1pt;width:102.1pt;z-index:251641856;mso-width-relative:page;mso-height-relative:page;" coordsize="21600,21600">
            <v:path/>
            <v:fill focussize="0,0"/>
            <v:stroke/>
            <v:imagedata o:title=""/>
            <o:lock v:ext="edit"/>
            <v:textbox>
              <w:txbxContent>
                <w:p>
                  <w:pPr>
                    <w:rPr>
                      <w:rFonts w:ascii="仿宋_GB2312" w:eastAsia="仿宋_GB2312" w:cs="仿宋_GB2312"/>
                      <w:szCs w:val="21"/>
                    </w:rPr>
                  </w:pPr>
                  <w:r>
                    <w:rPr>
                      <w:rFonts w:hint="eastAsia" w:ascii="仿宋_GB2312" w:eastAsia="仿宋_GB2312" w:cs="仿宋_GB2312"/>
                      <w:szCs w:val="21"/>
                    </w:rPr>
                    <w:t>上市时间</w:t>
                  </w:r>
                  <w:r>
                    <w:rPr>
                      <w:rFonts w:ascii="仿宋_GB2312" w:eastAsia="仿宋_GB2312" w:cs="仿宋_GB2312"/>
                      <w:szCs w:val="21"/>
                    </w:rPr>
                    <w:t>/</w:t>
                  </w:r>
                  <w:r>
                    <w:rPr>
                      <w:rFonts w:hint="eastAsia" w:ascii="仿宋_GB2312" w:eastAsia="仿宋_GB2312" w:cs="仿宋_GB2312"/>
                      <w:szCs w:val="21"/>
                    </w:rPr>
                    <w:t>变更补充注册批准后时间</w:t>
                  </w:r>
                </w:p>
              </w:txbxContent>
            </v:textbox>
          </v:rect>
        </w:pict>
      </w:r>
      <w:r>
        <w:pict>
          <v:shape id="_x0000_s1031" o:spid="_x0000_s1031" o:spt="32" type="#_x0000_t32" style="position:absolute;left:0pt;margin-left:11.25pt;margin-top:202.1pt;height:219.8pt;width:0pt;z-index:251670528;mso-width-relative:page;mso-height-relative:page;" filled="f" coordsize="21600,21600">
            <v:path arrowok="t"/>
            <v:fill on="f" focussize="0,0"/>
            <v:stroke/>
            <v:imagedata o:title=""/>
            <o:lock v:ext="edit"/>
          </v:shape>
        </w:pict>
      </w:r>
      <w:r>
        <w:pict>
          <v:rect id="矩形 43" o:spid="_x0000_s1032" o:spt="1" style="position:absolute;left:0pt;margin-left:0.55pt;margin-top:423.95pt;height:117.2pt;width:36.3pt;z-index:251635712;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风险</w:t>
                  </w:r>
                </w:p>
                <w:p>
                  <w:pPr>
                    <w:jc w:val="center"/>
                    <w:rPr>
                      <w:rFonts w:ascii="仿宋_GB2312" w:eastAsia="仿宋_GB2312" w:cs="仿宋_GB2312"/>
                      <w:szCs w:val="21"/>
                    </w:rPr>
                  </w:pPr>
                  <w:r>
                    <w:rPr>
                      <w:rFonts w:hint="eastAsia" w:ascii="仿宋_GB2312" w:eastAsia="仿宋_GB2312" w:cs="仿宋_GB2312"/>
                      <w:szCs w:val="21"/>
                    </w:rPr>
                    <w:t>定期</w:t>
                  </w:r>
                </w:p>
                <w:p>
                  <w:pPr>
                    <w:jc w:val="center"/>
                    <w:rPr>
                      <w:rFonts w:ascii="仿宋_GB2312" w:eastAsia="仿宋_GB2312" w:cs="仿宋_GB2312"/>
                      <w:szCs w:val="21"/>
                    </w:rPr>
                  </w:pPr>
                  <w:r>
                    <w:rPr>
                      <w:rFonts w:hint="eastAsia" w:ascii="仿宋_GB2312" w:eastAsia="仿宋_GB2312" w:cs="仿宋_GB2312"/>
                      <w:szCs w:val="21"/>
                    </w:rPr>
                    <w:t>回顾</w:t>
                  </w:r>
                </w:p>
                <w:p>
                  <w:pPr>
                    <w:jc w:val="center"/>
                    <w:rPr>
                      <w:rFonts w:ascii="仿宋_GB2312" w:eastAsia="仿宋_GB2312" w:cs="仿宋_GB2312"/>
                      <w:szCs w:val="21"/>
                    </w:rPr>
                  </w:pPr>
                  <w:r>
                    <w:rPr>
                      <w:rFonts w:hint="eastAsia" w:ascii="仿宋_GB2312" w:eastAsia="仿宋_GB2312" w:cs="仿宋_GB2312"/>
                      <w:szCs w:val="21"/>
                    </w:rPr>
                    <w:t>审核</w:t>
                  </w:r>
                </w:p>
                <w:p>
                  <w:pPr>
                    <w:jc w:val="center"/>
                    <w:rPr>
                      <w:rFonts w:ascii="仿宋_GB2312" w:eastAsia="仿宋_GB2312" w:cs="仿宋_GB2312"/>
                      <w:szCs w:val="21"/>
                    </w:rPr>
                  </w:pPr>
                  <w:r>
                    <w:rPr>
                      <w:rFonts w:hint="eastAsia" w:ascii="仿宋_GB2312" w:eastAsia="仿宋_GB2312" w:cs="仿宋_GB2312"/>
                      <w:szCs w:val="21"/>
                    </w:rPr>
                    <w:t>确定</w:t>
                  </w:r>
                </w:p>
                <w:p>
                  <w:pPr>
                    <w:jc w:val="center"/>
                    <w:rPr>
                      <w:rFonts w:ascii="仿宋_GB2312" w:eastAsia="仿宋_GB2312" w:cs="仿宋_GB2312"/>
                      <w:szCs w:val="21"/>
                    </w:rPr>
                  </w:pPr>
                  <w:r>
                    <w:rPr>
                      <w:rFonts w:hint="eastAsia" w:ascii="仿宋_GB2312" w:eastAsia="仿宋_GB2312" w:cs="仿宋_GB2312"/>
                      <w:szCs w:val="21"/>
                    </w:rPr>
                    <w:t>风险</w:t>
                  </w:r>
                </w:p>
                <w:p>
                  <w:pPr>
                    <w:jc w:val="center"/>
                    <w:rPr>
                      <w:rFonts w:ascii="仿宋_GB2312" w:eastAsia="仿宋_GB2312" w:cs="仿宋_GB2312"/>
                      <w:szCs w:val="21"/>
                    </w:rPr>
                  </w:pPr>
                  <w:r>
                    <w:rPr>
                      <w:rFonts w:hint="eastAsia" w:ascii="仿宋_GB2312" w:eastAsia="仿宋_GB2312" w:cs="仿宋_GB2312"/>
                      <w:szCs w:val="21"/>
                    </w:rPr>
                    <w:t>等级</w:t>
                  </w:r>
                </w:p>
              </w:txbxContent>
            </v:textbox>
          </v:rect>
        </w:pict>
      </w:r>
      <w:r>
        <w:pict>
          <v:shape id="_x0000_s1033" o:spid="_x0000_s1033" o:spt="32" type="#_x0000_t32" style="position:absolute;left:0pt;flip:y;margin-left:11.25pt;margin-top:201.3pt;height:0.8pt;width:236.85pt;z-index:251669504;mso-width-relative:page;mso-height-relative:page;" filled="f" coordsize="21600,21600">
            <v:path arrowok="t"/>
            <v:fill on="f" focussize="0,0"/>
            <v:stroke/>
            <v:imagedata o:title=""/>
            <o:lock v:ext="edit"/>
          </v:shape>
        </w:pict>
      </w:r>
      <w:r>
        <w:pict>
          <v:shape id="_x0000_s1034" o:spid="_x0000_s1034" o:spt="32" type="#_x0000_t32" style="position:absolute;left:0pt;margin-left:146.5pt;margin-top:270.75pt;height:17.4pt;width:44.2pt;z-index:251664384;mso-width-relative:page;mso-height-relative:page;" filled="f" coordsize="21600,21600">
            <v:path arrowok="t"/>
            <v:fill on="f" focussize="0,0"/>
            <v:stroke endarrow="block"/>
            <v:imagedata o:title=""/>
            <o:lock v:ext="edit"/>
          </v:shape>
        </w:pict>
      </w:r>
      <w:r>
        <w:pict>
          <v:shape id="_x0000_s1035" o:spid="_x0000_s1035" o:spt="32" type="#_x0000_t32" style="position:absolute;left:0pt;margin-left:145.5pt;margin-top:307.1pt;height:1.75pt;width:47pt;z-index:251665408;mso-width-relative:page;mso-height-relative:page;" filled="f" coordsize="21600,21600">
            <v:path arrowok="t"/>
            <v:fill on="f" focussize="0,0"/>
            <v:stroke endarrow="block"/>
            <v:imagedata o:title=""/>
            <o:lock v:ext="edit"/>
          </v:shape>
        </w:pict>
      </w:r>
      <w:r>
        <w:pict>
          <v:rect id="矩形 32" o:spid="_x0000_s1036" o:spt="1" style="position:absolute;left:0pt;margin-left:321.6pt;margin-top:221.95pt;height:169.5pt;width:149.7pt;z-index:-251632640;mso-width-relative:page;mso-height-relative:page;" coordsize="21600,21600">
            <v:path/>
            <v:fill focussize="0,0"/>
            <v:stroke weight="1.75pt" dashstyle="1 1"/>
            <v:imagedata o:title=""/>
            <o:lock v:ext="edit"/>
            <v:textbox>
              <w:txbxContent>
                <w:p>
                  <w:pPr>
                    <w:jc w:val="center"/>
                    <w:rPr>
                      <w:rFonts w:ascii="黑体" w:hAnsi="黑体" w:eastAsia="黑体"/>
                      <w:b/>
                    </w:rPr>
                  </w:pPr>
                  <w:r>
                    <w:rPr>
                      <w:rFonts w:hint="eastAsia" w:ascii="黑体" w:hAnsi="黑体" w:eastAsia="黑体"/>
                      <w:b/>
                    </w:rPr>
                    <w:t>风险回顾后再次分级维度</w:t>
                  </w:r>
                </w:p>
              </w:txbxContent>
            </v:textbox>
          </v:rect>
        </w:pict>
      </w:r>
      <w:r>
        <w:pict>
          <v:shape id="_x0000_s1037" o:spid="_x0000_s1037" o:spt="32" type="#_x0000_t32" style="position:absolute;left:0pt;flip:x;margin-left:304.5pt;margin-top:266.45pt;height:15.5pt;width:31.95pt;z-index:251666432;mso-width-relative:page;mso-height-relative:page;" filled="f" coordsize="21600,21600">
            <v:path arrowok="t"/>
            <v:fill on="f" focussize="0,0"/>
            <v:stroke endarrow="block"/>
            <v:imagedata o:title=""/>
            <o:lock v:ext="edit"/>
          </v:shape>
        </w:pict>
      </w:r>
      <w:r>
        <w:pict>
          <v:shape id="_x0000_s1038" o:spid="_x0000_s1038" o:spt="32" type="#_x0000_t32" style="position:absolute;left:0pt;flip:x y;margin-left:306.05pt;margin-top:302.75pt;height:0.35pt;width:31.85pt;z-index:251667456;mso-width-relative:page;mso-height-relative:page;" filled="f" coordsize="21600,21600">
            <v:path arrowok="t"/>
            <v:fill on="f" focussize="0,0"/>
            <v:stroke endarrow="block"/>
            <v:imagedata o:title=""/>
            <o:lock v:ext="edit"/>
          </v:shape>
        </w:pict>
      </w:r>
      <w:r>
        <w:pict>
          <v:shape id="_x0000_s1039" o:spid="_x0000_s1039" o:spt="32" type="#_x0000_t32" style="position:absolute;left:0pt;flip:x y;margin-left:306.05pt;margin-top:313.9pt;height:39.95pt;width:32.45pt;z-index:251668480;mso-width-relative:page;mso-height-relative:page;" filled="f" coordsize="21600,21600">
            <v:path arrowok="t"/>
            <v:fill on="f" focussize="0,0"/>
            <v:stroke endarrow="block"/>
            <v:imagedata o:title=""/>
            <o:lock v:ext="edit"/>
          </v:shape>
        </w:pict>
      </w:r>
      <w:r>
        <w:pict>
          <v:rect id="矩形 28" o:spid="_x0000_s1040" o:spt="1" style="position:absolute;left:0pt;margin-left:337.8pt;margin-top:252.1pt;height:22.4pt;width:103.1pt;z-index:251661312;mso-width-relative:page;mso-height-relative:page;" coordsize="21600,21600">
            <v:path/>
            <v:fill focussize="0,0"/>
            <v:stroke/>
            <v:imagedata o:title=""/>
            <o:lock v:ext="edit"/>
            <v:textbox>
              <w:txbxContent>
                <w:p>
                  <w:pPr>
                    <w:rPr>
                      <w:rFonts w:ascii="仿宋_GB2312" w:eastAsia="仿宋_GB2312" w:cs="仿宋_GB2312"/>
                      <w:szCs w:val="21"/>
                    </w:rPr>
                  </w:pPr>
                  <w:r>
                    <w:rPr>
                      <w:rFonts w:hint="eastAsia" w:ascii="仿宋_GB2312" w:eastAsia="仿宋_GB2312" w:cs="仿宋_GB2312"/>
                      <w:szCs w:val="21"/>
                    </w:rPr>
                    <w:t>药物警戒活动</w:t>
                  </w:r>
                </w:p>
              </w:txbxContent>
            </v:textbox>
          </v:rect>
        </w:pict>
      </w:r>
      <w:r>
        <w:pict>
          <v:rect id="矩形 26" o:spid="_x0000_s1041" o:spt="1" style="position:absolute;left:0pt;margin-left:338.5pt;margin-top:332.65pt;height:38.55pt;width:105.3pt;z-index:251663360;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上市后定期风险评估后风险等级</w:t>
                  </w:r>
                </w:p>
              </w:txbxContent>
            </v:textbox>
          </v:rect>
        </w:pict>
      </w:r>
      <w:r>
        <w:pict>
          <v:rect id="矩形 25" o:spid="_x0000_s1042" o:spt="1" style="position:absolute;left:0pt;margin-left:191.95pt;margin-top:281.55pt;height:36.9pt;width:112.55pt;z-index:251629568;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已上市药品风险管理分类评估</w:t>
                  </w:r>
                </w:p>
              </w:txbxContent>
            </v:textbox>
          </v:rect>
        </w:pict>
      </w:r>
      <w:r>
        <w:pict>
          <v:shape id="_x0000_s1043" o:spid="_x0000_s1043" o:spt="32" type="#_x0000_t32" style="position:absolute;left:0pt;margin-left:250.9pt;margin-top:319pt;height:58.2pt;width:0pt;z-index:251657216;mso-width-relative:page;mso-height-relative:page;" filled="f" coordsize="21600,21600">
            <v:path arrowok="t"/>
            <v:fill on="f" focussize="0,0"/>
            <v:stroke endarrow="block"/>
            <v:imagedata o:title=""/>
            <o:lock v:ext="edit"/>
          </v:shape>
        </w:pict>
      </w:r>
      <w:r>
        <w:pict>
          <v:rect id="矩形 23" o:spid="_x0000_s1044" o:spt="1" style="position:absolute;left:0pt;margin-left:197.55pt;margin-top:376.35pt;height:36.9pt;width:111.4pt;z-index:251636736;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风险管理计划实施计划</w:t>
                  </w:r>
                </w:p>
              </w:txbxContent>
            </v:textbox>
          </v:rect>
        </w:pict>
      </w:r>
      <w:r>
        <w:pict>
          <v:shape id="_x0000_s1045" o:spid="_x0000_s1045" o:spt="32" type="#_x0000_t32" style="position:absolute;left:0pt;margin-left:253.1pt;margin-top:414.95pt;height:84.9pt;width:0pt;z-index:251658240;mso-width-relative:page;mso-height-relative:page;" filled="f" coordsize="21600,21600">
            <v:path arrowok="t"/>
            <v:fill on="f" focussize="0,0"/>
            <v:stroke endarrow="block"/>
            <v:imagedata o:title=""/>
            <o:lock v:ext="edit"/>
          </v:shape>
        </w:pict>
      </w:r>
      <w:r>
        <w:pict>
          <v:rect id="矩形 21" o:spid="_x0000_s1046" o:spt="1" style="position:absolute;left:0pt;margin-left:160.5pt;margin-top:436.45pt;height:36.9pt;width:81.7pt;z-index:251630592;mso-width-relative:page;mso-height-relative:page;" coordsize="21600,21600">
            <v:path/>
            <v:fill focussize="0,0"/>
            <v:stroke weight="1.5pt" dashstyle="1 1"/>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内部质量数据收集</w:t>
                  </w:r>
                </w:p>
              </w:txbxContent>
            </v:textbox>
          </v:rect>
        </w:pict>
      </w:r>
      <w:r>
        <w:pict>
          <v:rect id="矩形 20" o:spid="_x0000_s1047" o:spt="1" style="position:absolute;left:0pt;margin-left:267.2pt;margin-top:434.45pt;height:36.9pt;width:81.7pt;z-index:251631616;mso-width-relative:page;mso-height-relative:page;" coordsize="21600,21600">
            <v:path/>
            <v:fill focussize="0,0"/>
            <v:stroke weight="1.5pt" dashstyle="1 1"/>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外部信息数据收集</w:t>
                  </w:r>
                </w:p>
              </w:txbxContent>
            </v:textbox>
          </v:rect>
        </w:pict>
      </w:r>
      <w:r>
        <w:pict>
          <v:rect id="矩形 19" o:spid="_x0000_s1048" o:spt="1" style="position:absolute;left:0pt;margin-left:193.1pt;margin-top:501.35pt;height:36.9pt;width:115pt;z-index:251632640;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风险管理评估结果输出</w:t>
                  </w:r>
                </w:p>
              </w:txbxContent>
            </v:textbox>
          </v:rect>
        </w:pict>
      </w:r>
      <w:r>
        <w:pict>
          <v:shape id="_x0000_s1049" o:spid="_x0000_s1049" o:spt="32" type="#_x0000_t32" style="position:absolute;left:0pt;margin-left:292.15pt;margin-top:5.55pt;height:77.45pt;width:45.65pt;z-index:251644928;mso-width-relative:page;mso-height-relative:page;" filled="f" coordsize="21600,21600">
            <v:path arrowok="t"/>
            <v:fill on="f" focussize="0,0"/>
            <v:stroke endarrow="block"/>
            <v:imagedata o:title=""/>
            <o:lock v:ext="edit"/>
          </v:shape>
        </w:pict>
      </w:r>
      <w:r>
        <w:pict>
          <v:shape id="_x0000_s1050" o:spid="_x0000_s1050" o:spt="32" type="#_x0000_t32" style="position:absolute;left:0pt;margin-left:116.95pt;margin-top:27.35pt;height:66.8pt;width:0pt;z-index:251652096;mso-width-relative:page;mso-height-relative:page;" filled="f" coordsize="21600,21600">
            <v:path arrowok="t"/>
            <v:fill on="f" focussize="0,0"/>
            <v:stroke endarrow="block"/>
            <v:imagedata o:title=""/>
            <o:lock v:ext="edit"/>
          </v:shape>
        </w:pict>
      </w:r>
      <w:r>
        <w:pict>
          <v:shape id="_x0000_s1051" o:spid="_x0000_s1051" o:spt="32" type="#_x0000_t32" style="position:absolute;left:0pt;margin-left:376.5pt;margin-top:20.1pt;height:67.3pt;width:1.85pt;z-index:251651072;mso-width-relative:page;mso-height-relative:page;" filled="f" coordsize="21600,21600">
            <v:path arrowok="t"/>
            <v:fill on="f" focussize="0,0"/>
            <v:stroke endarrow="block"/>
            <v:imagedata o:title=""/>
            <o:lock v:ext="edit"/>
          </v:shape>
        </w:pict>
      </w:r>
      <w:r>
        <w:pict>
          <v:shape id="_x0000_s1052" o:spid="_x0000_s1052" o:spt="32" type="#_x0000_t32" style="position:absolute;left:0pt;flip:x;margin-left:158.1pt;margin-top:87.4pt;height:20.4pt;width:32.05pt;z-index:251649024;mso-width-relative:page;mso-height-relative:page;" filled="f" coordsize="21600,21600">
            <v:path arrowok="t"/>
            <v:fill on="f" focussize="0,0"/>
            <v:stroke endarrow="block"/>
            <v:imagedata o:title=""/>
            <o:lock v:ext="edit"/>
          </v:shape>
        </w:pict>
      </w:r>
      <w:r>
        <w:pict>
          <v:shape id="_x0000_s1053" o:spid="_x0000_s1053" o:spt="32" type="#_x0000_t32" style="position:absolute;left:0pt;flip:x;margin-left:150.85pt;margin-top:1.95pt;height:88.3pt;width:40.5pt;z-index:251646976;mso-width-relative:page;mso-height-relative:page;" filled="f" coordsize="21600,21600">
            <v:path arrowok="t"/>
            <v:fill on="f" focussize="0,0"/>
            <v:stroke endarrow="block"/>
            <v:imagedata o:title=""/>
            <o:lock v:ext="edit"/>
          </v:shape>
        </w:pict>
      </w:r>
      <w:r>
        <w:pict>
          <v:rect id="矩形 5" o:spid="_x0000_s1054" o:spt="1" style="position:absolute;left:0pt;margin-left:335.95pt;margin-top:87.4pt;height:36.9pt;width:81.7pt;z-index:251637760;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初次风险等级分类</w:t>
                  </w:r>
                </w:p>
              </w:txbxContent>
            </v:textbox>
          </v:rect>
        </w:pict>
      </w:r>
      <w:r>
        <w:pict>
          <v:rect id="矩形 4" o:spid="_x0000_s1055" o:spt="1" style="position:absolute;left:0pt;margin-left:78.2pt;margin-top:94.15pt;height:36.9pt;width:81.7pt;z-index:251633664;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初次风险等级分类</w:t>
                  </w:r>
                </w:p>
              </w:txbxContent>
            </v:textbox>
          </v:rect>
        </w:pict>
      </w:r>
    </w:p>
    <w:p>
      <w:pPr>
        <w:spacing w:line="360" w:lineRule="auto"/>
        <w:rPr>
          <w:rFonts w:ascii="仿宋_GB2312" w:eastAsia="仿宋_GB2312" w:cs="仿宋_GB2312"/>
          <w:sz w:val="24"/>
          <w:szCs w:val="24"/>
        </w:rPr>
      </w:pPr>
      <w:r>
        <w:pict>
          <v:shape id="_x0000_s1056" o:spid="_x0000_s1056" o:spt="32" type="#_x0000_t32" style="position:absolute;left:0pt;margin-left:293.45pt;margin-top:19.05pt;height:58.65pt;width:38.45pt;z-index:251645952;mso-width-relative:page;mso-height-relative:page;" filled="f" coordsize="21600,21600">
            <v:path arrowok="t"/>
            <v:fill on="f" focussize="0,0"/>
            <v:stroke endarrow="block"/>
            <v:imagedata o:title=""/>
            <o:lock v:ext="edit"/>
          </v:shape>
        </w:pict>
      </w:r>
    </w:p>
    <w:p>
      <w:pPr>
        <w:spacing w:line="360" w:lineRule="auto"/>
        <w:rPr>
          <w:rFonts w:ascii="仿宋_GB2312" w:eastAsia="仿宋_GB2312" w:cs="仿宋_GB2312"/>
          <w:sz w:val="24"/>
          <w:szCs w:val="24"/>
        </w:rPr>
      </w:pPr>
      <w:r>
        <w:pict>
          <v:rect id="矩形 1" o:spid="_x0000_s1057" o:spt="1" style="position:absolute;left:0pt;margin-left:184.8pt;margin-top:11.9pt;height:21.85pt;width:122pt;mso-wrap-distance-bottom:0pt;mso-wrap-distance-left:9pt;mso-wrap-distance-right:9pt;mso-wrap-distance-top:0pt;z-index:251642880;mso-width-relative:page;mso-height-relative:page;" coordsize="21600,21600">
            <v:path/>
            <v:fill focussize="0,0"/>
            <v:stroke/>
            <v:imagedata o:title=""/>
            <o:lock v:ext="edit"/>
            <v:textbox>
              <w:txbxContent>
                <w:p>
                  <w:pPr>
                    <w:rPr>
                      <w:rFonts w:ascii="仿宋_GB2312" w:eastAsia="仿宋_GB2312" w:cs="仿宋_GB2312"/>
                      <w:szCs w:val="21"/>
                    </w:rPr>
                  </w:pPr>
                  <w:r>
                    <w:rPr>
                      <w:rFonts w:hint="eastAsia" w:ascii="仿宋_GB2312" w:eastAsia="仿宋_GB2312" w:cs="仿宋_GB2312"/>
                      <w:szCs w:val="21"/>
                    </w:rPr>
                    <w:t>产品年度质量回顾分析</w:t>
                  </w:r>
                </w:p>
              </w:txbxContent>
            </v:textbox>
            <w10:wrap type="square"/>
          </v:rect>
        </w:pict>
      </w:r>
      <w:r>
        <w:pict>
          <v:shape id="_x0000_s1058" o:spid="_x0000_s1058" o:spt="32" type="#_x0000_t32" style="position:absolute;left:0pt;flip:x;margin-left:160.7pt;margin-top:0.75pt;height:46.6pt;width:29.45pt;z-index:251648000;mso-width-relative:page;mso-height-relative:page;" filled="f" coordsize="21600,21600">
            <v:path arrowok="t"/>
            <v:fill on="f" focussize="0,0"/>
            <v:stroke endarrow="block"/>
            <v:imagedata o:title=""/>
            <o:lock v:ext="edit"/>
          </v:shape>
        </w:pict>
      </w:r>
    </w:p>
    <w:p>
      <w:pPr>
        <w:spacing w:line="360" w:lineRule="auto"/>
        <w:rPr>
          <w:rFonts w:ascii="仿宋_GB2312" w:eastAsia="仿宋_GB2312" w:cs="仿宋_GB2312"/>
          <w:sz w:val="24"/>
          <w:szCs w:val="24"/>
        </w:rPr>
      </w:pPr>
      <w:r>
        <w:pict>
          <v:rect id="矩形 2" o:spid="_x0000_s1059" o:spt="1" style="position:absolute;left:0pt;margin-left:194.8pt;margin-top:20.05pt;height:22.4pt;width:98.65pt;z-index:251640832;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药物警戒活动</w:t>
                  </w:r>
                </w:p>
              </w:txbxContent>
            </v:textbox>
          </v:rect>
        </w:pict>
      </w:r>
    </w:p>
    <w:p>
      <w:pPr>
        <w:spacing w:line="360" w:lineRule="auto"/>
        <w:rPr>
          <w:rFonts w:ascii="仿宋_GB2312" w:eastAsia="仿宋_GB2312" w:cs="仿宋_GB2312"/>
          <w:sz w:val="24"/>
          <w:szCs w:val="24"/>
        </w:rPr>
      </w:pPr>
      <w:r>
        <w:pict>
          <v:shape id="_x0000_s1060" o:spid="_x0000_s1060" o:spt="32" type="#_x0000_t32" style="position:absolute;left:0pt;flip:y;margin-left:295.3pt;margin-top:19.05pt;height:18.9pt;width:39.05pt;z-index:251676672;mso-width-relative:page;mso-height-relative:page;" o:connectortype="straight" filled="f" coordsize="21600,21600">
            <v:path arrowok="t"/>
            <v:fill on="f" focussize="0,0"/>
            <v:stroke endarrow="block"/>
            <v:imagedata o:title=""/>
            <o:lock v:ext="edit"/>
          </v:shape>
        </w:pict>
      </w:r>
      <w:r>
        <w:pict>
          <v:shape id="_x0000_s1061" o:spid="_x0000_s1061" o:spt="32" type="#_x0000_t32" style="position:absolute;left:0pt;flip:x;margin-left:162.4pt;margin-top:16.55pt;height:0.6pt;width:28.45pt;z-index:251650048;mso-width-relative:page;mso-height-relative:page;" filled="f" coordsize="21600,21600">
            <v:path arrowok="t"/>
            <v:fill on="f" focussize="0,0"/>
            <v:stroke endarrow="block"/>
            <v:imagedata o:title=""/>
            <o:lock v:ext="edit"/>
          </v:shape>
        </w:pict>
      </w:r>
    </w:p>
    <w:p>
      <w:pPr>
        <w:spacing w:line="360" w:lineRule="auto"/>
        <w:rPr>
          <w:rFonts w:ascii="仿宋_GB2312" w:eastAsia="仿宋_GB2312" w:cs="仿宋_GB2312"/>
          <w:sz w:val="24"/>
          <w:szCs w:val="24"/>
        </w:rPr>
      </w:pPr>
      <w:r>
        <w:pict>
          <v:shape id="_x0000_s1062" o:spid="_x0000_s1062" o:spt="32" type="#_x0000_t32" style="position:absolute;left:0pt;flip:y;margin-left:293.45pt;margin-top:7.3pt;height:41.25pt;width:70.75pt;z-index:251677696;mso-width-relative:page;mso-height-relative:page;" o:connectortype="straight" filled="f" coordsize="21600,21600">
            <v:path arrowok="t"/>
            <v:fill on="f" focussize="0,0"/>
            <v:stroke endarrow="block"/>
            <v:imagedata o:title=""/>
            <o:lock v:ext="edit"/>
          </v:shape>
        </w:pict>
      </w:r>
      <w:r>
        <w:pict>
          <v:shape id="_x0000_s1063" o:spid="_x0000_s1063" o:spt="32" type="#_x0000_t32" style="position:absolute;left:0pt;flip:x y;margin-left:140.55pt;margin-top:18.3pt;height:31.4pt;width:44.25pt;z-index:251675648;mso-width-relative:page;mso-height-relative:page;" o:connectortype="straight" filled="f" coordsize="21600,21600">
            <v:path arrowok="t"/>
            <v:fill on="f" focussize="0,0"/>
            <v:stroke endarrow="block"/>
            <v:imagedata o:title=""/>
            <o:lock v:ext="edit"/>
          </v:shape>
        </w:pict>
      </w:r>
      <w:r>
        <w:pict>
          <v:shape id="_x0000_s1064" o:spid="_x0000_s1064" o:spt="34" type="#_x0000_t34" style="position:absolute;left:0pt;flip:x;margin-left:86.95pt;margin-top:44.55pt;height:0.5pt;width:60.45pt;rotation:5898240f;z-index:251653120;mso-width-relative:page;mso-height-relative:page;" filled="f" coordsize="21600,21600" adj="10791,13173840,-73947">
            <v:path arrowok="t"/>
            <v:fill on="f" focussize="0,0"/>
            <v:stroke joinstyle="miter"/>
            <v:imagedata o:title=""/>
            <o:lock v:ext="edit"/>
          </v:shape>
        </w:pict>
      </w:r>
      <w:r>
        <w:pict>
          <v:shape id="_x0000_s1065" o:spid="_x0000_s1065" o:spt="32" type="#_x0000_t32" style="position:absolute;left:0pt;margin-left:344.65pt;margin-top:39.75pt;height:0pt;width:64.9pt;rotation:5898240f;z-index:251654144;mso-width-relative:page;mso-height-relative:page;" filled="f" coordsize="21600,21600" adj="-155460,-1,-155460">
            <v:path arrowok="t"/>
            <v:fill on="f" focussize="0,0"/>
            <v:stroke/>
            <v:imagedata o:title=""/>
            <o:lock v:ext="edit"/>
          </v:shape>
        </w:pict>
      </w:r>
      <w:r>
        <w:pict>
          <v:rect id="矩形 3" o:spid="_x0000_s1066" o:spt="1" style="position:absolute;left:0pt;margin-left:192.5pt;margin-top:1.05pt;height:22.85pt;width:100.45pt;z-index:251643904;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附条件批准产品</w:t>
                  </w:r>
                </w:p>
              </w:txbxContent>
            </v:textbox>
          </v:rect>
        </w:pict>
      </w:r>
    </w:p>
    <w:p>
      <w:pPr>
        <w:spacing w:line="360" w:lineRule="auto"/>
        <w:rPr>
          <w:rFonts w:ascii="仿宋_GB2312" w:eastAsia="仿宋_GB2312" w:cs="仿宋_GB2312"/>
          <w:sz w:val="24"/>
          <w:szCs w:val="24"/>
        </w:rPr>
      </w:pPr>
      <w:r>
        <w:pict>
          <v:rect id="_x0000_s1067" o:spid="_x0000_s1067" o:spt="1" style="position:absolute;left:0pt;margin-left:187.6pt;margin-top:2.55pt;height:39.85pt;width:105.85pt;z-index:251674624;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产品特性与储存运输条件影响</w:t>
                  </w:r>
                </w:p>
              </w:txbxContent>
            </v:textbox>
          </v:rect>
        </w:pict>
      </w:r>
    </w:p>
    <w:p>
      <w:pPr>
        <w:spacing w:line="360" w:lineRule="auto"/>
        <w:rPr>
          <w:rFonts w:ascii="仿宋_GB2312" w:eastAsia="仿宋_GB2312" w:cs="仿宋_GB2312"/>
          <w:sz w:val="24"/>
          <w:szCs w:val="24"/>
        </w:rPr>
      </w:pPr>
    </w:p>
    <w:p>
      <w:pPr>
        <w:spacing w:line="360" w:lineRule="auto"/>
        <w:rPr>
          <w:rFonts w:ascii="仿宋_GB2312" w:eastAsia="仿宋_GB2312" w:cs="仿宋_GB2312"/>
          <w:sz w:val="24"/>
          <w:szCs w:val="24"/>
        </w:rPr>
      </w:pPr>
      <w:r>
        <w:pict>
          <v:shape id="_x0000_s1068" o:spid="_x0000_s1068" o:spt="34" type="#_x0000_t34" style="position:absolute;left:0pt;flip:x;margin-left:206.45pt;margin-top:46.2pt;height:0.65pt;width:86.6pt;rotation:5898240f;z-index:251656192;mso-width-relative:page;mso-height-relative:page;" filled="f" coordsize="21600,21600" adj=",12091015,-84654">
            <v:path arrowok="t"/>
            <v:fill on="f" focussize="0,0"/>
            <v:stroke endarrow="block"/>
            <v:imagedata o:title=""/>
            <o:lock v:ext="edit"/>
          </v:shape>
        </w:pict>
      </w:r>
      <w:r>
        <w:pict>
          <v:shape id="_x0000_s1069" o:spid="_x0000_s1069" o:spt="32" type="#_x0000_t32" style="position:absolute;left:0pt;margin-left:118.6pt;margin-top:3.25pt;height:0pt;width:260.95pt;z-index:251655168;mso-width-relative:page;mso-height-relative:page;" filled="f" coordsize="21600,21600" adj="-17267,-1,-17267">
            <v:path arrowok="t"/>
            <v:fill on="f" focussize="0,0"/>
            <v:stroke/>
            <v:imagedata o:title=""/>
            <o:lock v:ext="edit"/>
          </v:shape>
        </w:pict>
      </w:r>
    </w:p>
    <w:p>
      <w:pPr>
        <w:spacing w:line="360" w:lineRule="auto"/>
        <w:rPr>
          <w:rFonts w:ascii="仿宋_GB2312" w:eastAsia="仿宋_GB2312" w:cs="仿宋_GB2312"/>
          <w:sz w:val="24"/>
          <w:szCs w:val="24"/>
        </w:rPr>
      </w:pPr>
      <w:r>
        <w:pict>
          <v:rect id="矩形 39" o:spid="_x0000_s1070" o:spt="1" style="position:absolute;left:0pt;margin-left:32.2pt;margin-top:20.05pt;height:174.65pt;width:133.75pt;z-index:-251631616;mso-width-relative:page;mso-height-relative:page;" coordsize="21600,21600">
            <v:path/>
            <v:fill focussize="0,0"/>
            <v:stroke weight="1.75pt" dashstyle="1 1"/>
            <v:imagedata o:title=""/>
            <o:lock v:ext="edit"/>
            <v:textbox>
              <w:txbxContent>
                <w:p>
                  <w:pPr>
                    <w:jc w:val="center"/>
                    <w:rPr>
                      <w:rFonts w:ascii="黑体" w:hAnsi="黑体" w:eastAsia="黑体"/>
                      <w:b/>
                    </w:rPr>
                  </w:pPr>
                  <w:r>
                    <w:rPr>
                      <w:rFonts w:hint="eastAsia" w:ascii="黑体" w:hAnsi="黑体" w:eastAsia="黑体"/>
                      <w:b/>
                    </w:rPr>
                    <w:t>风险回顾后再次分级维度</w:t>
                  </w:r>
                </w:p>
              </w:txbxContent>
            </v:textbox>
          </v:rect>
        </w:pict>
      </w:r>
    </w:p>
    <w:p>
      <w:pPr>
        <w:rPr>
          <w:rFonts w:ascii="仿宋_GB2312" w:eastAsia="仿宋_GB2312" w:cs="仿宋_GB2312"/>
          <w:szCs w:val="21"/>
        </w:rPr>
      </w:pPr>
    </w:p>
    <w:p>
      <w:pPr>
        <w:spacing w:line="360" w:lineRule="auto"/>
        <w:rPr>
          <w:rFonts w:ascii="仿宋_GB2312" w:eastAsia="仿宋_GB2312" w:cs="仿宋_GB2312"/>
          <w:sz w:val="24"/>
          <w:szCs w:val="24"/>
        </w:rPr>
      </w:pPr>
      <w:r>
        <w:pict>
          <v:rect id="矩形 35" o:spid="_x0000_s1071" o:spt="1" style="position:absolute;left:0pt;margin-left:49.35pt;margin-top:3.65pt;height:22.4pt;width:95.6pt;z-index:251658240;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生产批次</w:t>
                  </w:r>
                </w:p>
              </w:txbxContent>
            </v:textbox>
          </v:rect>
        </w:pict>
      </w:r>
    </w:p>
    <w:p>
      <w:pPr>
        <w:spacing w:line="360" w:lineRule="auto"/>
        <w:rPr>
          <w:rFonts w:ascii="仿宋_GB2312" w:eastAsia="仿宋_GB2312" w:cs="仿宋_GB2312"/>
          <w:sz w:val="24"/>
          <w:szCs w:val="24"/>
        </w:rPr>
      </w:pPr>
      <w:r>
        <w:pict>
          <v:rect id="矩形 34" o:spid="_x0000_s1072" o:spt="1" style="position:absolute;left:0pt;margin-left:44.35pt;margin-top:11pt;height:37.1pt;width:100.6pt;z-index:251659264;mso-width-relative:page;mso-height-relative:page;" coordsize="21600,21600">
            <v:path/>
            <v:fill focussize="0,0"/>
            <v:stroke/>
            <v:imagedata o:title=""/>
            <o:lock v:ext="edit"/>
            <v:textbox>
              <w:txbxContent>
                <w:p>
                  <w:pPr>
                    <w:rPr>
                      <w:rFonts w:ascii="仿宋_GB2312" w:eastAsia="仿宋_GB2312" w:cs="仿宋_GB2312"/>
                      <w:szCs w:val="21"/>
                    </w:rPr>
                  </w:pPr>
                  <w:r>
                    <w:rPr>
                      <w:rFonts w:hint="eastAsia" w:ascii="仿宋_GB2312" w:eastAsia="仿宋_GB2312" w:cs="仿宋_GB2312"/>
                      <w:szCs w:val="21"/>
                    </w:rPr>
                    <w:t>上市时间</w:t>
                  </w:r>
                  <w:r>
                    <w:rPr>
                      <w:rFonts w:ascii="仿宋_GB2312" w:eastAsia="仿宋_GB2312" w:cs="仿宋_GB2312"/>
                      <w:szCs w:val="21"/>
                    </w:rPr>
                    <w:t>/</w:t>
                  </w:r>
                  <w:r>
                    <w:rPr>
                      <w:rFonts w:hint="eastAsia" w:ascii="仿宋_GB2312" w:eastAsia="仿宋_GB2312" w:cs="仿宋_GB2312"/>
                      <w:szCs w:val="21"/>
                    </w:rPr>
                    <w:t>变更补充注册批准后时间</w:t>
                  </w:r>
                </w:p>
              </w:txbxContent>
            </v:textbox>
          </v:rect>
        </w:pict>
      </w:r>
      <w:r>
        <w:pict>
          <v:rect id="矩形 27" o:spid="_x0000_s1073" o:spt="1" style="position:absolute;left:0pt;margin-left:337.8pt;margin-top:12.55pt;height:21.55pt;width:107.4pt;z-index:251662336;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附条件批准产品</w:t>
                  </w:r>
                </w:p>
              </w:txbxContent>
            </v:textbox>
          </v:rect>
        </w:pict>
      </w:r>
    </w:p>
    <w:p>
      <w:pPr>
        <w:spacing w:line="360" w:lineRule="auto"/>
        <w:rPr>
          <w:rFonts w:ascii="仿宋_GB2312" w:eastAsia="仿宋_GB2312" w:cs="仿宋_GB2312"/>
          <w:sz w:val="24"/>
          <w:szCs w:val="24"/>
        </w:rPr>
      </w:pPr>
      <w:r>
        <w:pict>
          <v:shape id="_x0000_s1074" o:spid="_x0000_s1074" o:spt="32" type="#_x0000_t32" style="position:absolute;left:0pt;flip:y;margin-left:158.1pt;margin-top:22.6pt;height:18.5pt;width:30.7pt;z-index:251679744;mso-width-relative:page;mso-height-relative:page;" o:connectortype="straight" filled="f" coordsize="21600,21600">
            <v:path arrowok="t"/>
            <v:fill on="f" focussize="0,0"/>
            <v:stroke endarrow="block"/>
            <v:imagedata o:title=""/>
            <o:lock v:ext="edit"/>
          </v:shape>
        </w:pict>
      </w:r>
    </w:p>
    <w:p>
      <w:pPr>
        <w:spacing w:line="360" w:lineRule="auto"/>
        <w:rPr>
          <w:rFonts w:ascii="仿宋_GB2312" w:eastAsia="仿宋_GB2312" w:cs="仿宋_GB2312"/>
          <w:sz w:val="24"/>
          <w:szCs w:val="24"/>
        </w:rPr>
      </w:pPr>
      <w:r>
        <w:pict>
          <v:shape id="_x0000_s1075" o:spid="_x0000_s1075" o:spt="32" type="#_x0000_t32" style="position:absolute;left:0pt;flip:y;margin-left:149.75pt;margin-top:1.3pt;height:50.85pt;width:49pt;z-index:251680768;mso-width-relative:page;mso-height-relative:page;" o:connectortype="straight" filled="f" coordsize="21600,21600">
            <v:path arrowok="t"/>
            <v:fill on="f" focussize="0,0"/>
            <v:stroke endarrow="block"/>
            <v:imagedata o:title=""/>
            <o:lock v:ext="edit"/>
          </v:shape>
        </w:pict>
      </w:r>
      <w:r>
        <w:pict>
          <v:rect id="矩形 33" o:spid="_x0000_s1076" o:spt="1" style="position:absolute;left:0pt;margin-left:36.85pt;margin-top:4.65pt;height:22.05pt;width:121.25pt;z-index:251660288;mso-width-relative:page;mso-height-relative:page;" coordsize="21600,21600">
            <v:path/>
            <v:fill focussize="0,0"/>
            <v:stroke/>
            <v:imagedata o:title=""/>
            <o:lock v:ext="edit"/>
            <v:textbox>
              <w:txbxContent>
                <w:p>
                  <w:pPr>
                    <w:rPr>
                      <w:rFonts w:ascii="仿宋_GB2312" w:eastAsia="仿宋_GB2312" w:cs="仿宋_GB2312"/>
                      <w:szCs w:val="21"/>
                    </w:rPr>
                  </w:pPr>
                  <w:r>
                    <w:rPr>
                      <w:rFonts w:hint="eastAsia" w:ascii="仿宋_GB2312" w:eastAsia="仿宋_GB2312" w:cs="仿宋_GB2312"/>
                      <w:szCs w:val="21"/>
                    </w:rPr>
                    <w:t>产品年度质量回顾分析</w:t>
                  </w:r>
                  <w:r>
                    <w:rPr>
                      <w:rFonts w:ascii="仿宋_GB2312" w:eastAsia="仿宋_GB2312" w:cs="仿宋_GB2312"/>
                      <w:szCs w:val="21"/>
                    </w:rPr>
                    <w:t xml:space="preserve"> </w:t>
                  </w:r>
                </w:p>
              </w:txbxContent>
            </v:textbox>
          </v:rect>
        </w:pict>
      </w:r>
    </w:p>
    <w:p>
      <w:pPr>
        <w:spacing w:line="360" w:lineRule="auto"/>
        <w:ind w:firstLine="630" w:firstLineChars="300"/>
        <w:rPr>
          <w:rFonts w:ascii="仿宋_GB2312" w:eastAsia="仿宋_GB2312" w:cs="仿宋_GB2312"/>
          <w:sz w:val="24"/>
          <w:szCs w:val="24"/>
        </w:rPr>
      </w:pPr>
      <w:r>
        <w:pict>
          <v:rect id="_x0000_s1077" o:spid="_x0000_s1077" o:spt="1" style="position:absolute;left:0pt;margin-left:43.15pt;margin-top:11.5pt;height:35.25pt;width:105.85pt;z-index:251678720;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产品特性与储存运输条件影响</w:t>
                  </w:r>
                </w:p>
              </w:txbxContent>
            </v:textbox>
          </v:rect>
        </w:pict>
      </w:r>
    </w:p>
    <w:p>
      <w:pPr>
        <w:spacing w:line="360" w:lineRule="auto"/>
        <w:rPr>
          <w:rFonts w:ascii="仿宋_GB2312" w:eastAsia="仿宋_GB2312" w:cs="仿宋_GB2312"/>
          <w:sz w:val="24"/>
          <w:szCs w:val="24"/>
        </w:rPr>
      </w:pPr>
    </w:p>
    <w:p>
      <w:pPr>
        <w:spacing w:line="360" w:lineRule="auto"/>
        <w:rPr>
          <w:rFonts w:ascii="仿宋_GB2312" w:eastAsia="仿宋_GB2312" w:cs="仿宋_GB2312"/>
          <w:sz w:val="24"/>
          <w:szCs w:val="24"/>
        </w:rPr>
      </w:pPr>
      <w:r>
        <w:pict>
          <v:shape id="_x0000_s1078" o:spid="_x0000_s1078" o:spt="32" type="#_x0000_t32" style="position:absolute;left:0pt;flip:y;margin-left:252.55pt;margin-top:151.15pt;height:35.3pt;width:0pt;z-index:251681792;mso-width-relative:page;mso-height-relative:page;" o:connectortype="straight" filled="f" coordsize="21600,21600">
            <v:path arrowok="t"/>
            <v:fill on="f" focussize="0,0"/>
            <v:stroke/>
            <v:imagedata o:title=""/>
            <o:lock v:ext="edit"/>
          </v:shape>
        </w:pict>
      </w:r>
      <w:r>
        <w:pict>
          <v:shape id="_x0000_s1079" o:spid="_x0000_s1079" o:spt="32" type="#_x0000_t32" style="position:absolute;left:0pt;flip:y;margin-left:13.9pt;margin-top:152pt;height:32.15pt;width:1.05pt;z-index:251682816;mso-width-relative:page;mso-height-relative:page;" o:connectortype="straight" filled="f" coordsize="21600,21600">
            <v:path arrowok="t"/>
            <v:fill on="f" focussize="0,0"/>
            <v:stroke/>
            <v:imagedata o:title=""/>
            <o:lock v:ext="edit"/>
          </v:shape>
        </w:pict>
      </w:r>
      <w:r>
        <w:pict>
          <v:shape id="_x0000_s1080" o:spid="_x0000_s1080" o:spt="32" type="#_x0000_t32" style="position:absolute;left:0pt;margin-left:161.7pt;margin-top:185.7pt;height:0pt;width:90.85pt;rotation:11796480f;z-index:251672576;mso-width-relative:page;mso-height-relative:page;" filled="f" coordsize="21600,21600" adj="-81443,-1,-81443">
            <v:path arrowok="t"/>
            <v:fill on="f" focussize="0,0"/>
            <v:stroke/>
            <v:imagedata o:title=""/>
            <o:lock v:ext="edit"/>
          </v:shape>
        </w:pict>
      </w:r>
      <w:r>
        <w:pict>
          <v:rect id="_x0000_s1081" o:spid="_x0000_s1081" o:spt="1" style="position:absolute;left:0pt;margin-left:85.4pt;margin-top:171.75pt;height:29.8pt;width:71.6pt;z-index:251671552;mso-width-relative:page;mso-height-relative:page;" coordsize="21600,21600">
            <v:path/>
            <v:fill focussize="0,0"/>
            <v:stroke/>
            <v:imagedata o:title=""/>
            <o:lock v:ext="edit"/>
            <v:textbox>
              <w:txbxContent>
                <w:p>
                  <w:pPr>
                    <w:jc w:val="center"/>
                    <w:rPr>
                      <w:rFonts w:ascii="仿宋_GB2312" w:eastAsia="仿宋_GB2312" w:cs="仿宋_GB2312"/>
                      <w:szCs w:val="21"/>
                    </w:rPr>
                  </w:pPr>
                  <w:r>
                    <w:rPr>
                      <w:rFonts w:hint="eastAsia" w:ascii="仿宋_GB2312" w:eastAsia="仿宋_GB2312" w:cs="仿宋_GB2312"/>
                      <w:szCs w:val="21"/>
                    </w:rPr>
                    <w:t>风险沟通</w:t>
                  </w:r>
                </w:p>
              </w:txbxContent>
            </v:textbox>
          </v:rect>
        </w:pict>
      </w:r>
      <w:r>
        <w:pict>
          <v:shape id="_x0000_s1082" o:spid="_x0000_s1082" o:spt="32" type="#_x0000_t32" style="position:absolute;left:0pt;margin-left:13.9pt;margin-top:182.65pt;height:0pt;width:70.35pt;rotation:11796480f;z-index:251673600;mso-width-relative:page;mso-height-relative:page;" filled="f" coordsize="21600,21600" adj="-54929,-1,-54929">
            <v:path arrowok="t"/>
            <v:fill on="f" focussize="0,0"/>
            <v:stroke/>
            <v:imagedata o:title=""/>
            <o:lock v:ext="edit"/>
          </v:shape>
        </w:pict>
      </w:r>
    </w:p>
    <w:p>
      <w:pPr>
        <w:spacing w:line="360" w:lineRule="auto"/>
        <w:rPr>
          <w:rFonts w:ascii="仿宋_GB2312" w:eastAsia="仿宋_GB2312" w:cs="仿宋_GB2312"/>
          <w:sz w:val="24"/>
          <w:szCs w:val="24"/>
        </w:rPr>
        <w:sectPr>
          <w:pgSz w:w="11906" w:h="16838"/>
          <w:pgMar w:top="2154" w:right="1417" w:bottom="1984" w:left="1417" w:header="851" w:footer="992" w:gutter="0"/>
          <w:cols w:space="425" w:num="1"/>
          <w:docGrid w:type="lines" w:linePitch="312" w:charSpace="0"/>
        </w:sectPr>
      </w:pPr>
    </w:p>
    <w:p>
      <w:pPr>
        <w:spacing w:line="360" w:lineRule="auto"/>
        <w:rPr>
          <w:rFonts w:ascii="仿宋_GB2312" w:eastAsia="仿宋_GB2312" w:cs="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3</w:t>
      </w:r>
    </w:p>
    <w:p>
      <w:pPr>
        <w:spacing w:line="360" w:lineRule="auto"/>
        <w:ind w:left="424" w:leftChars="202"/>
        <w:jc w:val="center"/>
        <w:rPr>
          <w:rFonts w:hint="eastAsia" w:ascii="黑体" w:hAnsi="黑体" w:eastAsia="黑体" w:cs="黑体"/>
          <w:sz w:val="32"/>
          <w:szCs w:val="32"/>
        </w:rPr>
      </w:pPr>
      <w:r>
        <w:rPr>
          <w:rFonts w:hint="eastAsia" w:ascii="黑体" w:hAnsi="黑体" w:eastAsia="黑体" w:cs="黑体"/>
          <w:bCs/>
          <w:sz w:val="32"/>
          <w:szCs w:val="32"/>
        </w:rPr>
        <w:t>XX年度上市后药品风险评估分级表</w:t>
      </w:r>
    </w:p>
    <w:tbl>
      <w:tblPr>
        <w:tblStyle w:val="11"/>
        <w:tblW w:w="14020"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2"/>
        <w:gridCol w:w="1402"/>
        <w:gridCol w:w="1402"/>
        <w:gridCol w:w="1402"/>
        <w:gridCol w:w="1402"/>
        <w:gridCol w:w="1402"/>
        <w:gridCol w:w="1402"/>
        <w:gridCol w:w="1788"/>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402"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药品名称、规格</w:t>
            </w:r>
          </w:p>
        </w:tc>
        <w:tc>
          <w:tcPr>
            <w:tcW w:w="1402" w:type="dxa"/>
          </w:tcPr>
          <w:p>
            <w:pPr>
              <w:spacing w:beforeAutospacing="1" w:line="360" w:lineRule="auto"/>
              <w:rPr>
                <w:rFonts w:ascii="仿宋_GB2312" w:eastAsia="仿宋_GB2312" w:cs="仿宋_GB2312"/>
                <w:sz w:val="24"/>
                <w:szCs w:val="24"/>
              </w:rPr>
            </w:pPr>
            <w:r>
              <w:rPr>
                <w:rFonts w:hint="eastAsia" w:ascii="仿宋_GB2312" w:eastAsia="仿宋_GB2312" w:cs="仿宋_GB2312"/>
                <w:sz w:val="24"/>
                <w:szCs w:val="24"/>
              </w:rPr>
              <w:t>所在生产地址</w:t>
            </w:r>
            <w:r>
              <w:rPr>
                <w:rFonts w:ascii="仿宋_GB2312" w:eastAsia="仿宋_GB2312" w:cs="仿宋_GB2312"/>
                <w:sz w:val="24"/>
                <w:szCs w:val="24"/>
              </w:rPr>
              <w:t>/</w:t>
            </w:r>
            <w:r>
              <w:rPr>
                <w:rFonts w:hint="eastAsia" w:ascii="仿宋_GB2312" w:eastAsia="仿宋_GB2312" w:cs="仿宋_GB2312"/>
                <w:sz w:val="24"/>
                <w:szCs w:val="24"/>
              </w:rPr>
              <w:t>生产单位</w:t>
            </w:r>
            <w:r>
              <w:rPr>
                <w:rFonts w:ascii="仿宋_GB2312" w:eastAsia="仿宋_GB2312" w:cs="仿宋_GB2312"/>
                <w:sz w:val="24"/>
                <w:szCs w:val="24"/>
              </w:rPr>
              <w:t>/</w:t>
            </w:r>
            <w:r>
              <w:rPr>
                <w:rFonts w:hint="eastAsia" w:ascii="仿宋_GB2312" w:eastAsia="仿宋_GB2312" w:cs="仿宋_GB2312"/>
                <w:sz w:val="24"/>
                <w:szCs w:val="24"/>
              </w:rPr>
              <w:t>生产线</w:t>
            </w:r>
          </w:p>
        </w:tc>
        <w:tc>
          <w:tcPr>
            <w:tcW w:w="1402" w:type="dxa"/>
          </w:tcPr>
          <w:p>
            <w:pPr>
              <w:spacing w:beforeAutospacing="1" w:line="360" w:lineRule="auto"/>
              <w:rPr>
                <w:rFonts w:ascii="仿宋_GB2312" w:eastAsia="仿宋_GB2312" w:cs="仿宋_GB2312"/>
                <w:sz w:val="24"/>
                <w:szCs w:val="24"/>
              </w:rPr>
            </w:pPr>
            <w:r>
              <w:rPr>
                <w:rFonts w:hint="eastAsia" w:ascii="仿宋_GB2312" w:eastAsia="仿宋_GB2312" w:cs="仿宋_GB2312"/>
                <w:sz w:val="24"/>
                <w:szCs w:val="24"/>
              </w:rPr>
              <w:t>生产批次（获批后所有上市批次）</w:t>
            </w: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上市时间</w:t>
            </w:r>
            <w:r>
              <w:rPr>
                <w:rFonts w:ascii="仿宋_GB2312" w:eastAsia="仿宋_GB2312" w:cs="仿宋_GB2312"/>
                <w:sz w:val="24"/>
                <w:szCs w:val="24"/>
              </w:rPr>
              <w:t>/</w:t>
            </w:r>
            <w:r>
              <w:rPr>
                <w:rFonts w:hint="eastAsia" w:ascii="仿宋_GB2312" w:eastAsia="仿宋_GB2312" w:cs="仿宋_GB2312"/>
                <w:sz w:val="24"/>
                <w:szCs w:val="24"/>
              </w:rPr>
              <w:t>变更补充注册批准后生产时间</w:t>
            </w: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附条件批准产品</w:t>
            </w: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产品年度质量回顾分析</w:t>
            </w: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药物警戒活动</w:t>
            </w: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上市后定期风险评估后风险等级</w:t>
            </w:r>
          </w:p>
        </w:tc>
        <w:tc>
          <w:tcPr>
            <w:tcW w:w="1788"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监控等级分级（</w:t>
            </w:r>
            <w:r>
              <w:rPr>
                <w:rFonts w:hint="eastAsia" w:ascii="仿宋_GB2312" w:eastAsia="仿宋_GB2312" w:cs="仿宋_GB2312"/>
                <w:sz w:val="24"/>
                <w:szCs w:val="24"/>
                <w:lang w:eastAsia="zh-CN"/>
              </w:rPr>
              <w:t>主要监控</w:t>
            </w:r>
            <w:r>
              <w:rPr>
                <w:rFonts w:ascii="仿宋_GB2312" w:eastAsia="仿宋_GB2312" w:cs="仿宋_GB2312"/>
                <w:sz w:val="24"/>
                <w:szCs w:val="24"/>
              </w:rPr>
              <w:t>/</w:t>
            </w:r>
            <w:r>
              <w:rPr>
                <w:rFonts w:hint="eastAsia" w:ascii="仿宋_GB2312" w:eastAsia="仿宋_GB2312" w:cs="仿宋_GB2312"/>
                <w:sz w:val="24"/>
                <w:szCs w:val="24"/>
                <w:lang w:eastAsia="zh-CN"/>
              </w:rPr>
              <w:t>次要监控</w:t>
            </w:r>
            <w:r>
              <w:rPr>
                <w:rFonts w:ascii="仿宋_GB2312" w:eastAsia="仿宋_GB2312" w:cs="仿宋_GB2312"/>
                <w:sz w:val="24"/>
                <w:szCs w:val="24"/>
              </w:rPr>
              <w:t>/</w:t>
            </w:r>
            <w:r>
              <w:rPr>
                <w:rFonts w:hint="eastAsia" w:ascii="仿宋_GB2312" w:eastAsia="仿宋_GB2312" w:cs="仿宋_GB2312"/>
                <w:sz w:val="24"/>
                <w:szCs w:val="24"/>
                <w:lang w:eastAsia="zh-CN"/>
              </w:rPr>
              <w:t>一般监控</w:t>
            </w:r>
            <w:r>
              <w:rPr>
                <w:rFonts w:hint="eastAsia" w:ascii="仿宋_GB2312" w:eastAsia="仿宋_GB2312" w:cs="仿宋_GB2312"/>
                <w:sz w:val="24"/>
                <w:szCs w:val="24"/>
              </w:rPr>
              <w:t>）</w:t>
            </w:r>
          </w:p>
        </w:tc>
        <w:tc>
          <w:tcPr>
            <w:tcW w:w="1016"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spacing w:beforeAutospacing="1" w:line="360" w:lineRule="auto"/>
              <w:rPr>
                <w:rFonts w:ascii="仿宋_GB2312" w:eastAsia="仿宋_GB2312" w:cs="仿宋_GB2312"/>
                <w:sz w:val="24"/>
                <w:szCs w:val="24"/>
              </w:rPr>
            </w:pPr>
          </w:p>
        </w:tc>
        <w:tc>
          <w:tcPr>
            <w:tcW w:w="1402" w:type="dxa"/>
          </w:tcPr>
          <w:p>
            <w:pPr>
              <w:spacing w:beforeAutospacing="1" w:line="360" w:lineRule="auto"/>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788" w:type="dxa"/>
          </w:tcPr>
          <w:p>
            <w:pPr>
              <w:tabs>
                <w:tab w:val="left" w:pos="851"/>
              </w:tabs>
              <w:suppressAutoHyphens/>
              <w:spacing w:beforeAutospacing="1" w:line="360" w:lineRule="auto"/>
              <w:jc w:val="left"/>
              <w:rPr>
                <w:rFonts w:ascii="仿宋_GB2312" w:eastAsia="仿宋_GB2312" w:cs="仿宋_GB2312"/>
                <w:sz w:val="24"/>
                <w:szCs w:val="24"/>
              </w:rPr>
            </w:pPr>
          </w:p>
        </w:tc>
        <w:tc>
          <w:tcPr>
            <w:tcW w:w="1016"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spacing w:beforeAutospacing="1" w:line="360" w:lineRule="auto"/>
              <w:rPr>
                <w:rFonts w:ascii="仿宋_GB2312" w:eastAsia="仿宋_GB2312" w:cs="仿宋_GB2312"/>
                <w:sz w:val="24"/>
                <w:szCs w:val="24"/>
              </w:rPr>
            </w:pPr>
          </w:p>
        </w:tc>
        <w:tc>
          <w:tcPr>
            <w:tcW w:w="1402" w:type="dxa"/>
          </w:tcPr>
          <w:p>
            <w:pPr>
              <w:spacing w:beforeAutospacing="1" w:line="360" w:lineRule="auto"/>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402" w:type="dxa"/>
          </w:tcPr>
          <w:p>
            <w:pPr>
              <w:tabs>
                <w:tab w:val="left" w:pos="851"/>
              </w:tabs>
              <w:suppressAutoHyphens/>
              <w:spacing w:beforeAutospacing="1" w:line="360" w:lineRule="auto"/>
              <w:jc w:val="left"/>
              <w:rPr>
                <w:rFonts w:ascii="仿宋_GB2312" w:eastAsia="仿宋_GB2312" w:cs="仿宋_GB2312"/>
                <w:sz w:val="24"/>
                <w:szCs w:val="24"/>
              </w:rPr>
            </w:pPr>
          </w:p>
        </w:tc>
        <w:tc>
          <w:tcPr>
            <w:tcW w:w="1788" w:type="dxa"/>
          </w:tcPr>
          <w:p>
            <w:pPr>
              <w:tabs>
                <w:tab w:val="left" w:pos="851"/>
              </w:tabs>
              <w:suppressAutoHyphens/>
              <w:spacing w:beforeAutospacing="1" w:line="360" w:lineRule="auto"/>
              <w:jc w:val="left"/>
              <w:rPr>
                <w:rFonts w:ascii="仿宋_GB2312" w:eastAsia="仿宋_GB2312" w:cs="仿宋_GB2312"/>
                <w:sz w:val="24"/>
                <w:szCs w:val="24"/>
              </w:rPr>
            </w:pPr>
          </w:p>
        </w:tc>
        <w:tc>
          <w:tcPr>
            <w:tcW w:w="1016" w:type="dxa"/>
          </w:tcPr>
          <w:p>
            <w:pPr>
              <w:tabs>
                <w:tab w:val="left" w:pos="851"/>
              </w:tabs>
              <w:suppressAutoHyphens/>
              <w:spacing w:beforeAutospacing="1" w:line="360" w:lineRule="auto"/>
              <w:jc w:val="left"/>
              <w:rPr>
                <w:rFonts w:ascii="仿宋_GB2312" w:eastAsia="仿宋_GB2312" w:cs="仿宋_GB2312"/>
                <w:sz w:val="24"/>
                <w:szCs w:val="24"/>
              </w:rPr>
            </w:pPr>
          </w:p>
        </w:tc>
      </w:tr>
    </w:tbl>
    <w:p>
      <w:pPr>
        <w:tabs>
          <w:tab w:val="left" w:pos="851"/>
        </w:tabs>
        <w:suppressAutoHyphens/>
        <w:spacing w:line="360" w:lineRule="auto"/>
        <w:jc w:val="left"/>
        <w:rPr>
          <w:rFonts w:ascii="仿宋_GB2312" w:eastAsia="仿宋_GB2312" w:cs="仿宋_GB2312"/>
          <w:sz w:val="24"/>
          <w:szCs w:val="24"/>
        </w:rPr>
      </w:pPr>
      <w:r>
        <w:rPr>
          <w:rFonts w:hint="eastAsia" w:ascii="仿宋_GB2312" w:eastAsia="仿宋_GB2312" w:cs="仿宋_GB2312"/>
          <w:sz w:val="24"/>
          <w:szCs w:val="24"/>
        </w:rPr>
        <w:t>分级评价人会签：</w:t>
      </w:r>
    </w:p>
    <w:tbl>
      <w:tblPr>
        <w:tblStyle w:val="11"/>
        <w:tblW w:w="12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720"/>
        <w:gridCol w:w="1720"/>
        <w:gridCol w:w="1720"/>
        <w:gridCol w:w="1720"/>
        <w:gridCol w:w="172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293"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参与评价部门</w:t>
            </w: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2"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293"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参与评价人员</w:t>
            </w: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2"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293"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签字</w:t>
            </w:r>
            <w:r>
              <w:rPr>
                <w:rFonts w:ascii="仿宋_GB2312" w:eastAsia="仿宋_GB2312" w:cs="仿宋_GB2312"/>
                <w:sz w:val="24"/>
                <w:szCs w:val="24"/>
              </w:rPr>
              <w:t>/</w:t>
            </w:r>
            <w:r>
              <w:rPr>
                <w:rFonts w:hint="eastAsia" w:ascii="仿宋_GB2312" w:eastAsia="仿宋_GB2312" w:cs="仿宋_GB2312"/>
                <w:sz w:val="24"/>
                <w:szCs w:val="24"/>
              </w:rPr>
              <w:t>日期</w:t>
            </w: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0" w:type="dxa"/>
          </w:tcPr>
          <w:p>
            <w:pPr>
              <w:tabs>
                <w:tab w:val="left" w:pos="851"/>
              </w:tabs>
              <w:suppressAutoHyphens/>
              <w:spacing w:beforeAutospacing="1" w:line="360" w:lineRule="auto"/>
              <w:jc w:val="left"/>
              <w:rPr>
                <w:rFonts w:ascii="仿宋_GB2312" w:eastAsia="仿宋_GB2312" w:cs="仿宋_GB2312"/>
                <w:sz w:val="24"/>
                <w:szCs w:val="24"/>
              </w:rPr>
            </w:pPr>
          </w:p>
        </w:tc>
        <w:tc>
          <w:tcPr>
            <w:tcW w:w="1722" w:type="dxa"/>
          </w:tcPr>
          <w:p>
            <w:pPr>
              <w:tabs>
                <w:tab w:val="left" w:pos="851"/>
              </w:tabs>
              <w:suppressAutoHyphens/>
              <w:spacing w:beforeAutospacing="1" w:line="360" w:lineRule="auto"/>
              <w:jc w:val="left"/>
              <w:rPr>
                <w:rFonts w:ascii="仿宋_GB2312" w:eastAsia="仿宋_GB2312" w:cs="仿宋_GB2312"/>
                <w:sz w:val="24"/>
                <w:szCs w:val="24"/>
              </w:rPr>
            </w:pPr>
          </w:p>
        </w:tc>
      </w:tr>
    </w:tbl>
    <w:p>
      <w:pPr>
        <w:tabs>
          <w:tab w:val="left" w:pos="851"/>
        </w:tabs>
        <w:suppressAutoHyphens/>
        <w:spacing w:line="360" w:lineRule="auto"/>
        <w:jc w:val="left"/>
        <w:rPr>
          <w:rFonts w:ascii="仿宋_GB2312" w:eastAsia="仿宋_GB2312" w:cs="仿宋_GB2312"/>
          <w:sz w:val="24"/>
          <w:szCs w:val="24"/>
        </w:rPr>
      </w:pPr>
      <w:r>
        <w:rPr>
          <w:rFonts w:hint="eastAsia" w:ascii="仿宋_GB2312" w:eastAsia="仿宋_GB2312" w:cs="仿宋_GB2312"/>
          <w:sz w:val="24"/>
          <w:szCs w:val="24"/>
        </w:rPr>
        <w:t>批准人</w:t>
      </w:r>
    </w:p>
    <w:p>
      <w:pPr>
        <w:tabs>
          <w:tab w:val="left" w:pos="851"/>
        </w:tabs>
        <w:suppressAutoHyphens/>
        <w:spacing w:line="360" w:lineRule="auto"/>
        <w:jc w:val="left"/>
        <w:rPr>
          <w:rFonts w:ascii="仿宋_GB2312" w:eastAsia="仿宋_GB2312" w:cs="仿宋_GB2312"/>
          <w:sz w:val="24"/>
          <w:szCs w:val="24"/>
        </w:rPr>
      </w:pPr>
      <w:r>
        <w:rPr>
          <w:rFonts w:ascii="仿宋_GB2312" w:eastAsia="仿宋_GB2312" w:cs="仿宋_GB2312"/>
          <w:sz w:val="24"/>
          <w:szCs w:val="24"/>
        </w:rPr>
        <w:t>QA</w:t>
      </w:r>
      <w:r>
        <w:rPr>
          <w:rFonts w:hint="eastAsia" w:ascii="仿宋_GB2312" w:eastAsia="仿宋_GB2312" w:cs="仿宋_GB2312"/>
          <w:sz w:val="24"/>
          <w:szCs w:val="24"/>
        </w:rPr>
        <w:t>部门负责人：</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r>
        <w:rPr>
          <w:rFonts w:ascii="仿宋_GB2312" w:eastAsia="仿宋_GB2312" w:cs="仿宋_GB2312"/>
          <w:sz w:val="24"/>
          <w:szCs w:val="24"/>
        </w:rPr>
        <w:t xml:space="preserve"> </w:t>
      </w:r>
    </w:p>
    <w:p>
      <w:pPr>
        <w:tabs>
          <w:tab w:val="left" w:pos="851"/>
        </w:tabs>
        <w:suppressAutoHyphens/>
        <w:spacing w:line="360" w:lineRule="auto"/>
        <w:jc w:val="left"/>
        <w:rPr>
          <w:rFonts w:ascii="仿宋_GB2312" w:eastAsia="仿宋_GB2312" w:cs="仿宋_GB2312"/>
          <w:sz w:val="24"/>
          <w:szCs w:val="24"/>
        </w:rPr>
      </w:pPr>
      <w:r>
        <w:rPr>
          <w:rFonts w:hint="eastAsia" w:ascii="仿宋_GB2312" w:eastAsia="仿宋_GB2312" w:cs="仿宋_GB2312"/>
          <w:sz w:val="24"/>
          <w:szCs w:val="24"/>
        </w:rPr>
        <w:t>质量负责人：</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pPr>
        <w:spacing w:line="360" w:lineRule="auto"/>
        <w:rPr>
          <w:rFonts w:ascii="仿宋_GB2312" w:eastAsia="仿宋_GB2312" w:cs="仿宋_GB2312"/>
          <w:sz w:val="24"/>
          <w:szCs w:val="24"/>
        </w:rPr>
        <w:sectPr>
          <w:pgSz w:w="16838" w:h="11906" w:orient="landscape"/>
          <w:pgMar w:top="1803" w:right="1440" w:bottom="1803" w:left="1440" w:header="851" w:footer="992" w:gutter="0"/>
          <w:cols w:space="0" w:num="1"/>
          <w:docGrid w:type="lines" w:linePitch="319" w:charSpace="0"/>
        </w:sectPr>
      </w:pPr>
    </w:p>
    <w:p>
      <w:pPr>
        <w:spacing w:line="360" w:lineRule="auto"/>
        <w:rPr>
          <w:rFonts w:ascii="仿宋_GB2312" w:eastAsia="仿宋_GB2312" w:cs="仿宋_GB2312"/>
          <w:sz w:val="28"/>
          <w:szCs w:val="28"/>
        </w:rPr>
      </w:pPr>
      <w:r>
        <w:rPr>
          <w:rFonts w:hint="eastAsia" w:ascii="仿宋_GB2312" w:eastAsia="仿宋_GB2312" w:cs="仿宋_GB2312"/>
          <w:sz w:val="28"/>
          <w:szCs w:val="28"/>
        </w:rPr>
        <w:t>附件</w:t>
      </w:r>
      <w:r>
        <w:rPr>
          <w:rFonts w:ascii="仿宋_GB2312" w:eastAsia="仿宋_GB2312" w:cs="仿宋_GB2312"/>
          <w:sz w:val="28"/>
          <w:szCs w:val="28"/>
        </w:rPr>
        <w:t>4</w:t>
      </w:r>
    </w:p>
    <w:p>
      <w:pPr>
        <w:spacing w:line="360" w:lineRule="auto"/>
        <w:ind w:left="424" w:leftChars="202"/>
        <w:jc w:val="center"/>
        <w:rPr>
          <w:rFonts w:ascii="仿宋_GB2312" w:eastAsia="仿宋_GB2312" w:cs="仿宋_GB2312"/>
          <w:b/>
          <w:sz w:val="28"/>
          <w:szCs w:val="28"/>
        </w:rPr>
      </w:pPr>
      <w:r>
        <w:rPr>
          <w:rFonts w:hint="eastAsia" w:ascii="黑体" w:hAnsi="黑体" w:eastAsia="黑体" w:cs="黑体"/>
          <w:b w:val="0"/>
          <w:bCs/>
          <w:sz w:val="32"/>
          <w:szCs w:val="32"/>
        </w:rPr>
        <w:t>XX年度药品上市后风险管理计划实施计划表</w:t>
      </w:r>
    </w:p>
    <w:tbl>
      <w:tblPr>
        <w:tblStyle w:val="11"/>
        <w:tblW w:w="859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680"/>
        <w:gridCol w:w="1905"/>
        <w:gridCol w:w="13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药品名称、规格</w:t>
            </w:r>
          </w:p>
        </w:tc>
        <w:tc>
          <w:tcPr>
            <w:tcW w:w="1680" w:type="dxa"/>
            <w:vAlign w:val="center"/>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所在生产地址</w:t>
            </w:r>
            <w:r>
              <w:rPr>
                <w:rFonts w:ascii="仿宋_GB2312" w:eastAsia="仿宋_GB2312" w:cs="仿宋_GB2312"/>
                <w:sz w:val="24"/>
                <w:szCs w:val="24"/>
              </w:rPr>
              <w:t>/</w:t>
            </w:r>
            <w:r>
              <w:rPr>
                <w:rFonts w:hint="eastAsia" w:ascii="仿宋_GB2312" w:eastAsia="仿宋_GB2312" w:cs="仿宋_GB2312"/>
                <w:sz w:val="24"/>
                <w:szCs w:val="24"/>
              </w:rPr>
              <w:t>生产单位</w:t>
            </w:r>
            <w:r>
              <w:rPr>
                <w:rFonts w:ascii="仿宋_GB2312" w:eastAsia="仿宋_GB2312" w:cs="仿宋_GB2312"/>
                <w:sz w:val="24"/>
                <w:szCs w:val="24"/>
              </w:rPr>
              <w:t>/</w:t>
            </w:r>
            <w:r>
              <w:rPr>
                <w:rFonts w:hint="eastAsia" w:ascii="仿宋_GB2312" w:eastAsia="仿宋_GB2312" w:cs="仿宋_GB2312"/>
                <w:sz w:val="24"/>
                <w:szCs w:val="24"/>
              </w:rPr>
              <w:t>生产线</w:t>
            </w:r>
          </w:p>
        </w:tc>
        <w:tc>
          <w:tcPr>
            <w:tcW w:w="1905"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药品</w:t>
            </w:r>
            <w:r>
              <w:rPr>
                <w:rFonts w:ascii="仿宋_GB2312" w:eastAsia="仿宋_GB2312" w:cs="仿宋_GB2312"/>
                <w:sz w:val="24"/>
                <w:szCs w:val="24"/>
              </w:rPr>
              <w:t xml:space="preserve">RMP </w:t>
            </w:r>
            <w:r>
              <w:rPr>
                <w:rFonts w:hint="eastAsia" w:ascii="仿宋_GB2312" w:eastAsia="仿宋_GB2312" w:cs="仿宋_GB2312"/>
                <w:sz w:val="24"/>
                <w:szCs w:val="24"/>
              </w:rPr>
              <w:t>预计完成时间</w:t>
            </w:r>
          </w:p>
        </w:tc>
        <w:tc>
          <w:tcPr>
            <w:tcW w:w="1380"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实际完成时间</w:t>
            </w:r>
          </w:p>
        </w:tc>
        <w:tc>
          <w:tcPr>
            <w:tcW w:w="1785" w:type="dxa"/>
            <w:vAlign w:val="center"/>
          </w:tcPr>
          <w:p>
            <w:pPr>
              <w:tabs>
                <w:tab w:val="left" w:pos="851"/>
              </w:tabs>
              <w:suppressAutoHyphens/>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跟踪人</w:t>
            </w:r>
            <w:r>
              <w:rPr>
                <w:rFonts w:ascii="仿宋_GB2312" w:eastAsia="仿宋_GB2312" w:cs="仿宋_GB2312"/>
                <w:sz w:val="24"/>
                <w:szCs w:val="24"/>
              </w:rPr>
              <w:t>/</w:t>
            </w:r>
            <w:r>
              <w:rPr>
                <w:rFonts w:hint="eastAsia" w:ascii="仿宋_GB2312" w:eastAsia="仿宋_GB2312" w:cs="仿宋_GB231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spacing w:beforeAutospacing="1" w:line="360" w:lineRule="auto"/>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spacing w:beforeAutospacing="1" w:line="360" w:lineRule="auto"/>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spacing w:beforeAutospacing="1" w:line="360" w:lineRule="auto"/>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spacing w:beforeAutospacing="1" w:line="360" w:lineRule="auto"/>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tabs>
                <w:tab w:val="left" w:pos="851"/>
              </w:tabs>
              <w:suppressAutoHyphens/>
              <w:spacing w:beforeAutospacing="1" w:line="360" w:lineRule="auto"/>
              <w:jc w:val="left"/>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tabs>
                <w:tab w:val="left" w:pos="851"/>
              </w:tabs>
              <w:suppressAutoHyphens/>
              <w:spacing w:beforeAutospacing="1" w:line="360" w:lineRule="auto"/>
              <w:jc w:val="left"/>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tabs>
                <w:tab w:val="left" w:pos="851"/>
              </w:tabs>
              <w:suppressAutoHyphens/>
              <w:spacing w:beforeAutospacing="1" w:line="360" w:lineRule="auto"/>
              <w:jc w:val="left"/>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tabs>
                <w:tab w:val="left" w:pos="851"/>
              </w:tabs>
              <w:suppressAutoHyphens/>
              <w:spacing w:beforeAutospacing="1" w:line="360" w:lineRule="auto"/>
              <w:jc w:val="left"/>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tabs>
                <w:tab w:val="left" w:pos="851"/>
              </w:tabs>
              <w:suppressAutoHyphens/>
              <w:spacing w:beforeAutospacing="1" w:line="360" w:lineRule="auto"/>
              <w:jc w:val="left"/>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45" w:type="dxa"/>
          </w:tcPr>
          <w:p>
            <w:pPr>
              <w:tabs>
                <w:tab w:val="left" w:pos="851"/>
              </w:tabs>
              <w:suppressAutoHyphens/>
              <w:spacing w:beforeAutospacing="1" w:line="360" w:lineRule="auto"/>
              <w:jc w:val="left"/>
              <w:rPr>
                <w:rFonts w:ascii="仿宋_GB2312" w:eastAsia="仿宋_GB2312" w:cs="仿宋_GB2312"/>
                <w:sz w:val="24"/>
                <w:szCs w:val="24"/>
              </w:rPr>
            </w:pPr>
          </w:p>
        </w:tc>
        <w:tc>
          <w:tcPr>
            <w:tcW w:w="1680" w:type="dxa"/>
          </w:tcPr>
          <w:p>
            <w:pPr>
              <w:tabs>
                <w:tab w:val="left" w:pos="851"/>
              </w:tabs>
              <w:suppressAutoHyphens/>
              <w:spacing w:beforeAutospacing="1" w:line="360" w:lineRule="auto"/>
              <w:jc w:val="left"/>
              <w:rPr>
                <w:rFonts w:ascii="仿宋_GB2312" w:eastAsia="仿宋_GB2312" w:cs="仿宋_GB2312"/>
                <w:sz w:val="24"/>
                <w:szCs w:val="24"/>
              </w:rPr>
            </w:pPr>
          </w:p>
        </w:tc>
        <w:tc>
          <w:tcPr>
            <w:tcW w:w="1905" w:type="dxa"/>
          </w:tcPr>
          <w:p>
            <w:pPr>
              <w:tabs>
                <w:tab w:val="left" w:pos="851"/>
              </w:tabs>
              <w:suppressAutoHyphens/>
              <w:spacing w:beforeAutospacing="1" w:line="360" w:lineRule="auto"/>
              <w:jc w:val="left"/>
              <w:rPr>
                <w:rFonts w:ascii="仿宋_GB2312" w:eastAsia="仿宋_GB2312" w:cs="仿宋_GB2312"/>
                <w:sz w:val="24"/>
                <w:szCs w:val="24"/>
              </w:rPr>
            </w:pPr>
          </w:p>
        </w:tc>
        <w:tc>
          <w:tcPr>
            <w:tcW w:w="1380" w:type="dxa"/>
          </w:tcPr>
          <w:p>
            <w:pPr>
              <w:tabs>
                <w:tab w:val="left" w:pos="851"/>
              </w:tabs>
              <w:suppressAutoHyphens/>
              <w:spacing w:beforeAutospacing="1" w:line="360" w:lineRule="auto"/>
              <w:jc w:val="left"/>
              <w:rPr>
                <w:rFonts w:ascii="仿宋_GB2312" w:eastAsia="仿宋_GB2312" w:cs="仿宋_GB2312"/>
                <w:sz w:val="24"/>
                <w:szCs w:val="24"/>
              </w:rPr>
            </w:pPr>
          </w:p>
        </w:tc>
        <w:tc>
          <w:tcPr>
            <w:tcW w:w="1785" w:type="dxa"/>
          </w:tcPr>
          <w:p>
            <w:pPr>
              <w:tabs>
                <w:tab w:val="left" w:pos="851"/>
              </w:tabs>
              <w:suppressAutoHyphens/>
              <w:spacing w:beforeAutospacing="1" w:line="360" w:lineRule="auto"/>
              <w:jc w:val="left"/>
              <w:rPr>
                <w:rFonts w:ascii="仿宋_GB2312" w:eastAsia="仿宋_GB2312" w:cs="仿宋_GB2312"/>
                <w:sz w:val="24"/>
                <w:szCs w:val="24"/>
              </w:rPr>
            </w:pPr>
          </w:p>
        </w:tc>
      </w:tr>
    </w:tbl>
    <w:p>
      <w:pPr>
        <w:tabs>
          <w:tab w:val="left" w:pos="851"/>
        </w:tabs>
        <w:suppressAutoHyphens/>
        <w:spacing w:line="360" w:lineRule="auto"/>
        <w:jc w:val="left"/>
        <w:rPr>
          <w:rFonts w:ascii="仿宋_GB2312" w:eastAsia="仿宋_GB2312" w:cs="仿宋_GB2312"/>
          <w:sz w:val="24"/>
          <w:szCs w:val="24"/>
        </w:rPr>
      </w:pPr>
    </w:p>
    <w:p>
      <w:pPr>
        <w:tabs>
          <w:tab w:val="left" w:pos="851"/>
        </w:tabs>
        <w:suppressAutoHyphens/>
        <w:spacing w:line="360" w:lineRule="auto"/>
        <w:jc w:val="left"/>
        <w:rPr>
          <w:rFonts w:ascii="仿宋_GB2312" w:eastAsia="仿宋_GB2312" w:cs="仿宋_GB2312"/>
          <w:sz w:val="24"/>
          <w:szCs w:val="24"/>
        </w:rPr>
      </w:pPr>
      <w:r>
        <w:rPr>
          <w:rFonts w:hint="eastAsia" w:ascii="仿宋_GB2312" w:eastAsia="仿宋_GB2312" w:cs="仿宋_GB2312"/>
          <w:sz w:val="24"/>
          <w:szCs w:val="24"/>
        </w:rPr>
        <w:t>计划修订情况（简述计划修订时间、原因、主要内容）：</w:t>
      </w:r>
    </w:p>
    <w:p>
      <w:pPr>
        <w:tabs>
          <w:tab w:val="left" w:pos="851"/>
        </w:tabs>
        <w:suppressAutoHyphens/>
        <w:spacing w:line="360" w:lineRule="auto"/>
        <w:jc w:val="left"/>
        <w:rPr>
          <w:rFonts w:ascii="仿宋_GB2312" w:eastAsia="仿宋_GB2312" w:cs="仿宋_GB2312"/>
          <w:sz w:val="24"/>
          <w:szCs w:val="24"/>
        </w:rPr>
      </w:pPr>
    </w:p>
    <w:p>
      <w:pPr>
        <w:tabs>
          <w:tab w:val="left" w:pos="851"/>
        </w:tabs>
        <w:suppressAutoHyphens/>
        <w:spacing w:line="360" w:lineRule="auto"/>
        <w:jc w:val="left"/>
        <w:rPr>
          <w:rFonts w:ascii="仿宋_GB2312" w:eastAsia="仿宋_GB2312" w:cs="仿宋_GB2312"/>
          <w:sz w:val="24"/>
          <w:szCs w:val="24"/>
        </w:rPr>
      </w:pPr>
      <w:r>
        <w:rPr>
          <w:rFonts w:hint="eastAsia" w:ascii="仿宋_GB2312" w:eastAsia="仿宋_GB2312" w:cs="仿宋_GB2312"/>
          <w:sz w:val="24"/>
          <w:szCs w:val="24"/>
        </w:rPr>
        <w:t>计划制定人会签：</w:t>
      </w:r>
    </w:p>
    <w:tbl>
      <w:tblPr>
        <w:tblStyle w:val="11"/>
        <w:tblW w:w="8668"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090"/>
        <w:gridCol w:w="1090"/>
        <w:gridCol w:w="1090"/>
        <w:gridCol w:w="1090"/>
        <w:gridCol w:w="10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127"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参与制定的部门</w:t>
            </w: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1"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127"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参与制定的人员</w:t>
            </w: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1" w:type="dxa"/>
          </w:tcPr>
          <w:p>
            <w:pPr>
              <w:tabs>
                <w:tab w:val="left" w:pos="851"/>
              </w:tabs>
              <w:suppressAutoHyphens/>
              <w:spacing w:beforeAutospacing="1" w:line="360" w:lineRule="auto"/>
              <w:jc w:val="left"/>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127" w:type="dxa"/>
          </w:tcPr>
          <w:p>
            <w:pPr>
              <w:tabs>
                <w:tab w:val="left" w:pos="851"/>
              </w:tabs>
              <w:suppressAutoHyphens/>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签字</w:t>
            </w:r>
            <w:r>
              <w:rPr>
                <w:rFonts w:ascii="仿宋_GB2312" w:eastAsia="仿宋_GB2312" w:cs="仿宋_GB2312"/>
                <w:sz w:val="24"/>
                <w:szCs w:val="24"/>
              </w:rPr>
              <w:t>/</w:t>
            </w:r>
            <w:r>
              <w:rPr>
                <w:rFonts w:hint="eastAsia" w:ascii="仿宋_GB2312" w:eastAsia="仿宋_GB2312" w:cs="仿宋_GB2312"/>
                <w:sz w:val="24"/>
                <w:szCs w:val="24"/>
              </w:rPr>
              <w:t>日期</w:t>
            </w: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0" w:type="dxa"/>
          </w:tcPr>
          <w:p>
            <w:pPr>
              <w:tabs>
                <w:tab w:val="left" w:pos="851"/>
              </w:tabs>
              <w:suppressAutoHyphens/>
              <w:spacing w:beforeAutospacing="1" w:line="360" w:lineRule="auto"/>
              <w:jc w:val="left"/>
              <w:rPr>
                <w:rFonts w:ascii="仿宋_GB2312" w:eastAsia="仿宋_GB2312" w:cs="仿宋_GB2312"/>
                <w:sz w:val="24"/>
                <w:szCs w:val="24"/>
              </w:rPr>
            </w:pPr>
          </w:p>
        </w:tc>
        <w:tc>
          <w:tcPr>
            <w:tcW w:w="1091" w:type="dxa"/>
          </w:tcPr>
          <w:p>
            <w:pPr>
              <w:tabs>
                <w:tab w:val="left" w:pos="851"/>
              </w:tabs>
              <w:suppressAutoHyphens/>
              <w:spacing w:beforeAutospacing="1" w:line="360" w:lineRule="auto"/>
              <w:jc w:val="left"/>
              <w:rPr>
                <w:rFonts w:ascii="仿宋_GB2312" w:eastAsia="仿宋_GB2312" w:cs="仿宋_GB2312"/>
                <w:sz w:val="24"/>
                <w:szCs w:val="24"/>
              </w:rPr>
            </w:pPr>
          </w:p>
        </w:tc>
      </w:tr>
    </w:tbl>
    <w:p>
      <w:pPr>
        <w:tabs>
          <w:tab w:val="left" w:pos="851"/>
        </w:tabs>
        <w:suppressAutoHyphens/>
        <w:spacing w:line="360" w:lineRule="auto"/>
        <w:jc w:val="left"/>
        <w:rPr>
          <w:rFonts w:ascii="仿宋_GB2312" w:eastAsia="仿宋_GB2312" w:cs="仿宋_GB2312"/>
          <w:sz w:val="24"/>
          <w:szCs w:val="24"/>
        </w:rPr>
      </w:pPr>
      <w:r>
        <w:rPr>
          <w:rFonts w:hint="eastAsia" w:ascii="仿宋_GB2312" w:eastAsia="仿宋_GB2312" w:cs="仿宋_GB2312"/>
          <w:sz w:val="24"/>
          <w:szCs w:val="24"/>
        </w:rPr>
        <w:t>批准人</w:t>
      </w:r>
    </w:p>
    <w:p>
      <w:pPr>
        <w:tabs>
          <w:tab w:val="left" w:pos="851"/>
        </w:tabs>
        <w:suppressAutoHyphens/>
        <w:spacing w:line="360" w:lineRule="auto"/>
        <w:jc w:val="left"/>
        <w:rPr>
          <w:rFonts w:ascii="仿宋_GB2312" w:eastAsia="仿宋_GB2312" w:cs="仿宋_GB2312"/>
          <w:sz w:val="24"/>
          <w:szCs w:val="24"/>
        </w:rPr>
      </w:pPr>
      <w:r>
        <w:rPr>
          <w:rFonts w:hint="eastAsia" w:ascii="仿宋_GB2312" w:eastAsia="仿宋_GB2312" w:cs="仿宋_GB2312"/>
          <w:sz w:val="24"/>
          <w:szCs w:val="24"/>
        </w:rPr>
        <w:t>质量负责人：</w:t>
      </w:r>
      <w:r>
        <w:rPr>
          <w:rFonts w:ascii="仿宋_GB2312" w:eastAsia="仿宋_GB2312" w:cs="仿宋_GB2312"/>
          <w:sz w:val="24"/>
          <w:szCs w:val="24"/>
        </w:rPr>
        <w:t xml:space="preserve"> </w:t>
      </w:r>
      <w:r>
        <w:rPr>
          <w:rFonts w:hint="eastAsia" w:ascii="仿宋_GB2312" w:eastAsia="仿宋_GB2312" w:cs="仿宋_GB2312"/>
          <w:sz w:val="24"/>
          <w:szCs w:val="24"/>
        </w:rPr>
        <w:t>年</w:t>
      </w:r>
      <w:r>
        <w:rPr>
          <w:rFonts w:ascii="仿宋_GB2312" w:eastAsia="仿宋_GB2312" w:cs="仿宋_GB2312"/>
          <w:sz w:val="24"/>
          <w:szCs w:val="24"/>
        </w:rPr>
        <w:t xml:space="preserve"> </w:t>
      </w:r>
      <w:r>
        <w:rPr>
          <w:rFonts w:hint="eastAsia" w:ascii="仿宋_GB2312" w:eastAsia="仿宋_GB2312" w:cs="仿宋_GB2312"/>
          <w:sz w:val="24"/>
          <w:szCs w:val="24"/>
        </w:rPr>
        <w:t>月</w:t>
      </w:r>
      <w:r>
        <w:rPr>
          <w:rFonts w:ascii="仿宋_GB2312" w:eastAsia="仿宋_GB2312" w:cs="仿宋_GB2312"/>
          <w:sz w:val="24"/>
          <w:szCs w:val="24"/>
        </w:rPr>
        <w:t xml:space="preserve"> </w:t>
      </w:r>
      <w:r>
        <w:rPr>
          <w:rFonts w:hint="eastAsia" w:ascii="仿宋_GB2312" w:eastAsia="仿宋_GB2312" w:cs="仿宋_GB2312"/>
          <w:sz w:val="24"/>
          <w:szCs w:val="24"/>
        </w:rPr>
        <w:t>日</w:t>
      </w:r>
    </w:p>
    <w:p>
      <w:pPr>
        <w:tabs>
          <w:tab w:val="left" w:pos="851"/>
        </w:tabs>
        <w:suppressAutoHyphens/>
        <w:spacing w:line="360" w:lineRule="auto"/>
        <w:jc w:val="left"/>
        <w:rPr>
          <w:rFonts w:ascii="仿宋_GB2312" w:eastAsia="仿宋_GB2312" w:cs="仿宋_GB2312"/>
          <w:sz w:val="24"/>
          <w:szCs w:val="24"/>
        </w:rPr>
      </w:pPr>
    </w:p>
    <w:p>
      <w:pPr>
        <w:spacing w:line="360" w:lineRule="auto"/>
        <w:rPr>
          <w:rFonts w:ascii="仿宋_GB2312" w:eastAsia="仿宋_GB2312" w:cs="仿宋_GB2312"/>
          <w:sz w:val="24"/>
          <w:szCs w:val="24"/>
        </w:rPr>
      </w:pPr>
    </w:p>
    <w:p>
      <w:pPr>
        <w:spacing w:line="360" w:lineRule="auto"/>
        <w:rPr>
          <w:rFonts w:ascii="仿宋_GB2312" w:eastAsia="仿宋_GB2312" w:cs="仿宋_GB2312"/>
          <w:sz w:val="24"/>
          <w:szCs w:val="24"/>
        </w:rPr>
      </w:pPr>
    </w:p>
    <w:p>
      <w:pPr>
        <w:spacing w:line="360" w:lineRule="auto"/>
        <w:rPr>
          <w:rFonts w:ascii="仿宋_GB2312" w:eastAsia="仿宋_GB2312" w:cs="仿宋_GB2312"/>
          <w:sz w:val="24"/>
          <w:szCs w:val="24"/>
        </w:rPr>
      </w:pPr>
    </w:p>
    <w:p>
      <w:pPr>
        <w:spacing w:line="360" w:lineRule="auto"/>
        <w:rPr>
          <w:rFonts w:ascii="仿宋_GB2312" w:eastAsia="仿宋_GB2312" w:cs="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5</w:t>
      </w: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bookmarkStart w:id="2" w:name="OLE_LINK14"/>
    </w:p>
    <w:p>
      <w:pPr>
        <w:spacing w:line="360" w:lineRule="auto"/>
        <w:jc w:val="center"/>
        <w:rPr>
          <w:rFonts w:ascii="仿宋_GB2312" w:eastAsia="仿宋_GB2312" w:cs="仿宋_GB2312"/>
          <w:sz w:val="24"/>
          <w:szCs w:val="24"/>
        </w:rPr>
      </w:pPr>
    </w:p>
    <w:p>
      <w:pPr>
        <w:spacing w:line="36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XX药品上市后风险管理计划</w:t>
      </w:r>
    </w:p>
    <w:p>
      <w:pPr>
        <w:spacing w:line="360" w:lineRule="auto"/>
        <w:jc w:val="center"/>
        <w:rPr>
          <w:rFonts w:ascii="仿宋_GB2312" w:eastAsia="仿宋_GB2312" w:cs="仿宋_GB2312"/>
          <w:sz w:val="24"/>
          <w:szCs w:val="24"/>
        </w:rPr>
      </w:pPr>
    </w:p>
    <w:p>
      <w:pPr>
        <w:spacing w:line="360" w:lineRule="auto"/>
        <w:jc w:val="center"/>
        <w:rPr>
          <w:rFonts w:hint="eastAsia" w:ascii="仿宋_GB2312" w:eastAsia="仿宋_GB2312" w:cs="仿宋_GB2312"/>
          <w:sz w:val="32"/>
          <w:szCs w:val="32"/>
        </w:rPr>
      </w:pPr>
      <w:r>
        <w:rPr>
          <w:rFonts w:hint="eastAsia" w:ascii="仿宋_GB2312" w:eastAsia="仿宋_GB2312" w:cs="仿宋_GB2312"/>
          <w:sz w:val="32"/>
          <w:szCs w:val="32"/>
        </w:rPr>
        <w:t>文 件 号：RMPXXXXXXXXXXXX–XXXX-XX</w:t>
      </w: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p>
      <w:pPr>
        <w:spacing w:line="360" w:lineRule="auto"/>
        <w:rPr>
          <w:rFonts w:ascii="仿宋_GB2312" w:eastAsia="仿宋_GB2312" w:cs="仿宋_GB2312"/>
          <w:sz w:val="24"/>
          <w:szCs w:val="24"/>
        </w:rPr>
      </w:pPr>
    </w:p>
    <w:tbl>
      <w:tblPr>
        <w:tblStyle w:val="11"/>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900"/>
        <w:gridCol w:w="190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64" w:type="dxa"/>
            <w:tcBorders>
              <w:top w:val="single" w:color="auto" w:sz="12" w:space="0"/>
              <w:left w:val="single" w:color="auto" w:sz="12" w:space="0"/>
            </w:tcBorders>
            <w:shd w:val="clear" w:color="auto" w:fill="AEAAAA"/>
            <w:vAlign w:val="center"/>
          </w:tcPr>
          <w:p>
            <w:pPr>
              <w:spacing w:line="360" w:lineRule="auto"/>
              <w:jc w:val="center"/>
              <w:rPr>
                <w:rFonts w:ascii="仿宋_GB2312" w:eastAsia="仿宋_GB2312" w:cs="仿宋_GB2312"/>
                <w:sz w:val="32"/>
                <w:szCs w:val="32"/>
              </w:rPr>
            </w:pPr>
          </w:p>
        </w:tc>
        <w:tc>
          <w:tcPr>
            <w:tcW w:w="1900" w:type="dxa"/>
            <w:tcBorders>
              <w:top w:val="single" w:color="auto" w:sz="12" w:space="0"/>
            </w:tcBorders>
            <w:vAlign w:val="center"/>
          </w:tcPr>
          <w:p>
            <w:pPr>
              <w:spacing w:line="360" w:lineRule="auto"/>
              <w:jc w:val="center"/>
              <w:rPr>
                <w:rFonts w:ascii="仿宋_GB2312" w:eastAsia="仿宋_GB2312" w:cs="仿宋_GB2312"/>
                <w:sz w:val="32"/>
                <w:szCs w:val="32"/>
              </w:rPr>
            </w:pPr>
            <w:r>
              <w:rPr>
                <w:rFonts w:hint="eastAsia" w:ascii="仿宋_GB2312" w:eastAsia="仿宋_GB2312" w:cs="仿宋_GB2312"/>
                <w:sz w:val="32"/>
                <w:szCs w:val="32"/>
              </w:rPr>
              <w:t>部门</w:t>
            </w:r>
          </w:p>
        </w:tc>
        <w:tc>
          <w:tcPr>
            <w:tcW w:w="1900" w:type="dxa"/>
            <w:tcBorders>
              <w:top w:val="single" w:color="auto" w:sz="12" w:space="0"/>
            </w:tcBorders>
            <w:vAlign w:val="center"/>
          </w:tcPr>
          <w:p>
            <w:pPr>
              <w:spacing w:line="360" w:lineRule="auto"/>
              <w:jc w:val="center"/>
              <w:rPr>
                <w:rFonts w:ascii="仿宋_GB2312" w:eastAsia="仿宋_GB2312" w:cs="仿宋_GB2312"/>
                <w:sz w:val="32"/>
                <w:szCs w:val="32"/>
              </w:rPr>
            </w:pPr>
            <w:r>
              <w:rPr>
                <w:rFonts w:hint="eastAsia" w:ascii="仿宋_GB2312" w:eastAsia="仿宋_GB2312" w:cs="仿宋_GB2312"/>
                <w:sz w:val="32"/>
                <w:szCs w:val="32"/>
              </w:rPr>
              <w:t>签名</w:t>
            </w:r>
          </w:p>
        </w:tc>
        <w:tc>
          <w:tcPr>
            <w:tcW w:w="2534" w:type="dxa"/>
            <w:tcBorders>
              <w:top w:val="single" w:color="auto" w:sz="12" w:space="0"/>
              <w:right w:val="single" w:color="auto" w:sz="12" w:space="0"/>
            </w:tcBorders>
            <w:vAlign w:val="center"/>
          </w:tcPr>
          <w:p>
            <w:pPr>
              <w:spacing w:line="360" w:lineRule="auto"/>
              <w:jc w:val="center"/>
              <w:rPr>
                <w:rFonts w:ascii="仿宋_GB2312" w:eastAsia="仿宋_GB2312" w:cs="仿宋_GB2312"/>
                <w:sz w:val="32"/>
                <w:szCs w:val="32"/>
              </w:rPr>
            </w:pPr>
            <w:r>
              <w:rPr>
                <w:rFonts w:hint="eastAsia" w:ascii="仿宋_GB2312" w:eastAsia="仿宋_GB2312" w:cs="仿宋_GB2312"/>
                <w:sz w:val="32"/>
                <w:szCs w:val="3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64" w:type="dxa"/>
            <w:tcBorders>
              <w:left w:val="single" w:color="auto" w:sz="12" w:space="0"/>
            </w:tcBorders>
            <w:vAlign w:val="center"/>
          </w:tcPr>
          <w:p>
            <w:pPr>
              <w:spacing w:line="360" w:lineRule="auto"/>
              <w:jc w:val="center"/>
              <w:rPr>
                <w:rFonts w:ascii="仿宋_GB2312" w:eastAsia="仿宋_GB2312" w:cs="仿宋_GB2312"/>
                <w:sz w:val="32"/>
                <w:szCs w:val="32"/>
              </w:rPr>
            </w:pPr>
            <w:r>
              <w:rPr>
                <w:rFonts w:hint="eastAsia" w:ascii="仿宋_GB2312" w:eastAsia="仿宋_GB2312" w:cs="仿宋_GB2312"/>
                <w:sz w:val="32"/>
                <w:szCs w:val="32"/>
              </w:rPr>
              <w:t>起草人</w:t>
            </w:r>
          </w:p>
        </w:tc>
        <w:tc>
          <w:tcPr>
            <w:tcW w:w="1900" w:type="dxa"/>
            <w:vAlign w:val="center"/>
          </w:tcPr>
          <w:p>
            <w:pPr>
              <w:keepNext/>
              <w:tabs>
                <w:tab w:val="left" w:pos="90"/>
              </w:tabs>
              <w:spacing w:line="360" w:lineRule="auto"/>
              <w:jc w:val="center"/>
              <w:outlineLvl w:val="0"/>
              <w:rPr>
                <w:rFonts w:ascii="仿宋_GB2312" w:eastAsia="仿宋_GB2312" w:cs="仿宋_GB2312"/>
                <w:sz w:val="32"/>
                <w:szCs w:val="32"/>
              </w:rPr>
            </w:pPr>
          </w:p>
        </w:tc>
        <w:tc>
          <w:tcPr>
            <w:tcW w:w="1900" w:type="dxa"/>
            <w:vAlign w:val="center"/>
          </w:tcPr>
          <w:p>
            <w:pPr>
              <w:keepNext/>
              <w:tabs>
                <w:tab w:val="left" w:pos="90"/>
              </w:tabs>
              <w:spacing w:line="360" w:lineRule="auto"/>
              <w:jc w:val="center"/>
              <w:outlineLvl w:val="0"/>
              <w:rPr>
                <w:rFonts w:ascii="仿宋_GB2312" w:eastAsia="仿宋_GB2312" w:cs="仿宋_GB2312"/>
                <w:sz w:val="32"/>
                <w:szCs w:val="32"/>
              </w:rPr>
            </w:pPr>
          </w:p>
        </w:tc>
        <w:tc>
          <w:tcPr>
            <w:tcW w:w="2534" w:type="dxa"/>
            <w:tcBorders>
              <w:right w:val="single" w:color="auto" w:sz="12" w:space="0"/>
            </w:tcBorders>
            <w:vAlign w:val="center"/>
          </w:tcPr>
          <w:p>
            <w:pPr>
              <w:spacing w:line="360" w:lineRule="auto"/>
              <w:jc w:val="right"/>
              <w:rPr>
                <w:rFonts w:ascii="仿宋_GB2312" w:eastAsia="仿宋_GB2312" w:cs="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64" w:type="dxa"/>
            <w:tcBorders>
              <w:left w:val="single" w:color="auto" w:sz="12" w:space="0"/>
            </w:tcBorders>
            <w:vAlign w:val="center"/>
          </w:tcPr>
          <w:p>
            <w:pPr>
              <w:spacing w:line="360" w:lineRule="auto"/>
              <w:jc w:val="center"/>
              <w:rPr>
                <w:rFonts w:ascii="仿宋_GB2312" w:eastAsia="仿宋_GB2312" w:cs="仿宋_GB2312"/>
                <w:sz w:val="32"/>
                <w:szCs w:val="32"/>
              </w:rPr>
            </w:pPr>
            <w:r>
              <w:rPr>
                <w:rFonts w:hint="eastAsia" w:ascii="仿宋_GB2312" w:eastAsia="仿宋_GB2312" w:cs="仿宋_GB2312"/>
                <w:sz w:val="32"/>
                <w:szCs w:val="32"/>
              </w:rPr>
              <w:t>审核人</w:t>
            </w:r>
          </w:p>
        </w:tc>
        <w:tc>
          <w:tcPr>
            <w:tcW w:w="1900" w:type="dxa"/>
            <w:vAlign w:val="center"/>
          </w:tcPr>
          <w:p>
            <w:pPr>
              <w:keepNext/>
              <w:tabs>
                <w:tab w:val="left" w:pos="90"/>
              </w:tabs>
              <w:spacing w:line="360" w:lineRule="auto"/>
              <w:jc w:val="center"/>
              <w:outlineLvl w:val="0"/>
              <w:rPr>
                <w:rFonts w:ascii="仿宋_GB2312" w:eastAsia="仿宋_GB2312" w:cs="仿宋_GB2312"/>
                <w:sz w:val="32"/>
                <w:szCs w:val="32"/>
              </w:rPr>
            </w:pPr>
          </w:p>
        </w:tc>
        <w:tc>
          <w:tcPr>
            <w:tcW w:w="1900" w:type="dxa"/>
            <w:vAlign w:val="center"/>
          </w:tcPr>
          <w:p>
            <w:pPr>
              <w:keepNext/>
              <w:tabs>
                <w:tab w:val="left" w:pos="90"/>
              </w:tabs>
              <w:spacing w:line="360" w:lineRule="auto"/>
              <w:jc w:val="center"/>
              <w:outlineLvl w:val="0"/>
              <w:rPr>
                <w:rFonts w:ascii="仿宋_GB2312" w:eastAsia="仿宋_GB2312" w:cs="仿宋_GB2312"/>
                <w:sz w:val="32"/>
                <w:szCs w:val="32"/>
              </w:rPr>
            </w:pPr>
          </w:p>
        </w:tc>
        <w:tc>
          <w:tcPr>
            <w:tcW w:w="2534" w:type="dxa"/>
            <w:tcBorders>
              <w:right w:val="single" w:color="auto" w:sz="12" w:space="0"/>
            </w:tcBorders>
            <w:vAlign w:val="center"/>
          </w:tcPr>
          <w:p>
            <w:pPr>
              <w:spacing w:line="360" w:lineRule="auto"/>
              <w:jc w:val="right"/>
              <w:rPr>
                <w:rFonts w:ascii="仿宋_GB2312" w:eastAsia="仿宋_GB2312" w:cs="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64" w:type="dxa"/>
            <w:tcBorders>
              <w:left w:val="single" w:color="auto" w:sz="12" w:space="0"/>
            </w:tcBorders>
            <w:vAlign w:val="center"/>
          </w:tcPr>
          <w:p>
            <w:pPr>
              <w:spacing w:line="360" w:lineRule="auto"/>
              <w:jc w:val="center"/>
              <w:rPr>
                <w:rFonts w:ascii="仿宋_GB2312" w:eastAsia="仿宋_GB2312" w:cs="仿宋_GB2312"/>
                <w:sz w:val="32"/>
                <w:szCs w:val="32"/>
              </w:rPr>
            </w:pPr>
            <w:r>
              <w:rPr>
                <w:rFonts w:hint="eastAsia" w:ascii="仿宋_GB2312" w:eastAsia="仿宋_GB2312" w:cs="仿宋_GB2312"/>
                <w:sz w:val="32"/>
                <w:szCs w:val="32"/>
              </w:rPr>
              <w:t>审核人</w:t>
            </w:r>
          </w:p>
        </w:tc>
        <w:tc>
          <w:tcPr>
            <w:tcW w:w="1900" w:type="dxa"/>
            <w:vAlign w:val="center"/>
          </w:tcPr>
          <w:p>
            <w:pPr>
              <w:keepNext/>
              <w:tabs>
                <w:tab w:val="left" w:pos="90"/>
              </w:tabs>
              <w:spacing w:line="360" w:lineRule="auto"/>
              <w:jc w:val="center"/>
              <w:outlineLvl w:val="0"/>
              <w:rPr>
                <w:rFonts w:ascii="仿宋_GB2312" w:eastAsia="仿宋_GB2312" w:cs="仿宋_GB2312"/>
                <w:sz w:val="32"/>
                <w:szCs w:val="32"/>
              </w:rPr>
            </w:pPr>
          </w:p>
        </w:tc>
        <w:tc>
          <w:tcPr>
            <w:tcW w:w="1900" w:type="dxa"/>
            <w:vAlign w:val="center"/>
          </w:tcPr>
          <w:p>
            <w:pPr>
              <w:keepNext/>
              <w:tabs>
                <w:tab w:val="left" w:pos="90"/>
              </w:tabs>
              <w:spacing w:line="360" w:lineRule="auto"/>
              <w:jc w:val="center"/>
              <w:outlineLvl w:val="0"/>
              <w:rPr>
                <w:rFonts w:ascii="仿宋_GB2312" w:eastAsia="仿宋_GB2312" w:cs="仿宋_GB2312"/>
                <w:sz w:val="32"/>
                <w:szCs w:val="32"/>
              </w:rPr>
            </w:pPr>
          </w:p>
        </w:tc>
        <w:tc>
          <w:tcPr>
            <w:tcW w:w="2534" w:type="dxa"/>
            <w:tcBorders>
              <w:right w:val="single" w:color="auto" w:sz="12" w:space="0"/>
            </w:tcBorders>
            <w:vAlign w:val="center"/>
          </w:tcPr>
          <w:p>
            <w:pPr>
              <w:spacing w:line="360" w:lineRule="auto"/>
              <w:jc w:val="right"/>
              <w:rPr>
                <w:rFonts w:ascii="仿宋_GB2312" w:eastAsia="仿宋_GB2312" w:cs="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64" w:type="dxa"/>
            <w:tcBorders>
              <w:left w:val="single" w:color="auto" w:sz="12" w:space="0"/>
              <w:bottom w:val="single" w:color="auto" w:sz="12" w:space="0"/>
            </w:tcBorders>
            <w:vAlign w:val="center"/>
          </w:tcPr>
          <w:p>
            <w:pPr>
              <w:spacing w:line="360" w:lineRule="auto"/>
              <w:jc w:val="center"/>
              <w:rPr>
                <w:rFonts w:ascii="仿宋_GB2312" w:eastAsia="仿宋_GB2312" w:cs="仿宋_GB2312"/>
                <w:sz w:val="32"/>
                <w:szCs w:val="32"/>
              </w:rPr>
            </w:pPr>
            <w:r>
              <w:rPr>
                <w:rFonts w:hint="eastAsia" w:ascii="仿宋_GB2312" w:eastAsia="仿宋_GB2312" w:cs="仿宋_GB2312"/>
                <w:sz w:val="32"/>
                <w:szCs w:val="32"/>
              </w:rPr>
              <w:t>批准人</w:t>
            </w:r>
          </w:p>
        </w:tc>
        <w:tc>
          <w:tcPr>
            <w:tcW w:w="1900" w:type="dxa"/>
            <w:tcBorders>
              <w:bottom w:val="single" w:color="auto" w:sz="12" w:space="0"/>
            </w:tcBorders>
            <w:vAlign w:val="center"/>
          </w:tcPr>
          <w:p>
            <w:pPr>
              <w:keepNext/>
              <w:tabs>
                <w:tab w:val="left" w:pos="90"/>
              </w:tabs>
              <w:spacing w:line="360" w:lineRule="auto"/>
              <w:jc w:val="center"/>
              <w:outlineLvl w:val="0"/>
              <w:rPr>
                <w:rFonts w:ascii="仿宋_GB2312" w:eastAsia="仿宋_GB2312" w:cs="仿宋_GB2312"/>
                <w:sz w:val="32"/>
                <w:szCs w:val="32"/>
              </w:rPr>
            </w:pPr>
          </w:p>
        </w:tc>
        <w:tc>
          <w:tcPr>
            <w:tcW w:w="1900" w:type="dxa"/>
            <w:tcBorders>
              <w:bottom w:val="single" w:color="auto" w:sz="12" w:space="0"/>
            </w:tcBorders>
            <w:vAlign w:val="center"/>
          </w:tcPr>
          <w:p>
            <w:pPr>
              <w:keepNext/>
              <w:tabs>
                <w:tab w:val="left" w:pos="90"/>
              </w:tabs>
              <w:spacing w:line="360" w:lineRule="auto"/>
              <w:jc w:val="center"/>
              <w:outlineLvl w:val="0"/>
              <w:rPr>
                <w:rFonts w:ascii="仿宋_GB2312" w:eastAsia="仿宋_GB2312" w:cs="仿宋_GB2312"/>
                <w:sz w:val="32"/>
                <w:szCs w:val="32"/>
              </w:rPr>
            </w:pPr>
          </w:p>
        </w:tc>
        <w:tc>
          <w:tcPr>
            <w:tcW w:w="2534" w:type="dxa"/>
            <w:tcBorders>
              <w:bottom w:val="single" w:color="auto" w:sz="12" w:space="0"/>
              <w:right w:val="single" w:color="auto" w:sz="12" w:space="0"/>
            </w:tcBorders>
            <w:vAlign w:val="center"/>
          </w:tcPr>
          <w:p>
            <w:pPr>
              <w:spacing w:line="360" w:lineRule="auto"/>
              <w:jc w:val="right"/>
              <w:rPr>
                <w:rFonts w:ascii="仿宋_GB2312" w:eastAsia="仿宋_GB2312" w:cs="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tc>
      </w:tr>
    </w:tbl>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p>
      <w:pPr>
        <w:spacing w:line="360" w:lineRule="auto"/>
        <w:jc w:val="center"/>
        <w:rPr>
          <w:rFonts w:ascii="仿宋_GB2312" w:eastAsia="仿宋_GB2312" w:cs="仿宋_GB2312"/>
          <w:sz w:val="24"/>
          <w:szCs w:val="24"/>
        </w:rPr>
      </w:pPr>
    </w:p>
    <w:bookmarkEnd w:id="2"/>
    <w:p>
      <w:pPr>
        <w:jc w:val="left"/>
        <w:rPr>
          <w:rFonts w:ascii="仿宋_GB2312" w:eastAsia="仿宋_GB2312" w:cs="仿宋_GB2312"/>
          <w:sz w:val="24"/>
          <w:szCs w:val="24"/>
        </w:rPr>
      </w:pPr>
      <w:r>
        <w:rPr>
          <w:rFonts w:ascii="仿宋_GB2312" w:eastAsia="仿宋_GB2312" w:cs="仿宋_GB2312"/>
          <w:sz w:val="24"/>
          <w:szCs w:val="24"/>
        </w:rPr>
        <w:br w:type="page"/>
      </w:r>
    </w:p>
    <w:p>
      <w:pPr>
        <w:spacing w:line="360" w:lineRule="auto"/>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t>XX</w:t>
      </w:r>
      <w:r>
        <w:rPr>
          <w:rFonts w:hint="eastAsia" w:ascii="方正小标宋简体" w:hAnsi="方正小标宋简体" w:eastAsia="方正小标宋简体" w:cs="方正小标宋简体"/>
          <w:bCs/>
          <w:sz w:val="36"/>
          <w:szCs w:val="36"/>
        </w:rPr>
        <w:t>药品上市后风险管理计划</w:t>
      </w:r>
    </w:p>
    <w:p>
      <w:pPr>
        <w:pStyle w:val="2"/>
        <w:spacing w:line="360" w:lineRule="auto"/>
        <w:rPr>
          <w:rFonts w:hAnsi="黑体" w:cs="黑体"/>
          <w:b w:val="0"/>
          <w:kern w:val="2"/>
          <w:sz w:val="24"/>
          <w:szCs w:val="24"/>
        </w:rPr>
      </w:pPr>
      <w:bookmarkStart w:id="3" w:name="_Toc55829550"/>
      <w:r>
        <w:rPr>
          <w:rFonts w:hint="eastAsia" w:hAnsi="黑体" w:cs="黑体"/>
          <w:b w:val="0"/>
          <w:kern w:val="2"/>
          <w:sz w:val="24"/>
          <w:szCs w:val="24"/>
        </w:rPr>
        <w:t>一、目的</w:t>
      </w:r>
      <w:bookmarkEnd w:id="3"/>
    </w:p>
    <w:p>
      <w:pPr>
        <w:snapToGrid w:val="0"/>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根据《药品管理法》及公司药品上市后风险管理计划要求，对</w:t>
      </w:r>
      <w:r>
        <w:rPr>
          <w:rFonts w:ascii="仿宋_GB2312" w:eastAsia="仿宋_GB2312" w:cs="仿宋_GB2312"/>
          <w:sz w:val="24"/>
          <w:szCs w:val="24"/>
        </w:rPr>
        <w:t>XX</w:t>
      </w:r>
      <w:r>
        <w:rPr>
          <w:rFonts w:hint="eastAsia" w:ascii="仿宋_GB2312" w:eastAsia="仿宋_GB2312" w:cs="仿宋_GB2312"/>
          <w:sz w:val="24"/>
          <w:szCs w:val="24"/>
        </w:rPr>
        <w:t>药品在上一期风险评价周期</w:t>
      </w:r>
      <w:r>
        <w:rPr>
          <w:rFonts w:hint="eastAsia" w:ascii="仿宋_GB2312" w:eastAsia="仿宋_GB2312" w:cs="仿宋_GB2312"/>
          <w:sz w:val="24"/>
          <w:szCs w:val="24"/>
          <w:lang w:val="en-US" w:eastAsia="zh-CN"/>
        </w:rPr>
        <w:t>结束</w:t>
      </w:r>
      <w:r>
        <w:rPr>
          <w:rFonts w:hint="eastAsia" w:ascii="仿宋_GB2312" w:eastAsia="仿宋_GB2312" w:cs="仿宋_GB2312"/>
          <w:sz w:val="24"/>
          <w:szCs w:val="24"/>
        </w:rPr>
        <w:t>至今的上市情况开展风险管理评估，评价在保障药品“三性”方面存在的风险，并根据风险的高低采取相应的改进预防措施，确保公司已上市的药品安全、有效、质量可控。</w:t>
      </w:r>
    </w:p>
    <w:p>
      <w:pPr>
        <w:pStyle w:val="2"/>
        <w:spacing w:line="360" w:lineRule="auto"/>
        <w:rPr>
          <w:rFonts w:hAnsi="黑体" w:cs="黑体"/>
          <w:b w:val="0"/>
          <w:kern w:val="2"/>
          <w:sz w:val="24"/>
          <w:szCs w:val="24"/>
        </w:rPr>
      </w:pPr>
      <w:bookmarkStart w:id="4" w:name="_Toc55829551"/>
      <w:r>
        <w:rPr>
          <w:rFonts w:hint="eastAsia" w:hAnsi="黑体" w:cs="黑体"/>
          <w:b w:val="0"/>
          <w:kern w:val="2"/>
          <w:sz w:val="24"/>
          <w:szCs w:val="24"/>
        </w:rPr>
        <w:t>二、范围</w:t>
      </w:r>
      <w:bookmarkEnd w:id="4"/>
    </w:p>
    <w:p>
      <w:pPr>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依据《</w:t>
      </w:r>
      <w:r>
        <w:rPr>
          <w:rFonts w:ascii="仿宋_GB2312" w:eastAsia="仿宋_GB2312" w:cs="仿宋_GB2312"/>
          <w:sz w:val="24"/>
          <w:szCs w:val="24"/>
        </w:rPr>
        <w:t>XX</w:t>
      </w:r>
      <w:r>
        <w:rPr>
          <w:rFonts w:hint="eastAsia" w:ascii="仿宋_GB2312" w:eastAsia="仿宋_GB2312" w:cs="仿宋_GB2312"/>
          <w:sz w:val="24"/>
          <w:szCs w:val="24"/>
        </w:rPr>
        <w:t>年度上市后药品风险评估分级表》，该品种为</w:t>
      </w:r>
      <w:r>
        <w:rPr>
          <w:rFonts w:ascii="仿宋_GB2312" w:eastAsia="仿宋_GB2312" w:cs="仿宋_GB2312"/>
          <w:sz w:val="24"/>
          <w:szCs w:val="24"/>
        </w:rPr>
        <w:t>XX</w:t>
      </w:r>
      <w:r>
        <w:rPr>
          <w:rFonts w:hint="eastAsia" w:ascii="仿宋_GB2312" w:eastAsia="仿宋_GB2312" w:cs="仿宋_GB2312"/>
          <w:sz w:val="24"/>
          <w:szCs w:val="24"/>
        </w:rPr>
        <w:t>监控级别，结合《</w:t>
      </w:r>
      <w:r>
        <w:rPr>
          <w:rFonts w:ascii="仿宋_GB2312" w:eastAsia="仿宋_GB2312" w:cs="仿宋_GB2312"/>
          <w:sz w:val="24"/>
          <w:szCs w:val="24"/>
        </w:rPr>
        <w:t>XX</w:t>
      </w:r>
      <w:r>
        <w:rPr>
          <w:rFonts w:hint="eastAsia" w:ascii="仿宋_GB2312" w:eastAsia="仿宋_GB2312" w:cs="仿宋_GB2312"/>
          <w:sz w:val="24"/>
          <w:szCs w:val="24"/>
        </w:rPr>
        <w:t>年度药品上市后风险管理计划实施计划表》，开展上一期风险评价周期至今</w:t>
      </w:r>
      <w:r>
        <w:rPr>
          <w:rFonts w:ascii="仿宋_GB2312" w:eastAsia="仿宋_GB2312" w:cs="仿宋_GB2312"/>
          <w:sz w:val="24"/>
          <w:szCs w:val="24"/>
        </w:rPr>
        <w:t>XX</w:t>
      </w:r>
      <w:r>
        <w:rPr>
          <w:rFonts w:hint="eastAsia" w:ascii="仿宋_GB2312" w:eastAsia="仿宋_GB2312" w:cs="仿宋_GB2312"/>
          <w:sz w:val="24"/>
          <w:szCs w:val="24"/>
        </w:rPr>
        <w:t>药品商业化生产批次在注册环节、生产环节、储存运输环节、临床时使用环节以及监管和行业变化等方面的质量风险管控。</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65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药品名称</w:t>
            </w:r>
          </w:p>
        </w:tc>
        <w:tc>
          <w:tcPr>
            <w:tcW w:w="2655" w:type="dxa"/>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规格</w:t>
            </w:r>
          </w:p>
        </w:tc>
        <w:tc>
          <w:tcPr>
            <w:tcW w:w="3027" w:type="dxa"/>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评价周期内生产批次数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beforeAutospacing="1" w:line="360" w:lineRule="auto"/>
              <w:rPr>
                <w:rFonts w:ascii="仿宋_GB2312" w:eastAsia="仿宋_GB2312" w:cs="仿宋_GB2312"/>
                <w:sz w:val="24"/>
                <w:szCs w:val="24"/>
              </w:rPr>
            </w:pPr>
          </w:p>
        </w:tc>
        <w:tc>
          <w:tcPr>
            <w:tcW w:w="2655" w:type="dxa"/>
          </w:tcPr>
          <w:p>
            <w:pPr>
              <w:spacing w:beforeAutospacing="1" w:line="360" w:lineRule="auto"/>
              <w:rPr>
                <w:rFonts w:ascii="仿宋_GB2312" w:eastAsia="仿宋_GB2312" w:cs="仿宋_GB2312"/>
                <w:sz w:val="24"/>
                <w:szCs w:val="24"/>
              </w:rPr>
            </w:pPr>
          </w:p>
        </w:tc>
        <w:tc>
          <w:tcPr>
            <w:tcW w:w="3027" w:type="dxa"/>
          </w:tcPr>
          <w:p>
            <w:pPr>
              <w:spacing w:beforeAutospacing="1" w:line="360" w:lineRule="auto"/>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beforeAutospacing="1" w:line="360" w:lineRule="auto"/>
              <w:rPr>
                <w:rFonts w:ascii="仿宋_GB2312" w:eastAsia="仿宋_GB2312" w:cs="仿宋_GB2312"/>
                <w:sz w:val="24"/>
                <w:szCs w:val="24"/>
              </w:rPr>
            </w:pPr>
          </w:p>
        </w:tc>
        <w:tc>
          <w:tcPr>
            <w:tcW w:w="2655" w:type="dxa"/>
          </w:tcPr>
          <w:p>
            <w:pPr>
              <w:spacing w:beforeAutospacing="1" w:line="360" w:lineRule="auto"/>
              <w:rPr>
                <w:rFonts w:ascii="仿宋_GB2312" w:eastAsia="仿宋_GB2312" w:cs="仿宋_GB2312"/>
                <w:sz w:val="24"/>
                <w:szCs w:val="24"/>
              </w:rPr>
            </w:pPr>
          </w:p>
        </w:tc>
        <w:tc>
          <w:tcPr>
            <w:tcW w:w="3027" w:type="dxa"/>
          </w:tcPr>
          <w:p>
            <w:pPr>
              <w:spacing w:beforeAutospacing="1" w:line="360" w:lineRule="auto"/>
              <w:rPr>
                <w:rFonts w:ascii="仿宋_GB2312" w:eastAsia="仿宋_GB2312" w:cs="仿宋_GB2312"/>
                <w:sz w:val="24"/>
                <w:szCs w:val="24"/>
              </w:rPr>
            </w:pPr>
          </w:p>
        </w:tc>
      </w:tr>
    </w:tbl>
    <w:p>
      <w:pPr>
        <w:pStyle w:val="2"/>
        <w:spacing w:line="360" w:lineRule="auto"/>
        <w:rPr>
          <w:rFonts w:hAnsi="黑体" w:cs="黑体"/>
          <w:b w:val="0"/>
          <w:kern w:val="2"/>
          <w:sz w:val="24"/>
          <w:szCs w:val="24"/>
        </w:rPr>
      </w:pPr>
      <w:bookmarkStart w:id="5" w:name="_Toc55829552"/>
      <w:r>
        <w:rPr>
          <w:rFonts w:hint="eastAsia" w:hAnsi="黑体" w:cs="黑体"/>
          <w:b w:val="0"/>
          <w:kern w:val="2"/>
          <w:sz w:val="24"/>
          <w:szCs w:val="24"/>
        </w:rPr>
        <w:t>三、小组成员及职责</w:t>
      </w:r>
      <w:bookmarkEnd w:id="5"/>
    </w:p>
    <w:tbl>
      <w:tblPr>
        <w:tblStyle w:val="11"/>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63"/>
        <w:gridCol w:w="1563"/>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8"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序号</w:t>
            </w:r>
          </w:p>
        </w:tc>
        <w:tc>
          <w:tcPr>
            <w:tcW w:w="1563" w:type="dxa"/>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部门</w:t>
            </w:r>
          </w:p>
        </w:tc>
        <w:tc>
          <w:tcPr>
            <w:tcW w:w="1563"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姓名</w:t>
            </w:r>
          </w:p>
        </w:tc>
        <w:tc>
          <w:tcPr>
            <w:tcW w:w="4654"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8" w:type="dxa"/>
            <w:vAlign w:val="center"/>
          </w:tcPr>
          <w:p>
            <w:pPr>
              <w:spacing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1563" w:type="dxa"/>
          </w:tcPr>
          <w:p>
            <w:pPr>
              <w:spacing w:line="360" w:lineRule="auto"/>
              <w:jc w:val="center"/>
              <w:rPr>
                <w:rFonts w:ascii="仿宋_GB2312" w:eastAsia="仿宋_GB2312" w:cs="仿宋_GB2312"/>
                <w:sz w:val="24"/>
                <w:szCs w:val="24"/>
              </w:rPr>
            </w:pPr>
          </w:p>
        </w:tc>
        <w:tc>
          <w:tcPr>
            <w:tcW w:w="1563" w:type="dxa"/>
            <w:vAlign w:val="center"/>
          </w:tcPr>
          <w:p>
            <w:pPr>
              <w:spacing w:line="360" w:lineRule="auto"/>
              <w:jc w:val="center"/>
              <w:rPr>
                <w:rFonts w:ascii="仿宋_GB2312" w:eastAsia="仿宋_GB2312" w:cs="仿宋_GB2312"/>
                <w:sz w:val="24"/>
                <w:szCs w:val="24"/>
              </w:rPr>
            </w:pPr>
          </w:p>
        </w:tc>
        <w:tc>
          <w:tcPr>
            <w:tcW w:w="4654" w:type="dxa"/>
            <w:vAlign w:val="center"/>
          </w:tcPr>
          <w:p>
            <w:pPr>
              <w:spacing w:line="360" w:lineRule="auto"/>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8" w:type="dxa"/>
            <w:vAlign w:val="center"/>
          </w:tcPr>
          <w:p>
            <w:pPr>
              <w:spacing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1563" w:type="dxa"/>
          </w:tcPr>
          <w:p>
            <w:pPr>
              <w:spacing w:line="360" w:lineRule="auto"/>
              <w:jc w:val="center"/>
              <w:rPr>
                <w:rFonts w:ascii="仿宋_GB2312" w:eastAsia="仿宋_GB2312" w:cs="仿宋_GB2312"/>
                <w:sz w:val="24"/>
                <w:szCs w:val="24"/>
              </w:rPr>
            </w:pPr>
          </w:p>
        </w:tc>
        <w:tc>
          <w:tcPr>
            <w:tcW w:w="1563" w:type="dxa"/>
            <w:vAlign w:val="center"/>
          </w:tcPr>
          <w:p>
            <w:pPr>
              <w:spacing w:line="360" w:lineRule="auto"/>
              <w:jc w:val="center"/>
              <w:rPr>
                <w:rFonts w:ascii="仿宋_GB2312" w:eastAsia="仿宋_GB2312" w:cs="仿宋_GB2312"/>
                <w:sz w:val="24"/>
                <w:szCs w:val="24"/>
              </w:rPr>
            </w:pPr>
          </w:p>
        </w:tc>
        <w:tc>
          <w:tcPr>
            <w:tcW w:w="4654" w:type="dxa"/>
            <w:vAlign w:val="center"/>
          </w:tcPr>
          <w:p>
            <w:pPr>
              <w:spacing w:line="360" w:lineRule="auto"/>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8" w:type="dxa"/>
            <w:vAlign w:val="center"/>
          </w:tcPr>
          <w:p>
            <w:pPr>
              <w:spacing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1563" w:type="dxa"/>
          </w:tcPr>
          <w:p>
            <w:pPr>
              <w:spacing w:line="360" w:lineRule="auto"/>
              <w:jc w:val="center"/>
              <w:rPr>
                <w:rFonts w:ascii="仿宋_GB2312" w:eastAsia="仿宋_GB2312" w:cs="仿宋_GB2312"/>
                <w:sz w:val="24"/>
                <w:szCs w:val="24"/>
              </w:rPr>
            </w:pPr>
          </w:p>
        </w:tc>
        <w:tc>
          <w:tcPr>
            <w:tcW w:w="1563" w:type="dxa"/>
            <w:vAlign w:val="center"/>
          </w:tcPr>
          <w:p>
            <w:pPr>
              <w:spacing w:line="360" w:lineRule="auto"/>
              <w:jc w:val="center"/>
              <w:rPr>
                <w:rFonts w:ascii="仿宋_GB2312" w:eastAsia="仿宋_GB2312" w:cs="仿宋_GB2312"/>
                <w:sz w:val="24"/>
                <w:szCs w:val="24"/>
              </w:rPr>
            </w:pPr>
          </w:p>
        </w:tc>
        <w:tc>
          <w:tcPr>
            <w:tcW w:w="4654" w:type="dxa"/>
            <w:vAlign w:val="center"/>
          </w:tcPr>
          <w:p>
            <w:pPr>
              <w:spacing w:line="360" w:lineRule="auto"/>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8" w:type="dxa"/>
            <w:vAlign w:val="center"/>
          </w:tcPr>
          <w:p>
            <w:pPr>
              <w:spacing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1563" w:type="dxa"/>
          </w:tcPr>
          <w:p>
            <w:pPr>
              <w:spacing w:line="360" w:lineRule="auto"/>
              <w:jc w:val="center"/>
              <w:rPr>
                <w:rFonts w:ascii="仿宋_GB2312" w:eastAsia="仿宋_GB2312" w:cs="仿宋_GB2312"/>
                <w:sz w:val="24"/>
                <w:szCs w:val="24"/>
              </w:rPr>
            </w:pPr>
          </w:p>
        </w:tc>
        <w:tc>
          <w:tcPr>
            <w:tcW w:w="1563" w:type="dxa"/>
            <w:vAlign w:val="center"/>
          </w:tcPr>
          <w:p>
            <w:pPr>
              <w:spacing w:line="360" w:lineRule="auto"/>
              <w:jc w:val="center"/>
              <w:rPr>
                <w:rFonts w:ascii="仿宋_GB2312" w:eastAsia="仿宋_GB2312" w:cs="仿宋_GB2312"/>
                <w:sz w:val="24"/>
                <w:szCs w:val="24"/>
              </w:rPr>
            </w:pPr>
          </w:p>
        </w:tc>
        <w:tc>
          <w:tcPr>
            <w:tcW w:w="4654" w:type="dxa"/>
            <w:vAlign w:val="center"/>
          </w:tcPr>
          <w:p>
            <w:pPr>
              <w:spacing w:line="360" w:lineRule="auto"/>
              <w:rPr>
                <w:rFonts w:ascii="仿宋_GB2312" w:eastAsia="仿宋_GB2312" w:cs="仿宋_GB2312"/>
                <w:sz w:val="24"/>
                <w:szCs w:val="24"/>
              </w:rPr>
            </w:pPr>
          </w:p>
        </w:tc>
      </w:tr>
    </w:tbl>
    <w:p>
      <w:pPr>
        <w:pStyle w:val="2"/>
        <w:spacing w:line="360" w:lineRule="auto"/>
        <w:rPr>
          <w:rFonts w:hAnsi="黑体" w:cs="黑体"/>
          <w:b w:val="0"/>
          <w:kern w:val="2"/>
          <w:sz w:val="24"/>
          <w:szCs w:val="24"/>
        </w:rPr>
      </w:pPr>
      <w:bookmarkStart w:id="6" w:name="_Toc55829555"/>
      <w:r>
        <w:rPr>
          <w:rFonts w:hint="eastAsia" w:hAnsi="黑体" w:cs="黑体"/>
          <w:b w:val="0"/>
          <w:kern w:val="2"/>
          <w:sz w:val="24"/>
          <w:szCs w:val="24"/>
          <w:lang w:val="en-US" w:eastAsia="zh-CN"/>
        </w:rPr>
        <w:t>四</w:t>
      </w:r>
      <w:r>
        <w:rPr>
          <w:rFonts w:hint="eastAsia" w:hAnsi="黑体" w:cs="黑体"/>
          <w:b w:val="0"/>
          <w:kern w:val="2"/>
          <w:sz w:val="24"/>
          <w:szCs w:val="24"/>
        </w:rPr>
        <w:t>、风险因素及评估水平</w:t>
      </w:r>
      <w:bookmarkEnd w:id="6"/>
    </w:p>
    <w:p>
      <w:pPr>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从以下五个方面分别定义，最终综合评级采用最高者，其中一个维度确定为高风险，即定义为高风险。</w:t>
      </w:r>
    </w:p>
    <w:p>
      <w:pPr>
        <w:spacing w:line="360" w:lineRule="auto"/>
        <w:ind w:firstLine="240" w:firstLineChars="100"/>
        <w:jc w:val="left"/>
        <w:rPr>
          <w:rFonts w:ascii="仿宋_GB2312" w:eastAsia="仿宋_GB2312" w:cs="仿宋_GB2312"/>
          <w:sz w:val="24"/>
          <w:szCs w:val="24"/>
        </w:rPr>
      </w:pPr>
      <w:r>
        <w:rPr>
          <w:rFonts w:hint="eastAsia" w:ascii="楷体_GB2312" w:hAnsi="楷体_GB2312" w:eastAsia="楷体_GB2312" w:cs="楷体_GB2312"/>
          <w:sz w:val="24"/>
          <w:szCs w:val="24"/>
        </w:rPr>
        <w:t>（一）与注册相关问题的研究进展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4"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等级</w:t>
            </w:r>
          </w:p>
        </w:tc>
        <w:tc>
          <w:tcPr>
            <w:tcW w:w="7158"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4"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高</w:t>
            </w:r>
          </w:p>
        </w:tc>
        <w:tc>
          <w:tcPr>
            <w:tcW w:w="7158"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逾期未按照要求完成研究或者不能证明其获益大于风险的。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4"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中</w:t>
            </w:r>
          </w:p>
        </w:tc>
        <w:tc>
          <w:tcPr>
            <w:tcW w:w="7158"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研究工作还在既定的要求下持续进行中。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4"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低</w:t>
            </w:r>
          </w:p>
        </w:tc>
        <w:tc>
          <w:tcPr>
            <w:tcW w:w="7158"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按照要求完成研究并证明药品安全、有效、质量可控。</w:t>
            </w:r>
          </w:p>
        </w:tc>
      </w:tr>
    </w:tbl>
    <w:p>
      <w:pPr>
        <w:spacing w:line="360" w:lineRule="auto"/>
        <w:ind w:firstLine="240" w:firstLineChars="10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（二）产品年度质量回顾分析结果</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等级</w:t>
            </w:r>
          </w:p>
        </w:tc>
        <w:tc>
          <w:tcPr>
            <w:tcW w:w="750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高</w:t>
            </w:r>
          </w:p>
        </w:tc>
        <w:tc>
          <w:tcPr>
            <w:tcW w:w="7506" w:type="dxa"/>
          </w:tcPr>
          <w:p>
            <w:pPr>
              <w:spacing w:line="360" w:lineRule="auto"/>
              <w:rPr>
                <w:rFonts w:ascii="仿宋_GB2312" w:eastAsia="仿宋_GB2312" w:cs="仿宋_GB2312"/>
                <w:sz w:val="24"/>
                <w:szCs w:val="24"/>
              </w:rPr>
            </w:pPr>
            <w:r>
              <w:rPr>
                <w:rFonts w:hint="eastAsia" w:ascii="仿宋_GB2312" w:eastAsia="仿宋_GB2312" w:cs="仿宋_GB2312"/>
                <w:sz w:val="24"/>
                <w:szCs w:val="24"/>
              </w:rPr>
              <w:t>审核评价结论为工艺不受控，质量趋势不稳定，为高风险。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中</w:t>
            </w:r>
          </w:p>
        </w:tc>
        <w:tc>
          <w:tcPr>
            <w:tcW w:w="7506" w:type="dxa"/>
          </w:tcPr>
          <w:p>
            <w:pPr>
              <w:spacing w:line="360" w:lineRule="auto"/>
              <w:rPr>
                <w:rFonts w:ascii="仿宋_GB2312" w:eastAsia="仿宋_GB2312" w:cs="仿宋_GB2312"/>
                <w:sz w:val="24"/>
                <w:szCs w:val="24"/>
              </w:rPr>
            </w:pPr>
            <w:r>
              <w:rPr>
                <w:rFonts w:hint="eastAsia" w:ascii="仿宋_GB2312" w:eastAsia="仿宋_GB2312" w:cs="仿宋_GB2312"/>
                <w:sz w:val="24"/>
                <w:szCs w:val="24"/>
              </w:rPr>
              <w:t>审核评价结论为工艺基本受控质量趋势基本稳定，工艺可以改进的为中风险。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低</w:t>
            </w:r>
          </w:p>
        </w:tc>
        <w:tc>
          <w:tcPr>
            <w:tcW w:w="7506"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审核评价结论为工艺受控，质量趋势稳定，工艺不需要改进的为低风险。</w:t>
            </w:r>
          </w:p>
        </w:tc>
      </w:tr>
    </w:tbl>
    <w:p>
      <w:pPr>
        <w:spacing w:line="360" w:lineRule="auto"/>
        <w:ind w:firstLine="240" w:firstLineChars="10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（三）储存运输及追溯体系评价结果</w:t>
      </w:r>
    </w:p>
    <w:tbl>
      <w:tblPr>
        <w:tblStyle w:val="11"/>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等级</w:t>
            </w:r>
          </w:p>
        </w:tc>
        <w:tc>
          <w:tcPr>
            <w:tcW w:w="7862"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高</w:t>
            </w:r>
          </w:p>
        </w:tc>
        <w:tc>
          <w:tcPr>
            <w:tcW w:w="786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药品储存运输及追溯体系存在不可控的风险隐患，其风险严重影响上市的药品质量。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中</w:t>
            </w:r>
          </w:p>
        </w:tc>
        <w:tc>
          <w:tcPr>
            <w:tcW w:w="786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药品储存运输及追溯体系存在一定的风险隐患，其风险可能影响上市的药品质量。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6"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低</w:t>
            </w:r>
          </w:p>
        </w:tc>
        <w:tc>
          <w:tcPr>
            <w:tcW w:w="786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药品储存运输及追溯体系完善，对上市的药品质量无影响。</w:t>
            </w:r>
          </w:p>
        </w:tc>
      </w:tr>
    </w:tbl>
    <w:p>
      <w:pPr>
        <w:spacing w:line="360" w:lineRule="auto"/>
        <w:ind w:firstLine="240" w:firstLineChars="10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（四）药物警戒活动评价结果</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等级</w:t>
            </w:r>
          </w:p>
        </w:tc>
        <w:tc>
          <w:tcPr>
            <w:tcW w:w="7472"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高</w:t>
            </w:r>
          </w:p>
        </w:tc>
        <w:tc>
          <w:tcPr>
            <w:tcW w:w="747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总结评价为已确认的、潜在的重大风险或重要缺失信息，未采取有效措施，且风险获益比需要重新评估的品种，定义为高风险。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中</w:t>
            </w:r>
          </w:p>
        </w:tc>
        <w:tc>
          <w:tcPr>
            <w:tcW w:w="747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总结评价为已确认的、潜在的重大风险或重要缺失信息，采取了一定的措施，且经评估获益大于风险的品种，定义为中风险。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50"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低</w:t>
            </w:r>
          </w:p>
        </w:tc>
        <w:tc>
          <w:tcPr>
            <w:tcW w:w="747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总结评价为未发现已确认的、潜在的重大风险或重要缺失信息的品种，定义为低风险。</w:t>
            </w:r>
          </w:p>
        </w:tc>
      </w:tr>
    </w:tbl>
    <w:p>
      <w:pPr>
        <w:spacing w:line="360" w:lineRule="auto"/>
        <w:ind w:firstLine="240" w:firstLineChars="10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（五）监管和行业变化对上市后药品质量影响评价</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等级</w:t>
            </w:r>
          </w:p>
        </w:tc>
        <w:tc>
          <w:tcPr>
            <w:tcW w:w="7607"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高</w:t>
            </w:r>
          </w:p>
        </w:tc>
        <w:tc>
          <w:tcPr>
            <w:tcW w:w="7607"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监管和行业变化，如新法规</w:t>
            </w:r>
            <w:r>
              <w:rPr>
                <w:rFonts w:ascii="仿宋_GB2312" w:eastAsia="仿宋_GB2312" w:cs="仿宋_GB2312"/>
                <w:sz w:val="24"/>
                <w:szCs w:val="24"/>
              </w:rPr>
              <w:t>/</w:t>
            </w:r>
            <w:r>
              <w:rPr>
                <w:rFonts w:hint="eastAsia" w:ascii="仿宋_GB2312" w:eastAsia="仿宋_GB2312" w:cs="仿宋_GB2312"/>
                <w:sz w:val="24"/>
                <w:szCs w:val="24"/>
              </w:rPr>
              <w:t>新标准</w:t>
            </w:r>
            <w:r>
              <w:rPr>
                <w:rFonts w:ascii="仿宋_GB2312" w:eastAsia="仿宋_GB2312" w:cs="仿宋_GB2312"/>
                <w:sz w:val="24"/>
                <w:szCs w:val="24"/>
              </w:rPr>
              <w:t>/</w:t>
            </w:r>
            <w:r>
              <w:rPr>
                <w:rFonts w:hint="eastAsia" w:ascii="仿宋_GB2312" w:eastAsia="仿宋_GB2312" w:cs="仿宋_GB2312"/>
                <w:sz w:val="24"/>
                <w:szCs w:val="24"/>
              </w:rPr>
              <w:t>新技术引入，监管部门反馈的监督检查信息、抽检信息等。企业未开展相应的研究或经研究评估后确认药品质量不可控。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中</w:t>
            </w:r>
          </w:p>
        </w:tc>
        <w:tc>
          <w:tcPr>
            <w:tcW w:w="7607"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监管和行业变化，如新法规</w:t>
            </w:r>
            <w:r>
              <w:rPr>
                <w:rFonts w:ascii="仿宋_GB2312" w:eastAsia="仿宋_GB2312" w:cs="仿宋_GB2312"/>
                <w:sz w:val="24"/>
                <w:szCs w:val="24"/>
              </w:rPr>
              <w:t>/</w:t>
            </w:r>
            <w:r>
              <w:rPr>
                <w:rFonts w:hint="eastAsia" w:ascii="仿宋_GB2312" w:eastAsia="仿宋_GB2312" w:cs="仿宋_GB2312"/>
                <w:sz w:val="24"/>
                <w:szCs w:val="24"/>
              </w:rPr>
              <w:t>新标准</w:t>
            </w:r>
            <w:r>
              <w:rPr>
                <w:rFonts w:ascii="仿宋_GB2312" w:eastAsia="仿宋_GB2312" w:cs="仿宋_GB2312"/>
                <w:sz w:val="24"/>
                <w:szCs w:val="24"/>
              </w:rPr>
              <w:t>/</w:t>
            </w:r>
            <w:r>
              <w:rPr>
                <w:rFonts w:hint="eastAsia" w:ascii="仿宋_GB2312" w:eastAsia="仿宋_GB2312" w:cs="仿宋_GB2312"/>
                <w:sz w:val="24"/>
                <w:szCs w:val="24"/>
              </w:rPr>
              <w:t>新技术引入，监管部门反馈的监督检查信息、抽检信息等。初步研究评估存在潜在的风险，药品质量可能受影响。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低</w:t>
            </w:r>
          </w:p>
        </w:tc>
        <w:tc>
          <w:tcPr>
            <w:tcW w:w="7607"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监管和行业变化，如新法规</w:t>
            </w:r>
            <w:r>
              <w:rPr>
                <w:rFonts w:ascii="仿宋_GB2312" w:eastAsia="仿宋_GB2312" w:cs="仿宋_GB2312"/>
                <w:sz w:val="24"/>
                <w:szCs w:val="24"/>
              </w:rPr>
              <w:t>/</w:t>
            </w:r>
            <w:r>
              <w:rPr>
                <w:rFonts w:hint="eastAsia" w:ascii="仿宋_GB2312" w:eastAsia="仿宋_GB2312" w:cs="仿宋_GB2312"/>
                <w:sz w:val="24"/>
                <w:szCs w:val="24"/>
              </w:rPr>
              <w:t>新标准</w:t>
            </w:r>
            <w:r>
              <w:rPr>
                <w:rFonts w:ascii="仿宋_GB2312" w:eastAsia="仿宋_GB2312" w:cs="仿宋_GB2312"/>
                <w:sz w:val="24"/>
                <w:szCs w:val="24"/>
              </w:rPr>
              <w:t>/</w:t>
            </w:r>
            <w:r>
              <w:rPr>
                <w:rFonts w:hint="eastAsia" w:ascii="仿宋_GB2312" w:eastAsia="仿宋_GB2312" w:cs="仿宋_GB2312"/>
                <w:sz w:val="24"/>
                <w:szCs w:val="24"/>
              </w:rPr>
              <w:t>新技术引入，监管部门反馈的监督检查信息、抽检信息等。开展了充分的研究或评估确认药品质量可控。</w:t>
            </w:r>
          </w:p>
        </w:tc>
      </w:tr>
    </w:tbl>
    <w:p>
      <w:pPr>
        <w:spacing w:line="360" w:lineRule="auto"/>
        <w:ind w:firstLine="480" w:firstLineChars="200"/>
        <w:rPr>
          <w:rFonts w:hint="eastAsia" w:hAnsi="黑体" w:cs="黑体"/>
          <w:b w:val="0"/>
          <w:kern w:val="2"/>
          <w:sz w:val="24"/>
          <w:szCs w:val="24"/>
          <w:highlight w:val="yellow"/>
        </w:rPr>
      </w:pPr>
      <w:bookmarkStart w:id="7" w:name="_Toc55829556"/>
      <w:r>
        <w:rPr>
          <w:rFonts w:hint="eastAsia" w:ascii="仿宋_GB2312" w:eastAsia="仿宋_GB2312" w:cs="仿宋_GB2312"/>
          <w:sz w:val="24"/>
          <w:szCs w:val="24"/>
          <w:highlight w:val="none"/>
        </w:rPr>
        <w:t>说明：该附件是基于风险严重性优先排序的风险评估工具所做的风险评估报告实例，企业可根据自身情况选择适当的风险评估工具开展风险管理。</w:t>
      </w:r>
    </w:p>
    <w:p>
      <w:pPr>
        <w:pStyle w:val="2"/>
        <w:spacing w:line="360" w:lineRule="auto"/>
        <w:rPr>
          <w:rFonts w:hAnsi="黑体" w:cs="黑体"/>
          <w:b w:val="0"/>
          <w:kern w:val="2"/>
          <w:sz w:val="24"/>
          <w:szCs w:val="24"/>
        </w:rPr>
      </w:pPr>
      <w:r>
        <w:rPr>
          <w:rFonts w:hint="eastAsia" w:hAnsi="黑体" w:cs="黑体"/>
          <w:b w:val="0"/>
          <w:kern w:val="2"/>
          <w:sz w:val="24"/>
          <w:szCs w:val="24"/>
        </w:rPr>
        <w:t>五、风险等级划分（可接受标准）</w:t>
      </w:r>
      <w:bookmarkEnd w:id="7"/>
    </w:p>
    <w:p>
      <w:pPr>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highlight w:val="none"/>
        </w:rPr>
        <w:t>因以上五个评价维度中任何一个维度都对药品的安全性、有效性、质量可控性有直接影响，故选取任何一个维度出现高风险即定义为高风险。五个维度均为低风险才可定义为低风险，其余为中风险。</w:t>
      </w:r>
    </w:p>
    <w:tbl>
      <w:tblPr>
        <w:tblStyle w:val="11"/>
        <w:tblW w:w="8587"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风险等级</w:t>
            </w:r>
          </w:p>
        </w:tc>
        <w:tc>
          <w:tcPr>
            <w:tcW w:w="7122"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可接受标准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高</w:t>
            </w:r>
          </w:p>
        </w:tc>
        <w:tc>
          <w:tcPr>
            <w:tcW w:w="712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高风险为不可接受风险，必须采取措施，降低为中等风险或低风险，并采取</w:t>
            </w:r>
            <w:r>
              <w:rPr>
                <w:rFonts w:hint="eastAsia" w:ascii="仿宋_GB2312" w:eastAsia="仿宋_GB2312" w:cs="仿宋_GB2312"/>
                <w:sz w:val="24"/>
                <w:szCs w:val="24"/>
                <w:lang w:eastAsia="zh-CN"/>
              </w:rPr>
              <w:t>主要监控</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中</w:t>
            </w:r>
          </w:p>
        </w:tc>
        <w:tc>
          <w:tcPr>
            <w:tcW w:w="712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中等风险为可接受风险，建议采取措施降低风险，并进行</w:t>
            </w:r>
            <w:r>
              <w:rPr>
                <w:rFonts w:hint="eastAsia" w:ascii="仿宋_GB2312" w:eastAsia="仿宋_GB2312" w:cs="仿宋_GB2312"/>
                <w:sz w:val="24"/>
                <w:szCs w:val="24"/>
                <w:lang w:eastAsia="zh-CN"/>
              </w:rPr>
              <w:t>次要监控</w:t>
            </w:r>
            <w:r>
              <w:rPr>
                <w:rFonts w:hint="eastAsia" w:asci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65" w:type="dxa"/>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低</w:t>
            </w:r>
          </w:p>
        </w:tc>
        <w:tc>
          <w:tcPr>
            <w:tcW w:w="7122" w:type="dxa"/>
            <w:vAlign w:val="center"/>
          </w:tcPr>
          <w:p>
            <w:pPr>
              <w:spacing w:line="360" w:lineRule="auto"/>
              <w:rPr>
                <w:rFonts w:ascii="仿宋_GB2312" w:eastAsia="仿宋_GB2312" w:cs="仿宋_GB2312"/>
                <w:sz w:val="24"/>
                <w:szCs w:val="24"/>
              </w:rPr>
            </w:pPr>
            <w:r>
              <w:rPr>
                <w:rFonts w:hint="eastAsia" w:ascii="仿宋_GB2312" w:eastAsia="仿宋_GB2312" w:cs="仿宋_GB2312"/>
                <w:sz w:val="24"/>
                <w:szCs w:val="24"/>
              </w:rPr>
              <w:t>低风险为可接受风险，不需要采取任何的措施，</w:t>
            </w:r>
            <w:r>
              <w:rPr>
                <w:rFonts w:hint="eastAsia" w:ascii="仿宋_GB2312" w:eastAsia="仿宋_GB2312" w:cs="仿宋_GB2312"/>
                <w:sz w:val="24"/>
                <w:szCs w:val="24"/>
                <w:lang w:eastAsia="zh-CN"/>
              </w:rPr>
              <w:t>一般监控</w:t>
            </w:r>
            <w:r>
              <w:rPr>
                <w:rFonts w:hint="eastAsia" w:ascii="仿宋_GB2312" w:eastAsia="仿宋_GB2312" w:cs="仿宋_GB2312"/>
                <w:sz w:val="24"/>
                <w:szCs w:val="24"/>
              </w:rPr>
              <w:t>即可。</w:t>
            </w:r>
          </w:p>
        </w:tc>
      </w:tr>
    </w:tbl>
    <w:p>
      <w:pPr>
        <w:pStyle w:val="2"/>
        <w:spacing w:line="360" w:lineRule="auto"/>
        <w:rPr>
          <w:rFonts w:hAnsi="黑体" w:cs="黑体"/>
          <w:b w:val="0"/>
          <w:kern w:val="2"/>
          <w:sz w:val="24"/>
          <w:szCs w:val="24"/>
        </w:rPr>
      </w:pPr>
      <w:bookmarkStart w:id="8" w:name="_Toc55829557"/>
      <w:r>
        <w:rPr>
          <w:rFonts w:hint="eastAsia" w:hAnsi="黑体" w:cs="黑体"/>
          <w:b w:val="0"/>
          <w:kern w:val="2"/>
          <w:sz w:val="24"/>
          <w:szCs w:val="24"/>
          <w:lang w:val="en-US" w:eastAsia="zh-CN"/>
        </w:rPr>
        <w:t>六</w:t>
      </w:r>
      <w:r>
        <w:rPr>
          <w:rFonts w:hint="eastAsia" w:hAnsi="黑体" w:cs="黑体"/>
          <w:b w:val="0"/>
          <w:kern w:val="2"/>
          <w:sz w:val="24"/>
          <w:szCs w:val="24"/>
        </w:rPr>
        <w:t>、风险评估</w:t>
      </w:r>
      <w:bookmarkEnd w:id="8"/>
      <w:r>
        <w:rPr>
          <w:rFonts w:hint="eastAsia" w:hAnsi="黑体" w:cs="黑体"/>
          <w:b w:val="0"/>
          <w:kern w:val="2"/>
          <w:sz w:val="24"/>
          <w:szCs w:val="24"/>
        </w:rPr>
        <w:t>结果输出</w:t>
      </w:r>
    </w:p>
    <w:p>
      <w:pPr>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通过对各环节收集的数据信息进行风险识别，对识别的风险项进行</w:t>
      </w:r>
      <w:r>
        <w:rPr>
          <w:rFonts w:hint="eastAsia" w:ascii="仿宋_GB2312" w:eastAsia="仿宋_GB2312" w:cs="仿宋_GB2312"/>
          <w:sz w:val="24"/>
          <w:szCs w:val="24"/>
          <w:lang w:val="en-US" w:eastAsia="zh-CN"/>
        </w:rPr>
        <w:t>风险</w:t>
      </w:r>
      <w:r>
        <w:rPr>
          <w:rFonts w:hint="eastAsia" w:ascii="仿宋_GB2312" w:eastAsia="仿宋_GB2312" w:cs="仿宋_GB2312"/>
          <w:sz w:val="24"/>
          <w:szCs w:val="24"/>
        </w:rPr>
        <w:t>分析和风险评估，形成</w:t>
      </w:r>
      <w:r>
        <w:rPr>
          <w:rFonts w:ascii="仿宋_GB2312" w:eastAsia="仿宋_GB2312" w:cs="仿宋_GB2312"/>
          <w:sz w:val="24"/>
          <w:szCs w:val="24"/>
        </w:rPr>
        <w:t>XXX</w:t>
      </w:r>
      <w:r>
        <w:rPr>
          <w:rFonts w:hint="eastAsia" w:ascii="仿宋_GB2312" w:eastAsia="仿宋_GB2312" w:cs="仿宋_GB2312"/>
          <w:sz w:val="24"/>
          <w:szCs w:val="24"/>
        </w:rPr>
        <w:t>药品风险综合评估结果，见下表。</w:t>
      </w:r>
    </w:p>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1   XX</w:t>
      </w:r>
      <w:r>
        <w:rPr>
          <w:rFonts w:hint="eastAsia" w:ascii="仿宋_GB2312" w:eastAsia="仿宋_GB2312" w:cs="仿宋_GB2312"/>
          <w:sz w:val="24"/>
          <w:szCs w:val="24"/>
        </w:rPr>
        <w:t>上市后药品风险识别和风险评估</w:t>
      </w:r>
    </w:p>
    <w:tbl>
      <w:tblPr>
        <w:tblStyle w:val="11"/>
        <w:tblW w:w="840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358"/>
        <w:gridCol w:w="263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6" w:type="dxa"/>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序号</w:t>
            </w:r>
          </w:p>
        </w:tc>
        <w:tc>
          <w:tcPr>
            <w:tcW w:w="3358" w:type="dxa"/>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风险评价项目</w:t>
            </w:r>
          </w:p>
        </w:tc>
        <w:tc>
          <w:tcPr>
            <w:tcW w:w="2630" w:type="dxa"/>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已识别的风险项</w:t>
            </w:r>
          </w:p>
        </w:tc>
        <w:tc>
          <w:tcPr>
            <w:tcW w:w="1549" w:type="dxa"/>
          </w:tcPr>
          <w:p>
            <w:pPr>
              <w:spacing w:beforeAutospacing="1" w:line="360" w:lineRule="auto"/>
              <w:jc w:val="center"/>
              <w:rPr>
                <w:rFonts w:ascii="仿宋_GB2312" w:eastAsia="仿宋_GB2312" w:cs="仿宋_GB2312"/>
                <w:sz w:val="24"/>
                <w:szCs w:val="24"/>
              </w:rPr>
            </w:pPr>
            <w:r>
              <w:rPr>
                <w:rFonts w:hint="eastAsia" w:ascii="仿宋_GB2312" w:eastAsia="仿宋_GB2312" w:cs="仿宋_GB2312"/>
                <w:sz w:val="24"/>
                <w:szCs w:val="24"/>
              </w:rPr>
              <w:t>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6" w:type="dxa"/>
          </w:tcPr>
          <w:p>
            <w:pPr>
              <w:spacing w:beforeAutospacing="1" w:line="360" w:lineRule="auto"/>
              <w:jc w:val="center"/>
              <w:rPr>
                <w:rFonts w:ascii="仿宋_GB2312" w:eastAsia="仿宋_GB2312" w:cs="仿宋_GB2312"/>
                <w:sz w:val="24"/>
                <w:szCs w:val="24"/>
              </w:rPr>
            </w:pPr>
            <w:r>
              <w:rPr>
                <w:rFonts w:ascii="仿宋_GB2312" w:eastAsia="仿宋_GB2312" w:cs="仿宋_GB2312"/>
                <w:sz w:val="24"/>
                <w:szCs w:val="24"/>
              </w:rPr>
              <w:t>1</w:t>
            </w:r>
          </w:p>
        </w:tc>
        <w:tc>
          <w:tcPr>
            <w:tcW w:w="3358" w:type="dxa"/>
          </w:tcPr>
          <w:p>
            <w:pPr>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与注册相关问题的研究进展</w:t>
            </w:r>
          </w:p>
        </w:tc>
        <w:tc>
          <w:tcPr>
            <w:tcW w:w="2630" w:type="dxa"/>
          </w:tcPr>
          <w:p>
            <w:pPr>
              <w:spacing w:beforeAutospacing="1" w:line="360" w:lineRule="auto"/>
              <w:rPr>
                <w:rFonts w:ascii="仿宋_GB2312" w:eastAsia="仿宋_GB2312" w:cs="仿宋_GB2312"/>
                <w:sz w:val="24"/>
                <w:szCs w:val="24"/>
              </w:rPr>
            </w:pPr>
          </w:p>
        </w:tc>
        <w:tc>
          <w:tcPr>
            <w:tcW w:w="1549" w:type="dxa"/>
          </w:tcPr>
          <w:p>
            <w:pPr>
              <w:spacing w:beforeAutospacing="1" w:line="360" w:lineRule="auto"/>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6" w:type="dxa"/>
          </w:tcPr>
          <w:p>
            <w:pPr>
              <w:spacing w:beforeAutospacing="1" w:line="360" w:lineRule="auto"/>
              <w:jc w:val="center"/>
              <w:rPr>
                <w:rFonts w:ascii="仿宋_GB2312" w:eastAsia="仿宋_GB2312" w:cs="仿宋_GB2312"/>
                <w:sz w:val="24"/>
                <w:szCs w:val="24"/>
              </w:rPr>
            </w:pPr>
            <w:r>
              <w:rPr>
                <w:rFonts w:ascii="仿宋_GB2312" w:eastAsia="仿宋_GB2312" w:cs="仿宋_GB2312"/>
                <w:sz w:val="24"/>
                <w:szCs w:val="24"/>
              </w:rPr>
              <w:t>2</w:t>
            </w:r>
          </w:p>
        </w:tc>
        <w:tc>
          <w:tcPr>
            <w:tcW w:w="3358" w:type="dxa"/>
          </w:tcPr>
          <w:p>
            <w:pPr>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产品年度质量回顾分析的结果</w:t>
            </w:r>
          </w:p>
        </w:tc>
        <w:tc>
          <w:tcPr>
            <w:tcW w:w="2630" w:type="dxa"/>
          </w:tcPr>
          <w:p>
            <w:pPr>
              <w:spacing w:beforeAutospacing="1" w:line="360" w:lineRule="auto"/>
              <w:rPr>
                <w:rFonts w:ascii="仿宋_GB2312" w:eastAsia="仿宋_GB2312" w:cs="仿宋_GB2312"/>
                <w:sz w:val="24"/>
                <w:szCs w:val="24"/>
              </w:rPr>
            </w:pPr>
          </w:p>
        </w:tc>
        <w:tc>
          <w:tcPr>
            <w:tcW w:w="1549" w:type="dxa"/>
          </w:tcPr>
          <w:p>
            <w:pPr>
              <w:spacing w:beforeAutospacing="1" w:line="360" w:lineRule="auto"/>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6" w:type="dxa"/>
          </w:tcPr>
          <w:p>
            <w:pPr>
              <w:spacing w:beforeAutospacing="1" w:line="360" w:lineRule="auto"/>
              <w:jc w:val="center"/>
              <w:rPr>
                <w:rFonts w:ascii="仿宋_GB2312" w:eastAsia="仿宋_GB2312" w:cs="仿宋_GB2312"/>
                <w:sz w:val="24"/>
                <w:szCs w:val="24"/>
              </w:rPr>
            </w:pPr>
            <w:r>
              <w:rPr>
                <w:rFonts w:ascii="仿宋_GB2312" w:eastAsia="仿宋_GB2312" w:cs="仿宋_GB2312"/>
                <w:sz w:val="24"/>
                <w:szCs w:val="24"/>
              </w:rPr>
              <w:t>3</w:t>
            </w:r>
          </w:p>
        </w:tc>
        <w:tc>
          <w:tcPr>
            <w:tcW w:w="3358" w:type="dxa"/>
          </w:tcPr>
          <w:p>
            <w:pPr>
              <w:spacing w:beforeAutospacing="1" w:line="360" w:lineRule="auto"/>
              <w:rPr>
                <w:rFonts w:ascii="仿宋_GB2312" w:eastAsia="仿宋_GB2312" w:cs="仿宋_GB2312"/>
                <w:sz w:val="24"/>
                <w:szCs w:val="24"/>
              </w:rPr>
            </w:pPr>
            <w:r>
              <w:rPr>
                <w:rFonts w:hint="eastAsia" w:ascii="仿宋_GB2312" w:eastAsia="仿宋_GB2312" w:cs="仿宋_GB2312"/>
                <w:sz w:val="24"/>
                <w:szCs w:val="24"/>
              </w:rPr>
              <w:t>储存运输及追溯体系评价结果</w:t>
            </w:r>
          </w:p>
        </w:tc>
        <w:tc>
          <w:tcPr>
            <w:tcW w:w="2630" w:type="dxa"/>
          </w:tcPr>
          <w:p>
            <w:pPr>
              <w:spacing w:beforeAutospacing="1" w:line="360" w:lineRule="auto"/>
              <w:rPr>
                <w:rFonts w:ascii="仿宋_GB2312" w:eastAsia="仿宋_GB2312" w:cs="仿宋_GB2312"/>
                <w:sz w:val="24"/>
                <w:szCs w:val="24"/>
              </w:rPr>
            </w:pPr>
          </w:p>
        </w:tc>
        <w:tc>
          <w:tcPr>
            <w:tcW w:w="1549" w:type="dxa"/>
          </w:tcPr>
          <w:p>
            <w:pPr>
              <w:spacing w:beforeAutospacing="1" w:line="360" w:lineRule="auto"/>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66" w:type="dxa"/>
          </w:tcPr>
          <w:p>
            <w:pPr>
              <w:spacing w:beforeAutospacing="1" w:line="360" w:lineRule="auto"/>
              <w:jc w:val="center"/>
              <w:rPr>
                <w:rFonts w:ascii="仿宋_GB2312" w:eastAsia="仿宋_GB2312" w:cs="仿宋_GB2312"/>
                <w:sz w:val="24"/>
                <w:szCs w:val="24"/>
              </w:rPr>
            </w:pPr>
            <w:r>
              <w:rPr>
                <w:rFonts w:ascii="仿宋_GB2312" w:eastAsia="仿宋_GB2312" w:cs="仿宋_GB2312"/>
                <w:sz w:val="24"/>
                <w:szCs w:val="24"/>
              </w:rPr>
              <w:t>4</w:t>
            </w:r>
          </w:p>
        </w:tc>
        <w:tc>
          <w:tcPr>
            <w:tcW w:w="3358" w:type="dxa"/>
          </w:tcPr>
          <w:p>
            <w:pPr>
              <w:spacing w:beforeAutospacing="1" w:line="360" w:lineRule="auto"/>
              <w:rPr>
                <w:rFonts w:ascii="仿宋_GB2312" w:eastAsia="仿宋_GB2312" w:cs="仿宋_GB2312"/>
                <w:sz w:val="24"/>
                <w:szCs w:val="24"/>
              </w:rPr>
            </w:pPr>
            <w:r>
              <w:rPr>
                <w:rFonts w:hint="eastAsia" w:ascii="仿宋_GB2312" w:eastAsia="仿宋_GB2312" w:cs="仿宋_GB2312"/>
                <w:sz w:val="24"/>
                <w:szCs w:val="24"/>
              </w:rPr>
              <w:t>药物警戒活动评价结果</w:t>
            </w:r>
          </w:p>
        </w:tc>
        <w:tc>
          <w:tcPr>
            <w:tcW w:w="2630" w:type="dxa"/>
          </w:tcPr>
          <w:p>
            <w:pPr>
              <w:spacing w:beforeAutospacing="1" w:line="360" w:lineRule="auto"/>
              <w:jc w:val="center"/>
              <w:rPr>
                <w:rFonts w:ascii="仿宋_GB2312" w:eastAsia="仿宋_GB2312" w:cs="仿宋_GB2312"/>
                <w:sz w:val="24"/>
                <w:szCs w:val="24"/>
              </w:rPr>
            </w:pPr>
          </w:p>
        </w:tc>
        <w:tc>
          <w:tcPr>
            <w:tcW w:w="1549" w:type="dxa"/>
          </w:tcPr>
          <w:p>
            <w:pPr>
              <w:spacing w:beforeAutospacing="1" w:line="360" w:lineRule="auto"/>
              <w:jc w:val="center"/>
              <w:rPr>
                <w:rFonts w:asci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66" w:type="dxa"/>
          </w:tcPr>
          <w:p>
            <w:pPr>
              <w:spacing w:beforeAutospacing="1" w:line="360" w:lineRule="auto"/>
              <w:jc w:val="center"/>
              <w:rPr>
                <w:rFonts w:ascii="仿宋_GB2312" w:eastAsia="仿宋_GB2312" w:cs="仿宋_GB2312"/>
                <w:sz w:val="24"/>
                <w:szCs w:val="24"/>
              </w:rPr>
            </w:pPr>
            <w:r>
              <w:rPr>
                <w:rFonts w:ascii="仿宋_GB2312" w:eastAsia="仿宋_GB2312" w:cs="仿宋_GB2312"/>
                <w:sz w:val="24"/>
                <w:szCs w:val="24"/>
              </w:rPr>
              <w:t>5</w:t>
            </w:r>
          </w:p>
        </w:tc>
        <w:tc>
          <w:tcPr>
            <w:tcW w:w="3358" w:type="dxa"/>
          </w:tcPr>
          <w:p>
            <w:pPr>
              <w:spacing w:beforeAutospacing="1" w:line="360" w:lineRule="auto"/>
              <w:jc w:val="left"/>
              <w:rPr>
                <w:rFonts w:ascii="仿宋_GB2312" w:eastAsia="仿宋_GB2312" w:cs="仿宋_GB2312"/>
                <w:sz w:val="24"/>
                <w:szCs w:val="24"/>
              </w:rPr>
            </w:pPr>
            <w:r>
              <w:rPr>
                <w:rFonts w:hint="eastAsia" w:ascii="仿宋_GB2312" w:eastAsia="仿宋_GB2312" w:cs="仿宋_GB2312"/>
                <w:sz w:val="24"/>
                <w:szCs w:val="24"/>
              </w:rPr>
              <w:t>监管和行业变化对上市后药品质量影响评价</w:t>
            </w:r>
          </w:p>
        </w:tc>
        <w:tc>
          <w:tcPr>
            <w:tcW w:w="2630" w:type="dxa"/>
          </w:tcPr>
          <w:p>
            <w:pPr>
              <w:spacing w:beforeAutospacing="1" w:line="360" w:lineRule="auto"/>
              <w:rPr>
                <w:rFonts w:ascii="仿宋_GB2312" w:eastAsia="仿宋_GB2312" w:cs="仿宋_GB2312"/>
                <w:sz w:val="24"/>
                <w:szCs w:val="24"/>
              </w:rPr>
            </w:pPr>
          </w:p>
        </w:tc>
        <w:tc>
          <w:tcPr>
            <w:tcW w:w="1549" w:type="dxa"/>
          </w:tcPr>
          <w:p>
            <w:pPr>
              <w:spacing w:beforeAutospacing="1" w:line="360" w:lineRule="auto"/>
              <w:rPr>
                <w:rFonts w:ascii="仿宋_GB2312" w:eastAsia="仿宋_GB2312" w:cs="仿宋_GB2312"/>
                <w:sz w:val="24"/>
                <w:szCs w:val="24"/>
              </w:rPr>
            </w:pPr>
          </w:p>
        </w:tc>
      </w:tr>
    </w:tbl>
    <w:p>
      <w:pPr>
        <w:pStyle w:val="2"/>
        <w:spacing w:line="360" w:lineRule="auto"/>
        <w:rPr>
          <w:rFonts w:hAnsi="黑体" w:cs="黑体"/>
          <w:b w:val="0"/>
          <w:kern w:val="2"/>
          <w:sz w:val="24"/>
          <w:szCs w:val="24"/>
        </w:rPr>
      </w:pPr>
      <w:bookmarkStart w:id="9" w:name="_Toc55829558"/>
      <w:r>
        <w:rPr>
          <w:rFonts w:hint="eastAsia" w:hAnsi="黑体" w:cs="黑体"/>
          <w:b w:val="0"/>
          <w:kern w:val="2"/>
          <w:sz w:val="24"/>
          <w:szCs w:val="24"/>
          <w:lang w:val="en-US" w:eastAsia="zh-CN"/>
        </w:rPr>
        <w:t>七</w:t>
      </w:r>
      <w:r>
        <w:rPr>
          <w:rFonts w:hint="eastAsia" w:hAnsi="黑体" w:cs="黑体"/>
          <w:b w:val="0"/>
          <w:kern w:val="2"/>
          <w:sz w:val="24"/>
          <w:szCs w:val="24"/>
        </w:rPr>
        <w:t>、</w:t>
      </w:r>
      <w:bookmarkEnd w:id="9"/>
      <w:bookmarkStart w:id="10" w:name="_Toc55829559"/>
      <w:r>
        <w:rPr>
          <w:rFonts w:hint="eastAsia" w:hAnsi="黑体" w:cs="黑体"/>
          <w:b w:val="0"/>
          <w:kern w:val="2"/>
          <w:sz w:val="24"/>
          <w:szCs w:val="24"/>
        </w:rPr>
        <w:t>风险降低和接受</w:t>
      </w:r>
    </w:p>
    <w:bookmarkEnd w:id="10"/>
    <w:p>
      <w:pPr>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根据以上表</w:t>
      </w:r>
      <w:r>
        <w:rPr>
          <w:rFonts w:ascii="仿宋_GB2312" w:eastAsia="仿宋_GB2312" w:cs="仿宋_GB2312"/>
          <w:sz w:val="24"/>
          <w:szCs w:val="24"/>
        </w:rPr>
        <w:t>1</w:t>
      </w:r>
      <w:r>
        <w:rPr>
          <w:rFonts w:hint="eastAsia" w:ascii="仿宋_GB2312" w:eastAsia="仿宋_GB2312" w:cs="仿宋_GB2312"/>
          <w:sz w:val="24"/>
          <w:szCs w:val="24"/>
        </w:rPr>
        <w:t>识别出的风险项和经评估确定的风险等级，针对高</w:t>
      </w:r>
      <w:r>
        <w:rPr>
          <w:rFonts w:ascii="仿宋_GB2312" w:eastAsia="仿宋_GB2312" w:cs="仿宋_GB2312"/>
          <w:sz w:val="24"/>
          <w:szCs w:val="24"/>
        </w:rPr>
        <w:t>/</w:t>
      </w:r>
      <w:r>
        <w:rPr>
          <w:rFonts w:hint="eastAsia" w:ascii="仿宋_GB2312" w:eastAsia="仿宋_GB2312" w:cs="仿宋_GB2312"/>
          <w:sz w:val="24"/>
          <w:szCs w:val="24"/>
        </w:rPr>
        <w:t>中级别风险项，制定计划采取的风险控制措施。再次对采取措施后的风险进行评估，</w:t>
      </w:r>
      <w:r>
        <w:rPr>
          <w:rFonts w:hint="eastAsia" w:ascii="仿宋_GB2312" w:eastAsia="仿宋_GB2312" w:cs="仿宋_GB2312"/>
          <w:sz w:val="24"/>
          <w:szCs w:val="24"/>
          <w:highlight w:val="none"/>
        </w:rPr>
        <w:t>经采取措施后，所有的高</w:t>
      </w:r>
      <w:r>
        <w:rPr>
          <w:rFonts w:ascii="仿宋_GB2312" w:eastAsia="仿宋_GB2312" w:cs="仿宋_GB2312"/>
          <w:sz w:val="24"/>
          <w:szCs w:val="24"/>
          <w:highlight w:val="none"/>
        </w:rPr>
        <w:t>/</w:t>
      </w:r>
      <w:r>
        <w:rPr>
          <w:rFonts w:hint="eastAsia" w:ascii="仿宋_GB2312" w:eastAsia="仿宋_GB2312" w:cs="仿宋_GB2312"/>
          <w:sz w:val="24"/>
          <w:szCs w:val="24"/>
          <w:highlight w:val="none"/>
        </w:rPr>
        <w:t>中风险项目均应降低为可控和可接受项目。</w:t>
      </w:r>
    </w:p>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2   </w:t>
      </w:r>
      <w:r>
        <w:rPr>
          <w:rFonts w:hint="eastAsia" w:ascii="仿宋_GB2312" w:eastAsia="仿宋_GB2312" w:cs="仿宋_GB2312"/>
          <w:sz w:val="24"/>
          <w:szCs w:val="24"/>
        </w:rPr>
        <w:t>对高</w:t>
      </w:r>
      <w:r>
        <w:rPr>
          <w:rFonts w:ascii="仿宋_GB2312" w:eastAsia="仿宋_GB2312" w:cs="仿宋_GB2312"/>
          <w:sz w:val="24"/>
          <w:szCs w:val="24"/>
        </w:rPr>
        <w:t>/</w:t>
      </w:r>
      <w:r>
        <w:rPr>
          <w:rFonts w:hint="eastAsia" w:ascii="仿宋_GB2312" w:eastAsia="仿宋_GB2312" w:cs="仿宋_GB2312"/>
          <w:sz w:val="24"/>
          <w:szCs w:val="24"/>
        </w:rPr>
        <w:t>中等风险项目，制定风险控制措施</w:t>
      </w:r>
    </w:p>
    <w:tbl>
      <w:tblPr>
        <w:tblStyle w:val="11"/>
        <w:tblW w:w="8732" w:type="dxa"/>
        <w:jc w:val="center"/>
        <w:tblLayout w:type="fixed"/>
        <w:tblCellMar>
          <w:top w:w="0" w:type="dxa"/>
          <w:left w:w="108" w:type="dxa"/>
          <w:bottom w:w="0" w:type="dxa"/>
          <w:right w:w="108" w:type="dxa"/>
        </w:tblCellMar>
      </w:tblPr>
      <w:tblGrid>
        <w:gridCol w:w="703"/>
        <w:gridCol w:w="1659"/>
        <w:gridCol w:w="1431"/>
        <w:gridCol w:w="1604"/>
        <w:gridCol w:w="915"/>
        <w:gridCol w:w="908"/>
        <w:gridCol w:w="803"/>
        <w:gridCol w:w="709"/>
      </w:tblGrid>
      <w:tr>
        <w:tblPrEx>
          <w:tblCellMar>
            <w:top w:w="0" w:type="dxa"/>
            <w:left w:w="108" w:type="dxa"/>
            <w:bottom w:w="0" w:type="dxa"/>
            <w:right w:w="108" w:type="dxa"/>
          </w:tblCellMar>
        </w:tblPrEx>
        <w:trPr>
          <w:trHeight w:val="189" w:hRule="atLeast"/>
          <w:tblHeader/>
          <w:jc w:val="center"/>
        </w:trPr>
        <w:tc>
          <w:tcPr>
            <w:tcW w:w="703" w:type="dxa"/>
            <w:vMerge w:val="restart"/>
            <w:tcBorders>
              <w:top w:val="single" w:color="auto" w:sz="4" w:space="0"/>
              <w:left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序号</w:t>
            </w:r>
          </w:p>
        </w:tc>
        <w:tc>
          <w:tcPr>
            <w:tcW w:w="1659" w:type="dxa"/>
            <w:vMerge w:val="restart"/>
            <w:tcBorders>
              <w:top w:val="single" w:color="auto" w:sz="4" w:space="0"/>
              <w:left w:val="nil"/>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风险项目</w:t>
            </w:r>
          </w:p>
        </w:tc>
        <w:tc>
          <w:tcPr>
            <w:tcW w:w="1431" w:type="dxa"/>
            <w:vMerge w:val="restart"/>
            <w:tcBorders>
              <w:top w:val="single" w:color="auto" w:sz="4" w:space="0"/>
              <w:left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采取措施前的风险等级</w:t>
            </w:r>
          </w:p>
        </w:tc>
        <w:tc>
          <w:tcPr>
            <w:tcW w:w="1604" w:type="dxa"/>
            <w:vMerge w:val="restart"/>
            <w:tcBorders>
              <w:top w:val="single" w:color="auto" w:sz="4" w:space="0"/>
              <w:left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计划采取的风险控制措施</w:t>
            </w:r>
          </w:p>
        </w:tc>
        <w:tc>
          <w:tcPr>
            <w:tcW w:w="2626" w:type="dxa"/>
            <w:gridSpan w:val="3"/>
            <w:tcBorders>
              <w:top w:val="single" w:color="auto" w:sz="4" w:space="0"/>
              <w:left w:val="nil"/>
              <w:bottom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计划采取风险控制措施后的风险等级</w:t>
            </w:r>
          </w:p>
        </w:tc>
        <w:tc>
          <w:tcPr>
            <w:tcW w:w="709" w:type="dxa"/>
            <w:vMerge w:val="restart"/>
            <w:tcBorders>
              <w:top w:val="single" w:color="auto" w:sz="4" w:space="0"/>
              <w:left w:val="nil"/>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是否可接受</w:t>
            </w:r>
          </w:p>
        </w:tc>
      </w:tr>
      <w:tr>
        <w:tblPrEx>
          <w:tblCellMar>
            <w:top w:w="0" w:type="dxa"/>
            <w:left w:w="108" w:type="dxa"/>
            <w:bottom w:w="0" w:type="dxa"/>
            <w:right w:w="108" w:type="dxa"/>
          </w:tblCellMar>
        </w:tblPrEx>
        <w:trPr>
          <w:trHeight w:val="213" w:hRule="atLeast"/>
          <w:tblHeader/>
          <w:jc w:val="center"/>
        </w:trPr>
        <w:tc>
          <w:tcPr>
            <w:tcW w:w="703" w:type="dxa"/>
            <w:vMerge w:val="continue"/>
            <w:tcBorders>
              <w:left w:val="single" w:color="auto" w:sz="4" w:space="0"/>
              <w:bottom w:val="single" w:color="auto" w:sz="4" w:space="0"/>
              <w:right w:val="single" w:color="auto" w:sz="4" w:space="0"/>
            </w:tcBorders>
            <w:shd w:val="clear" w:color="000000" w:fill="92D050"/>
            <w:vAlign w:val="center"/>
          </w:tcPr>
          <w:p>
            <w:pPr>
              <w:widowControl/>
              <w:spacing w:line="360" w:lineRule="auto"/>
              <w:jc w:val="center"/>
              <w:rPr>
                <w:rFonts w:ascii="仿宋_GB2312" w:eastAsia="仿宋_GB2312" w:cs="仿宋_GB2312"/>
                <w:sz w:val="24"/>
                <w:szCs w:val="24"/>
              </w:rPr>
            </w:pPr>
          </w:p>
        </w:tc>
        <w:tc>
          <w:tcPr>
            <w:tcW w:w="1659" w:type="dxa"/>
            <w:vMerge w:val="continue"/>
            <w:tcBorders>
              <w:left w:val="nil"/>
              <w:bottom w:val="single" w:color="auto" w:sz="4" w:space="0"/>
              <w:right w:val="single" w:color="auto" w:sz="4" w:space="0"/>
            </w:tcBorders>
            <w:shd w:val="clear" w:color="000000" w:fill="92D050"/>
            <w:vAlign w:val="center"/>
          </w:tcPr>
          <w:p>
            <w:pPr>
              <w:widowControl/>
              <w:spacing w:line="360" w:lineRule="auto"/>
              <w:jc w:val="center"/>
              <w:rPr>
                <w:rFonts w:ascii="仿宋_GB2312" w:eastAsia="仿宋_GB2312" w:cs="仿宋_GB2312"/>
                <w:sz w:val="24"/>
                <w:szCs w:val="24"/>
              </w:rPr>
            </w:pPr>
          </w:p>
        </w:tc>
        <w:tc>
          <w:tcPr>
            <w:tcW w:w="1431" w:type="dxa"/>
            <w:vMerge w:val="continue"/>
            <w:tcBorders>
              <w:left w:val="single" w:color="auto" w:sz="4" w:space="0"/>
              <w:bottom w:val="single" w:color="auto" w:sz="4" w:space="0"/>
              <w:right w:val="single" w:color="auto" w:sz="4" w:space="0"/>
            </w:tcBorders>
            <w:shd w:val="clear" w:color="000000" w:fill="92D050"/>
            <w:vAlign w:val="center"/>
          </w:tcPr>
          <w:p>
            <w:pPr>
              <w:widowControl/>
              <w:spacing w:line="360" w:lineRule="auto"/>
              <w:jc w:val="center"/>
              <w:rPr>
                <w:rFonts w:ascii="仿宋_GB2312" w:eastAsia="仿宋_GB2312" w:cs="仿宋_GB2312"/>
                <w:sz w:val="24"/>
                <w:szCs w:val="24"/>
              </w:rPr>
            </w:pPr>
          </w:p>
        </w:tc>
        <w:tc>
          <w:tcPr>
            <w:tcW w:w="1604" w:type="dxa"/>
            <w:vMerge w:val="continue"/>
            <w:tcBorders>
              <w:left w:val="single" w:color="auto" w:sz="4" w:space="0"/>
              <w:bottom w:val="single" w:color="auto" w:sz="4" w:space="0"/>
              <w:right w:val="single" w:color="auto" w:sz="4" w:space="0"/>
            </w:tcBorders>
            <w:shd w:val="clear" w:color="000000" w:fill="92D050"/>
            <w:vAlign w:val="center"/>
          </w:tcPr>
          <w:p>
            <w:pPr>
              <w:widowControl/>
              <w:spacing w:line="360" w:lineRule="auto"/>
              <w:jc w:val="center"/>
              <w:rPr>
                <w:rFonts w:ascii="仿宋_GB2312" w:eastAsia="仿宋_GB2312" w:cs="仿宋_GB2312"/>
                <w:sz w:val="24"/>
                <w:szCs w:val="24"/>
              </w:rPr>
            </w:pPr>
          </w:p>
        </w:tc>
        <w:tc>
          <w:tcPr>
            <w:tcW w:w="915" w:type="dxa"/>
            <w:tcBorders>
              <w:top w:val="single" w:color="auto" w:sz="4" w:space="0"/>
              <w:left w:val="nil"/>
              <w:bottom w:val="single" w:color="auto" w:sz="4" w:space="0"/>
              <w:right w:val="single" w:color="auto" w:sz="4" w:space="0"/>
            </w:tcBorders>
            <w:shd w:val="clear" w:color="000000" w:fill="auto"/>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严重性（</w:t>
            </w:r>
            <w:r>
              <w:rPr>
                <w:rFonts w:ascii="仿宋_GB2312" w:eastAsia="仿宋_GB2312" w:cs="仿宋_GB2312"/>
                <w:sz w:val="24"/>
                <w:szCs w:val="24"/>
              </w:rPr>
              <w:t>S</w:t>
            </w:r>
            <w:r>
              <w:rPr>
                <w:rFonts w:hint="eastAsia" w:ascii="仿宋_GB2312" w:eastAsia="仿宋_GB2312" w:cs="仿宋_GB2312"/>
                <w:sz w:val="24"/>
                <w:szCs w:val="24"/>
              </w:rPr>
              <w:t>）</w:t>
            </w:r>
          </w:p>
        </w:tc>
        <w:tc>
          <w:tcPr>
            <w:tcW w:w="908" w:type="dxa"/>
            <w:tcBorders>
              <w:top w:val="single" w:color="auto" w:sz="4" w:space="0"/>
              <w:left w:val="nil"/>
              <w:bottom w:val="single" w:color="auto" w:sz="4" w:space="0"/>
              <w:right w:val="single" w:color="auto" w:sz="4" w:space="0"/>
            </w:tcBorders>
            <w:shd w:val="clear" w:color="000000" w:fill="auto"/>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可能性（</w:t>
            </w:r>
            <w:r>
              <w:rPr>
                <w:rFonts w:ascii="仿宋_GB2312" w:eastAsia="仿宋_GB2312" w:cs="仿宋_GB2312"/>
                <w:sz w:val="24"/>
                <w:szCs w:val="24"/>
              </w:rPr>
              <w:t>P</w:t>
            </w:r>
            <w:r>
              <w:rPr>
                <w:rFonts w:hint="eastAsia" w:ascii="仿宋_GB2312" w:eastAsia="仿宋_GB2312" w:cs="仿宋_GB2312"/>
                <w:sz w:val="24"/>
                <w:szCs w:val="24"/>
              </w:rPr>
              <w:t>）</w:t>
            </w:r>
          </w:p>
        </w:tc>
        <w:tc>
          <w:tcPr>
            <w:tcW w:w="803" w:type="dxa"/>
            <w:tcBorders>
              <w:top w:val="single" w:color="auto" w:sz="4" w:space="0"/>
              <w:left w:val="nil"/>
              <w:bottom w:val="single" w:color="auto" w:sz="4" w:space="0"/>
              <w:right w:val="single" w:color="auto" w:sz="4" w:space="0"/>
            </w:tcBorders>
            <w:shd w:val="clear" w:color="000000" w:fill="auto"/>
            <w:vAlign w:val="center"/>
          </w:tcPr>
          <w:p>
            <w:pPr>
              <w:spacing w:line="360" w:lineRule="auto"/>
              <w:jc w:val="center"/>
              <w:rPr>
                <w:rFonts w:ascii="仿宋_GB2312" w:eastAsia="仿宋_GB2312" w:cs="仿宋_GB2312"/>
                <w:sz w:val="24"/>
                <w:szCs w:val="24"/>
              </w:rPr>
            </w:pPr>
            <w:r>
              <w:rPr>
                <w:rFonts w:hint="eastAsia" w:ascii="仿宋_GB2312" w:eastAsia="仿宋_GB2312" w:cs="仿宋_GB2312"/>
                <w:sz w:val="24"/>
                <w:szCs w:val="24"/>
              </w:rPr>
              <w:t>风险等级</w:t>
            </w:r>
          </w:p>
        </w:tc>
        <w:tc>
          <w:tcPr>
            <w:tcW w:w="709" w:type="dxa"/>
            <w:vMerge w:val="continue"/>
            <w:tcBorders>
              <w:left w:val="nil"/>
              <w:bottom w:val="single" w:color="auto" w:sz="4" w:space="0"/>
              <w:right w:val="single" w:color="auto" w:sz="4" w:space="0"/>
            </w:tcBorders>
            <w:shd w:val="clear" w:color="000000" w:fill="92D050"/>
            <w:vAlign w:val="center"/>
          </w:tcPr>
          <w:p>
            <w:pPr>
              <w:widowControl/>
              <w:spacing w:line="360" w:lineRule="auto"/>
              <w:jc w:val="center"/>
              <w:rPr>
                <w:rFonts w:ascii="仿宋_GB2312" w:eastAsia="仿宋_GB2312" w:cs="仿宋_GB2312"/>
                <w:sz w:val="24"/>
                <w:szCs w:val="24"/>
              </w:rPr>
            </w:pPr>
          </w:p>
        </w:tc>
      </w:tr>
      <w:tr>
        <w:tblPrEx>
          <w:tblCellMar>
            <w:top w:w="0" w:type="dxa"/>
            <w:left w:w="108" w:type="dxa"/>
            <w:bottom w:w="0" w:type="dxa"/>
            <w:right w:w="108" w:type="dxa"/>
          </w:tblCellMar>
        </w:tblPrEx>
        <w:trPr>
          <w:trHeight w:val="501" w:hRule="atLeast"/>
          <w:jc w:val="center"/>
        </w:trPr>
        <w:tc>
          <w:tcPr>
            <w:tcW w:w="703" w:type="dxa"/>
            <w:tcBorders>
              <w:top w:val="nil"/>
              <w:left w:val="single" w:color="auto" w:sz="4" w:space="0"/>
              <w:bottom w:val="single" w:color="000000" w:sz="4" w:space="0"/>
              <w:right w:val="single" w:color="auto" w:sz="4" w:space="0"/>
            </w:tcBorders>
            <w:vAlign w:val="center"/>
          </w:tcPr>
          <w:p>
            <w:pPr>
              <w:pStyle w:val="25"/>
              <w:widowControl/>
              <w:spacing w:line="360" w:lineRule="auto"/>
              <w:ind w:left="210" w:firstLine="0" w:firstLineChars="0"/>
              <w:rPr>
                <w:rFonts w:ascii="仿宋_GB2312" w:hAnsi="Calibri" w:eastAsia="仿宋_GB2312" w:cs="仿宋_GB2312"/>
                <w:sz w:val="24"/>
              </w:rPr>
            </w:pPr>
            <w:r>
              <w:rPr>
                <w:rFonts w:ascii="仿宋_GB2312" w:hAnsi="Calibri" w:eastAsia="仿宋_GB2312" w:cs="仿宋_GB2312"/>
                <w:sz w:val="24"/>
              </w:rPr>
              <w:t>1</w:t>
            </w:r>
          </w:p>
        </w:tc>
        <w:tc>
          <w:tcPr>
            <w:tcW w:w="1659" w:type="dxa"/>
            <w:tcBorders>
              <w:top w:val="nil"/>
              <w:left w:val="single" w:color="auto" w:sz="4" w:space="0"/>
              <w:bottom w:val="single" w:color="auto" w:sz="4" w:space="0"/>
              <w:right w:val="single" w:color="auto" w:sz="4" w:space="0"/>
            </w:tcBorders>
          </w:tcPr>
          <w:p>
            <w:pPr>
              <w:spacing w:line="360" w:lineRule="auto"/>
              <w:rPr>
                <w:rFonts w:ascii="仿宋_GB2312" w:eastAsia="仿宋_GB2312" w:cs="仿宋_GB2312"/>
                <w:sz w:val="24"/>
                <w:szCs w:val="24"/>
              </w:rPr>
            </w:pPr>
          </w:p>
        </w:tc>
        <w:tc>
          <w:tcPr>
            <w:tcW w:w="143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_GB2312" w:eastAsia="仿宋_GB2312" w:cs="仿宋_GB2312"/>
                <w:sz w:val="24"/>
                <w:szCs w:val="24"/>
              </w:rPr>
            </w:pPr>
          </w:p>
        </w:tc>
        <w:tc>
          <w:tcPr>
            <w:tcW w:w="1604" w:type="dxa"/>
            <w:tcBorders>
              <w:top w:val="nil"/>
              <w:left w:val="single" w:color="auto" w:sz="4" w:space="0"/>
              <w:bottom w:val="single" w:color="auto" w:sz="4" w:space="0"/>
              <w:right w:val="single" w:color="auto" w:sz="4" w:space="0"/>
            </w:tcBorders>
            <w:vAlign w:val="center"/>
          </w:tcPr>
          <w:p>
            <w:pPr>
              <w:widowControl/>
              <w:spacing w:line="360" w:lineRule="auto"/>
              <w:rPr>
                <w:rFonts w:ascii="仿宋_GB2312" w:eastAsia="仿宋_GB2312" w:cs="仿宋_GB2312"/>
                <w:sz w:val="24"/>
                <w:szCs w:val="24"/>
              </w:rPr>
            </w:pPr>
          </w:p>
        </w:tc>
        <w:tc>
          <w:tcPr>
            <w:tcW w:w="915" w:type="dxa"/>
            <w:tcBorders>
              <w:top w:val="nil"/>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908" w:type="dxa"/>
            <w:tcBorders>
              <w:top w:val="nil"/>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803"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r>
      <w:tr>
        <w:tblPrEx>
          <w:tblCellMar>
            <w:top w:w="0" w:type="dxa"/>
            <w:left w:w="108" w:type="dxa"/>
            <w:bottom w:w="0" w:type="dxa"/>
            <w:right w:w="108" w:type="dxa"/>
          </w:tblCellMar>
        </w:tblPrEx>
        <w:trPr>
          <w:trHeight w:val="565" w:hRule="atLeast"/>
          <w:jc w:val="center"/>
        </w:trPr>
        <w:tc>
          <w:tcPr>
            <w:tcW w:w="703" w:type="dxa"/>
            <w:tcBorders>
              <w:top w:val="nil"/>
              <w:left w:val="single" w:color="auto" w:sz="4" w:space="0"/>
              <w:bottom w:val="single" w:color="000000" w:sz="4" w:space="0"/>
              <w:right w:val="single" w:color="auto" w:sz="4" w:space="0"/>
            </w:tcBorders>
            <w:vAlign w:val="center"/>
          </w:tcPr>
          <w:p>
            <w:pPr>
              <w:pStyle w:val="25"/>
              <w:widowControl/>
              <w:spacing w:line="360" w:lineRule="auto"/>
              <w:ind w:left="210" w:firstLine="0" w:firstLineChars="0"/>
              <w:rPr>
                <w:rFonts w:ascii="仿宋_GB2312" w:hAnsi="Calibri" w:eastAsia="仿宋_GB2312" w:cs="仿宋_GB2312"/>
                <w:sz w:val="24"/>
              </w:rPr>
            </w:pPr>
            <w:r>
              <w:rPr>
                <w:rFonts w:ascii="仿宋_GB2312" w:hAnsi="Calibri" w:eastAsia="仿宋_GB2312" w:cs="仿宋_GB2312"/>
                <w:sz w:val="24"/>
              </w:rPr>
              <w:t>2</w:t>
            </w:r>
          </w:p>
        </w:tc>
        <w:tc>
          <w:tcPr>
            <w:tcW w:w="1659" w:type="dxa"/>
            <w:tcBorders>
              <w:top w:val="nil"/>
              <w:left w:val="single" w:color="auto" w:sz="4" w:space="0"/>
              <w:bottom w:val="single" w:color="auto" w:sz="4" w:space="0"/>
              <w:right w:val="single" w:color="auto" w:sz="4" w:space="0"/>
            </w:tcBorders>
          </w:tcPr>
          <w:p>
            <w:pPr>
              <w:spacing w:line="360" w:lineRule="auto"/>
              <w:rPr>
                <w:rFonts w:ascii="仿宋_GB2312" w:eastAsia="仿宋_GB2312" w:cs="仿宋_GB2312"/>
                <w:sz w:val="24"/>
                <w:szCs w:val="24"/>
              </w:rPr>
            </w:pPr>
          </w:p>
        </w:tc>
        <w:tc>
          <w:tcPr>
            <w:tcW w:w="1431"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604" w:type="dxa"/>
            <w:tcBorders>
              <w:top w:val="nil"/>
              <w:left w:val="single" w:color="auto" w:sz="4" w:space="0"/>
              <w:bottom w:val="single" w:color="auto" w:sz="4" w:space="0"/>
              <w:right w:val="single" w:color="auto" w:sz="4" w:space="0"/>
            </w:tcBorders>
            <w:vAlign w:val="center"/>
          </w:tcPr>
          <w:p>
            <w:pPr>
              <w:widowControl/>
              <w:spacing w:line="360" w:lineRule="auto"/>
              <w:rPr>
                <w:rFonts w:ascii="仿宋_GB2312" w:eastAsia="仿宋_GB2312" w:cs="仿宋_GB2312"/>
                <w:sz w:val="24"/>
                <w:szCs w:val="24"/>
              </w:rPr>
            </w:pPr>
          </w:p>
        </w:tc>
        <w:tc>
          <w:tcPr>
            <w:tcW w:w="915" w:type="dxa"/>
            <w:tcBorders>
              <w:top w:val="nil"/>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908" w:type="dxa"/>
            <w:tcBorders>
              <w:top w:val="nil"/>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803"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r>
      <w:tr>
        <w:tblPrEx>
          <w:tblCellMar>
            <w:top w:w="0" w:type="dxa"/>
            <w:left w:w="108" w:type="dxa"/>
            <w:bottom w:w="0" w:type="dxa"/>
            <w:right w:w="108" w:type="dxa"/>
          </w:tblCellMar>
        </w:tblPrEx>
        <w:trPr>
          <w:trHeight w:val="565" w:hRule="atLeast"/>
          <w:jc w:val="center"/>
        </w:trPr>
        <w:tc>
          <w:tcPr>
            <w:tcW w:w="703" w:type="dxa"/>
            <w:tcBorders>
              <w:top w:val="nil"/>
              <w:left w:val="single" w:color="auto" w:sz="4" w:space="0"/>
              <w:bottom w:val="single" w:color="000000" w:sz="4" w:space="0"/>
              <w:right w:val="single" w:color="auto" w:sz="4" w:space="0"/>
            </w:tcBorders>
            <w:vAlign w:val="center"/>
          </w:tcPr>
          <w:p>
            <w:pPr>
              <w:pStyle w:val="25"/>
              <w:widowControl/>
              <w:spacing w:line="360" w:lineRule="auto"/>
              <w:ind w:left="210" w:firstLine="0" w:firstLineChars="0"/>
              <w:rPr>
                <w:rFonts w:ascii="仿宋_GB2312" w:hAnsi="Calibri" w:eastAsia="仿宋_GB2312" w:cs="仿宋_GB2312"/>
                <w:sz w:val="24"/>
              </w:rPr>
            </w:pPr>
            <w:r>
              <w:rPr>
                <w:rFonts w:ascii="仿宋_GB2312" w:hAnsi="Calibri" w:eastAsia="仿宋_GB2312" w:cs="仿宋_GB2312"/>
                <w:sz w:val="24"/>
              </w:rPr>
              <w:t>3</w:t>
            </w:r>
          </w:p>
        </w:tc>
        <w:tc>
          <w:tcPr>
            <w:tcW w:w="1659" w:type="dxa"/>
            <w:tcBorders>
              <w:top w:val="nil"/>
              <w:left w:val="single" w:color="auto" w:sz="4" w:space="0"/>
              <w:bottom w:val="single" w:color="auto" w:sz="4" w:space="0"/>
              <w:right w:val="single" w:color="auto" w:sz="4" w:space="0"/>
            </w:tcBorders>
          </w:tcPr>
          <w:p>
            <w:pPr>
              <w:spacing w:line="360" w:lineRule="auto"/>
              <w:rPr>
                <w:rFonts w:ascii="仿宋_GB2312" w:eastAsia="仿宋_GB2312" w:cs="仿宋_GB2312"/>
                <w:sz w:val="24"/>
                <w:szCs w:val="24"/>
              </w:rPr>
            </w:pPr>
          </w:p>
        </w:tc>
        <w:tc>
          <w:tcPr>
            <w:tcW w:w="1431"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604" w:type="dxa"/>
            <w:tcBorders>
              <w:top w:val="nil"/>
              <w:left w:val="single" w:color="auto" w:sz="4" w:space="0"/>
              <w:bottom w:val="single" w:color="auto" w:sz="4" w:space="0"/>
              <w:right w:val="single" w:color="auto" w:sz="4" w:space="0"/>
            </w:tcBorders>
            <w:vAlign w:val="center"/>
          </w:tcPr>
          <w:p>
            <w:pPr>
              <w:widowControl/>
              <w:spacing w:line="360" w:lineRule="auto"/>
              <w:rPr>
                <w:rFonts w:ascii="仿宋_GB2312" w:eastAsia="仿宋_GB2312" w:cs="仿宋_GB2312"/>
                <w:sz w:val="24"/>
                <w:szCs w:val="24"/>
              </w:rPr>
            </w:pPr>
          </w:p>
        </w:tc>
        <w:tc>
          <w:tcPr>
            <w:tcW w:w="915" w:type="dxa"/>
            <w:tcBorders>
              <w:top w:val="nil"/>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908" w:type="dxa"/>
            <w:tcBorders>
              <w:top w:val="nil"/>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803"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709"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r>
    </w:tbl>
    <w:p>
      <w:pPr>
        <w:spacing w:line="360" w:lineRule="auto"/>
        <w:ind w:firstLine="360" w:firstLineChars="150"/>
        <w:rPr>
          <w:rFonts w:ascii="仿宋_GB2312" w:eastAsia="仿宋_GB2312" w:cs="仿宋_GB2312"/>
          <w:sz w:val="24"/>
          <w:szCs w:val="24"/>
        </w:rPr>
      </w:pPr>
    </w:p>
    <w:p>
      <w:pPr>
        <w:pStyle w:val="2"/>
        <w:spacing w:line="360" w:lineRule="auto"/>
        <w:rPr>
          <w:rFonts w:hAnsi="黑体" w:cs="黑体"/>
          <w:b w:val="0"/>
          <w:kern w:val="2"/>
          <w:sz w:val="24"/>
          <w:szCs w:val="24"/>
        </w:rPr>
      </w:pPr>
      <w:bookmarkStart w:id="11" w:name="_Toc55829560"/>
      <w:r>
        <w:rPr>
          <w:rFonts w:hint="eastAsia" w:hAnsi="黑体" w:cs="黑体"/>
          <w:b w:val="0"/>
          <w:kern w:val="2"/>
          <w:sz w:val="24"/>
          <w:szCs w:val="24"/>
          <w:lang w:val="en-US" w:eastAsia="zh-CN"/>
        </w:rPr>
        <w:t>八</w:t>
      </w:r>
      <w:r>
        <w:rPr>
          <w:rFonts w:hint="eastAsia" w:hAnsi="黑体" w:cs="黑体"/>
          <w:b w:val="0"/>
          <w:kern w:val="2"/>
          <w:sz w:val="24"/>
          <w:szCs w:val="24"/>
        </w:rPr>
        <w:t>、风险评估结论</w:t>
      </w:r>
      <w:bookmarkEnd w:id="11"/>
    </w:p>
    <w:p>
      <w:pPr>
        <w:spacing w:line="360" w:lineRule="auto"/>
        <w:ind w:firstLine="360" w:firstLineChars="150"/>
        <w:rPr>
          <w:rFonts w:ascii="仿宋_GB2312" w:eastAsia="仿宋_GB2312" w:cs="仿宋_GB2312"/>
          <w:sz w:val="24"/>
          <w:szCs w:val="24"/>
          <w:highlight w:val="none"/>
        </w:rPr>
      </w:pPr>
      <w:r>
        <w:rPr>
          <w:rFonts w:hint="eastAsia" w:ascii="仿宋_GB2312" w:eastAsia="仿宋_GB2312" w:cs="仿宋_GB2312"/>
          <w:sz w:val="24"/>
          <w:szCs w:val="24"/>
          <w:highlight w:val="none"/>
        </w:rPr>
        <w:t>该风险评估使用风险严重性综合排序的形式，从药品注册、生产控制、储存运输、临床使用、监管及行业动态变化五个方面开展风险评估。经评估发现高风险</w:t>
      </w:r>
      <w:r>
        <w:rPr>
          <w:rFonts w:ascii="仿宋_GB2312" w:eastAsia="仿宋_GB2312" w:cs="仿宋_GB2312"/>
          <w:sz w:val="24"/>
          <w:szCs w:val="24"/>
          <w:highlight w:val="none"/>
        </w:rPr>
        <w:t>XX</w:t>
      </w:r>
      <w:r>
        <w:rPr>
          <w:rFonts w:hint="eastAsia" w:ascii="仿宋_GB2312" w:eastAsia="仿宋_GB2312" w:cs="仿宋_GB2312"/>
          <w:sz w:val="24"/>
          <w:szCs w:val="24"/>
          <w:highlight w:val="none"/>
        </w:rPr>
        <w:t>项，中风险</w:t>
      </w:r>
      <w:r>
        <w:rPr>
          <w:rFonts w:ascii="仿宋_GB2312" w:eastAsia="仿宋_GB2312" w:cs="仿宋_GB2312"/>
          <w:sz w:val="24"/>
          <w:szCs w:val="24"/>
          <w:highlight w:val="none"/>
        </w:rPr>
        <w:t>XX</w:t>
      </w:r>
      <w:r>
        <w:rPr>
          <w:rFonts w:hint="eastAsia" w:ascii="仿宋_GB2312" w:eastAsia="仿宋_GB2312" w:cs="仿宋_GB2312"/>
          <w:sz w:val="24"/>
          <w:szCs w:val="24"/>
          <w:highlight w:val="none"/>
        </w:rPr>
        <w:t>项，且已经制定了风险控制措施，计划采取风险控制措施后均能将风险降低至可接受水平。该评估过程代表了目前对风险最新的认知，未刻意降低风险等级。后续根据经验的积累和科学认知，持续开展风险评估来确保上市后药品安全、有效、质量可控。</w:t>
      </w:r>
    </w:p>
    <w:p>
      <w:pPr>
        <w:pStyle w:val="2"/>
        <w:spacing w:line="360" w:lineRule="auto"/>
        <w:rPr>
          <w:rFonts w:hAnsi="黑体" w:cs="黑体"/>
          <w:b w:val="0"/>
          <w:kern w:val="2"/>
          <w:sz w:val="24"/>
          <w:szCs w:val="24"/>
        </w:rPr>
      </w:pPr>
      <w:bookmarkStart w:id="12" w:name="_Toc55829561"/>
      <w:r>
        <w:rPr>
          <w:rFonts w:hint="eastAsia" w:hAnsi="黑体" w:cs="黑体"/>
          <w:b w:val="0"/>
          <w:kern w:val="2"/>
          <w:sz w:val="24"/>
          <w:szCs w:val="24"/>
          <w:lang w:val="en-US" w:eastAsia="zh-CN"/>
        </w:rPr>
        <w:t>九</w:t>
      </w:r>
      <w:r>
        <w:rPr>
          <w:rFonts w:hint="eastAsia" w:hAnsi="黑体" w:cs="黑体"/>
          <w:b w:val="0"/>
          <w:kern w:val="2"/>
          <w:sz w:val="24"/>
          <w:szCs w:val="24"/>
        </w:rPr>
        <w:t>、</w:t>
      </w:r>
      <w:bookmarkEnd w:id="12"/>
      <w:r>
        <w:rPr>
          <w:rFonts w:hint="eastAsia" w:hAnsi="黑体" w:cs="黑体"/>
          <w:b w:val="0"/>
          <w:kern w:val="2"/>
          <w:sz w:val="24"/>
          <w:szCs w:val="24"/>
        </w:rPr>
        <w:t>风险控制措施跟踪确认情况</w:t>
      </w:r>
    </w:p>
    <w:p>
      <w:pPr>
        <w:widowControl/>
        <w:spacing w:line="360" w:lineRule="auto"/>
        <w:ind w:firstLine="480" w:firstLineChars="200"/>
        <w:rPr>
          <w:rFonts w:ascii="仿宋_GB2312" w:eastAsia="仿宋_GB2312" w:cs="仿宋_GB2312"/>
          <w:sz w:val="24"/>
          <w:szCs w:val="24"/>
        </w:rPr>
      </w:pPr>
      <w:r>
        <w:rPr>
          <w:rFonts w:hint="eastAsia" w:ascii="仿宋_GB2312" w:eastAsia="仿宋_GB2312" w:cs="仿宋_GB2312"/>
          <w:sz w:val="24"/>
          <w:szCs w:val="24"/>
        </w:rPr>
        <w:t>对表</w:t>
      </w:r>
      <w:r>
        <w:rPr>
          <w:rFonts w:ascii="仿宋_GB2312" w:eastAsia="仿宋_GB2312" w:cs="仿宋_GB2312"/>
          <w:sz w:val="24"/>
          <w:szCs w:val="24"/>
        </w:rPr>
        <w:t>2</w:t>
      </w:r>
      <w:r>
        <w:rPr>
          <w:rFonts w:hint="eastAsia" w:ascii="仿宋_GB2312" w:eastAsia="仿宋_GB2312" w:cs="仿宋_GB2312"/>
          <w:sz w:val="24"/>
          <w:szCs w:val="24"/>
        </w:rPr>
        <w:t>中所列计划采取的风险控制措施，进一步明确具体责任人及计划完成时间，并跟踪确认控制措施实施情况，形成汇总表</w:t>
      </w:r>
      <w:r>
        <w:rPr>
          <w:rFonts w:ascii="仿宋_GB2312" w:eastAsia="仿宋_GB2312" w:cs="仿宋_GB2312"/>
          <w:sz w:val="24"/>
          <w:szCs w:val="24"/>
        </w:rPr>
        <w:t>3</w:t>
      </w:r>
      <w:r>
        <w:rPr>
          <w:rFonts w:hint="eastAsia" w:ascii="仿宋_GB2312" w:eastAsia="仿宋_GB2312" w:cs="仿宋_GB2312"/>
          <w:sz w:val="24"/>
          <w:szCs w:val="24"/>
        </w:rPr>
        <w:t>。</w:t>
      </w:r>
    </w:p>
    <w:p>
      <w:pPr>
        <w:jc w:val="center"/>
        <w:rPr>
          <w:rFonts w:ascii="仿宋_GB2312" w:eastAsia="仿宋_GB2312" w:cs="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3  </w:t>
      </w:r>
      <w:r>
        <w:rPr>
          <w:rFonts w:hint="eastAsia" w:ascii="仿宋_GB2312" w:eastAsia="仿宋_GB2312" w:cs="仿宋_GB2312"/>
          <w:sz w:val="24"/>
          <w:szCs w:val="24"/>
        </w:rPr>
        <w:t>风险控制措施跟踪确认表</w:t>
      </w:r>
    </w:p>
    <w:tbl>
      <w:tblPr>
        <w:tblStyle w:val="11"/>
        <w:tblW w:w="8731" w:type="dxa"/>
        <w:jc w:val="center"/>
        <w:tblLayout w:type="fixed"/>
        <w:tblCellMar>
          <w:top w:w="0" w:type="dxa"/>
          <w:left w:w="108" w:type="dxa"/>
          <w:bottom w:w="0" w:type="dxa"/>
          <w:right w:w="108" w:type="dxa"/>
        </w:tblCellMar>
      </w:tblPr>
      <w:tblGrid>
        <w:gridCol w:w="739"/>
        <w:gridCol w:w="1648"/>
        <w:gridCol w:w="1749"/>
        <w:gridCol w:w="810"/>
        <w:gridCol w:w="1263"/>
        <w:gridCol w:w="1261"/>
        <w:gridCol w:w="1261"/>
      </w:tblGrid>
      <w:tr>
        <w:tblPrEx>
          <w:tblCellMar>
            <w:top w:w="0" w:type="dxa"/>
            <w:left w:w="108" w:type="dxa"/>
            <w:bottom w:w="0" w:type="dxa"/>
            <w:right w:w="108" w:type="dxa"/>
          </w:tblCellMar>
        </w:tblPrEx>
        <w:trPr>
          <w:trHeight w:val="623" w:hRule="atLeast"/>
          <w:tblHeader/>
          <w:jc w:val="center"/>
        </w:trPr>
        <w:tc>
          <w:tcPr>
            <w:tcW w:w="73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序号</w:t>
            </w:r>
          </w:p>
        </w:tc>
        <w:tc>
          <w:tcPr>
            <w:tcW w:w="1648" w:type="dxa"/>
            <w:tcBorders>
              <w:top w:val="single" w:color="auto" w:sz="4" w:space="0"/>
              <w:left w:val="nil"/>
              <w:bottom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需降低的风险项目</w:t>
            </w:r>
          </w:p>
        </w:tc>
        <w:tc>
          <w:tcPr>
            <w:tcW w:w="174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计划采取的风险控制措施</w:t>
            </w:r>
          </w:p>
        </w:tc>
        <w:tc>
          <w:tcPr>
            <w:tcW w:w="810" w:type="dxa"/>
            <w:tcBorders>
              <w:top w:val="single" w:color="auto" w:sz="4" w:space="0"/>
              <w:left w:val="nil"/>
              <w:bottom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责任人</w:t>
            </w:r>
          </w:p>
        </w:tc>
        <w:tc>
          <w:tcPr>
            <w:tcW w:w="1263" w:type="dxa"/>
            <w:tcBorders>
              <w:top w:val="single" w:color="auto" w:sz="4" w:space="0"/>
              <w:left w:val="nil"/>
              <w:bottom w:val="single" w:color="auto" w:sz="4" w:space="0"/>
              <w:right w:val="single" w:color="auto" w:sz="4" w:space="0"/>
            </w:tcBorders>
            <w:shd w:val="clear" w:color="000000" w:fill="auto"/>
            <w:vAlign w:val="center"/>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计划完成时间</w:t>
            </w:r>
          </w:p>
        </w:tc>
        <w:tc>
          <w:tcPr>
            <w:tcW w:w="1261" w:type="dxa"/>
            <w:tcBorders>
              <w:top w:val="single" w:color="auto" w:sz="4" w:space="0"/>
              <w:left w:val="nil"/>
              <w:bottom w:val="single" w:color="auto" w:sz="4" w:space="0"/>
              <w:right w:val="single" w:color="auto" w:sz="4" w:space="0"/>
            </w:tcBorders>
            <w:shd w:val="clear" w:color="000000" w:fill="auto"/>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措施完成情况</w:t>
            </w:r>
          </w:p>
        </w:tc>
        <w:tc>
          <w:tcPr>
            <w:tcW w:w="1261" w:type="dxa"/>
            <w:tcBorders>
              <w:top w:val="single" w:color="auto" w:sz="4" w:space="0"/>
              <w:left w:val="nil"/>
              <w:bottom w:val="single" w:color="auto" w:sz="4" w:space="0"/>
              <w:right w:val="single" w:color="auto" w:sz="4" w:space="0"/>
            </w:tcBorders>
            <w:shd w:val="clear" w:color="000000" w:fill="auto"/>
          </w:tcPr>
          <w:p>
            <w:pPr>
              <w:widowControl/>
              <w:spacing w:line="360" w:lineRule="auto"/>
              <w:jc w:val="center"/>
              <w:rPr>
                <w:rFonts w:ascii="仿宋_GB2312" w:eastAsia="仿宋_GB2312" w:cs="仿宋_GB2312"/>
                <w:sz w:val="24"/>
                <w:szCs w:val="24"/>
              </w:rPr>
            </w:pPr>
            <w:r>
              <w:rPr>
                <w:rFonts w:hint="eastAsia" w:ascii="仿宋_GB2312" w:eastAsia="仿宋_GB2312" w:cs="仿宋_GB2312"/>
                <w:sz w:val="24"/>
                <w:szCs w:val="24"/>
              </w:rPr>
              <w:t>跟踪确认人及时间</w:t>
            </w:r>
          </w:p>
        </w:tc>
      </w:tr>
      <w:tr>
        <w:tblPrEx>
          <w:tblCellMar>
            <w:top w:w="0" w:type="dxa"/>
            <w:left w:w="108" w:type="dxa"/>
            <w:bottom w:w="0" w:type="dxa"/>
            <w:right w:w="108" w:type="dxa"/>
          </w:tblCellMar>
        </w:tblPrEx>
        <w:trPr>
          <w:trHeight w:val="501" w:hRule="atLeast"/>
          <w:jc w:val="center"/>
        </w:trPr>
        <w:tc>
          <w:tcPr>
            <w:tcW w:w="739" w:type="dxa"/>
            <w:tcBorders>
              <w:top w:val="single" w:color="auto" w:sz="4" w:space="0"/>
              <w:left w:val="single" w:color="auto" w:sz="4" w:space="0"/>
              <w:bottom w:val="single" w:color="000000" w:sz="4" w:space="0"/>
              <w:right w:val="single" w:color="auto" w:sz="4" w:space="0"/>
            </w:tcBorders>
            <w:vAlign w:val="center"/>
          </w:tcPr>
          <w:p>
            <w:pPr>
              <w:pStyle w:val="25"/>
              <w:widowControl/>
              <w:spacing w:line="360" w:lineRule="auto"/>
              <w:ind w:left="420" w:firstLine="0" w:firstLineChars="0"/>
              <w:rPr>
                <w:rFonts w:ascii="仿宋_GB2312" w:hAnsi="Calibri" w:eastAsia="仿宋_GB2312" w:cs="仿宋_GB2312"/>
                <w:sz w:val="24"/>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81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263"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r>
      <w:tr>
        <w:tblPrEx>
          <w:tblCellMar>
            <w:top w:w="0" w:type="dxa"/>
            <w:left w:w="108" w:type="dxa"/>
            <w:bottom w:w="0" w:type="dxa"/>
            <w:right w:w="108" w:type="dxa"/>
          </w:tblCellMar>
        </w:tblPrEx>
        <w:trPr>
          <w:trHeight w:val="565" w:hRule="atLeast"/>
          <w:jc w:val="center"/>
        </w:trPr>
        <w:tc>
          <w:tcPr>
            <w:tcW w:w="739" w:type="dxa"/>
            <w:tcBorders>
              <w:top w:val="nil"/>
              <w:left w:val="single" w:color="auto" w:sz="4" w:space="0"/>
              <w:bottom w:val="single" w:color="000000" w:sz="4" w:space="0"/>
              <w:right w:val="single" w:color="auto" w:sz="4" w:space="0"/>
            </w:tcBorders>
            <w:vAlign w:val="center"/>
          </w:tcPr>
          <w:p>
            <w:pPr>
              <w:pStyle w:val="25"/>
              <w:widowControl/>
              <w:spacing w:line="360" w:lineRule="auto"/>
              <w:ind w:left="420" w:firstLine="0" w:firstLineChars="0"/>
              <w:rPr>
                <w:rFonts w:ascii="仿宋_GB2312" w:hAnsi="Calibri" w:eastAsia="仿宋_GB2312" w:cs="仿宋_GB2312"/>
                <w:sz w:val="24"/>
              </w:rPr>
            </w:pPr>
          </w:p>
        </w:tc>
        <w:tc>
          <w:tcPr>
            <w:tcW w:w="1648"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749" w:type="dxa"/>
            <w:tcBorders>
              <w:top w:val="nil"/>
              <w:left w:val="single" w:color="auto" w:sz="4" w:space="0"/>
              <w:bottom w:val="single" w:color="auto" w:sz="4" w:space="0"/>
              <w:right w:val="single" w:color="auto" w:sz="4" w:space="0"/>
            </w:tcBorders>
            <w:vAlign w:val="center"/>
          </w:tcPr>
          <w:p>
            <w:pPr>
              <w:widowControl/>
              <w:spacing w:line="360" w:lineRule="auto"/>
              <w:rPr>
                <w:rFonts w:ascii="仿宋_GB2312" w:eastAsia="仿宋_GB2312" w:cs="仿宋_GB2312"/>
                <w:sz w:val="24"/>
                <w:szCs w:val="24"/>
              </w:rPr>
            </w:pPr>
          </w:p>
        </w:tc>
        <w:tc>
          <w:tcPr>
            <w:tcW w:w="810" w:type="dxa"/>
            <w:tcBorders>
              <w:top w:val="nil"/>
              <w:left w:val="nil"/>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263"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r>
      <w:tr>
        <w:tblPrEx>
          <w:tblCellMar>
            <w:top w:w="0" w:type="dxa"/>
            <w:left w:w="108" w:type="dxa"/>
            <w:bottom w:w="0" w:type="dxa"/>
            <w:right w:w="108" w:type="dxa"/>
          </w:tblCellMar>
        </w:tblPrEx>
        <w:trPr>
          <w:trHeight w:val="565" w:hRule="atLeast"/>
          <w:jc w:val="center"/>
        </w:trPr>
        <w:tc>
          <w:tcPr>
            <w:tcW w:w="739" w:type="dxa"/>
            <w:tcBorders>
              <w:top w:val="nil"/>
              <w:left w:val="single" w:color="auto" w:sz="4" w:space="0"/>
              <w:bottom w:val="single" w:color="000000" w:sz="4" w:space="0"/>
              <w:right w:val="single" w:color="auto" w:sz="4" w:space="0"/>
            </w:tcBorders>
            <w:vAlign w:val="center"/>
          </w:tcPr>
          <w:p>
            <w:pPr>
              <w:pStyle w:val="25"/>
              <w:widowControl/>
              <w:spacing w:line="360" w:lineRule="auto"/>
              <w:ind w:left="420" w:firstLine="0" w:firstLineChars="0"/>
              <w:rPr>
                <w:rFonts w:ascii="仿宋_GB2312" w:hAnsi="Calibri" w:eastAsia="仿宋_GB2312" w:cs="仿宋_GB2312"/>
                <w:sz w:val="24"/>
              </w:rPr>
            </w:pPr>
          </w:p>
        </w:tc>
        <w:tc>
          <w:tcPr>
            <w:tcW w:w="1648"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749" w:type="dxa"/>
            <w:tcBorders>
              <w:top w:val="nil"/>
              <w:left w:val="single" w:color="auto" w:sz="4" w:space="0"/>
              <w:bottom w:val="single" w:color="auto" w:sz="4" w:space="0"/>
              <w:right w:val="single" w:color="auto" w:sz="4" w:space="0"/>
            </w:tcBorders>
            <w:vAlign w:val="center"/>
          </w:tcPr>
          <w:p>
            <w:pPr>
              <w:widowControl/>
              <w:spacing w:line="360" w:lineRule="auto"/>
              <w:rPr>
                <w:rFonts w:ascii="仿宋_GB2312" w:eastAsia="仿宋_GB2312" w:cs="仿宋_GB2312"/>
                <w:sz w:val="24"/>
                <w:szCs w:val="24"/>
              </w:rPr>
            </w:pPr>
          </w:p>
        </w:tc>
        <w:tc>
          <w:tcPr>
            <w:tcW w:w="810" w:type="dxa"/>
            <w:tcBorders>
              <w:top w:val="nil"/>
              <w:left w:val="nil"/>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263"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r>
      <w:tr>
        <w:tblPrEx>
          <w:tblCellMar>
            <w:top w:w="0" w:type="dxa"/>
            <w:left w:w="108" w:type="dxa"/>
            <w:bottom w:w="0" w:type="dxa"/>
            <w:right w:w="108" w:type="dxa"/>
          </w:tblCellMar>
        </w:tblPrEx>
        <w:trPr>
          <w:trHeight w:val="565" w:hRule="atLeast"/>
          <w:jc w:val="center"/>
        </w:trPr>
        <w:tc>
          <w:tcPr>
            <w:tcW w:w="739" w:type="dxa"/>
            <w:tcBorders>
              <w:top w:val="nil"/>
              <w:left w:val="single" w:color="auto" w:sz="4" w:space="0"/>
              <w:bottom w:val="single" w:color="auto" w:sz="4" w:space="0"/>
              <w:right w:val="single" w:color="auto" w:sz="4" w:space="0"/>
            </w:tcBorders>
            <w:vAlign w:val="center"/>
          </w:tcPr>
          <w:p>
            <w:pPr>
              <w:pStyle w:val="25"/>
              <w:widowControl/>
              <w:spacing w:line="360" w:lineRule="auto"/>
              <w:ind w:left="420" w:firstLine="0" w:firstLineChars="0"/>
              <w:rPr>
                <w:rFonts w:ascii="仿宋_GB2312" w:hAnsi="Calibri" w:eastAsia="仿宋_GB2312" w:cs="仿宋_GB2312"/>
                <w:sz w:val="24"/>
              </w:rPr>
            </w:pPr>
          </w:p>
        </w:tc>
        <w:tc>
          <w:tcPr>
            <w:tcW w:w="1648"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749" w:type="dxa"/>
            <w:tcBorders>
              <w:top w:val="nil"/>
              <w:left w:val="single" w:color="auto" w:sz="4" w:space="0"/>
              <w:bottom w:val="single" w:color="auto" w:sz="4" w:space="0"/>
              <w:right w:val="single" w:color="auto" w:sz="4" w:space="0"/>
            </w:tcBorders>
            <w:vAlign w:val="center"/>
          </w:tcPr>
          <w:p>
            <w:pPr>
              <w:widowControl/>
              <w:spacing w:line="360" w:lineRule="auto"/>
              <w:rPr>
                <w:rFonts w:ascii="仿宋_GB2312" w:eastAsia="仿宋_GB2312" w:cs="仿宋_GB2312"/>
                <w:sz w:val="24"/>
                <w:szCs w:val="24"/>
              </w:rPr>
            </w:pPr>
          </w:p>
        </w:tc>
        <w:tc>
          <w:tcPr>
            <w:tcW w:w="810" w:type="dxa"/>
            <w:tcBorders>
              <w:top w:val="nil"/>
              <w:left w:val="nil"/>
              <w:bottom w:val="single" w:color="auto" w:sz="4" w:space="0"/>
              <w:right w:val="single" w:color="auto" w:sz="4" w:space="0"/>
            </w:tcBorders>
            <w:vAlign w:val="center"/>
          </w:tcPr>
          <w:p>
            <w:pPr>
              <w:spacing w:line="360" w:lineRule="auto"/>
              <w:jc w:val="center"/>
              <w:rPr>
                <w:rFonts w:ascii="仿宋_GB2312" w:eastAsia="仿宋_GB2312" w:cs="仿宋_GB2312"/>
                <w:sz w:val="24"/>
                <w:szCs w:val="24"/>
              </w:rPr>
            </w:pPr>
          </w:p>
        </w:tc>
        <w:tc>
          <w:tcPr>
            <w:tcW w:w="1263" w:type="dxa"/>
            <w:tcBorders>
              <w:top w:val="single" w:color="auto" w:sz="4" w:space="0"/>
              <w:left w:val="nil"/>
              <w:bottom w:val="single" w:color="auto" w:sz="4" w:space="0"/>
              <w:right w:val="single" w:color="auto" w:sz="4" w:space="0"/>
            </w:tcBorders>
            <w:vAlign w:val="center"/>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c>
          <w:tcPr>
            <w:tcW w:w="1261" w:type="dxa"/>
            <w:tcBorders>
              <w:top w:val="single" w:color="auto" w:sz="4" w:space="0"/>
              <w:left w:val="nil"/>
              <w:bottom w:val="single" w:color="auto" w:sz="4" w:space="0"/>
              <w:right w:val="single" w:color="auto" w:sz="4" w:space="0"/>
            </w:tcBorders>
          </w:tcPr>
          <w:p>
            <w:pPr>
              <w:spacing w:line="360" w:lineRule="auto"/>
              <w:rPr>
                <w:rFonts w:ascii="仿宋_GB2312" w:eastAsia="仿宋_GB2312" w:cs="仿宋_GB2312"/>
                <w:sz w:val="24"/>
                <w:szCs w:val="24"/>
              </w:rPr>
            </w:pPr>
          </w:p>
        </w:tc>
      </w:tr>
    </w:tbl>
    <w:p>
      <w:pPr>
        <w:pStyle w:val="26"/>
        <w:spacing w:line="360" w:lineRule="auto"/>
        <w:ind w:firstLine="480" w:firstLineChars="200"/>
        <w:jc w:val="both"/>
        <w:rPr>
          <w:rFonts w:ascii="仿宋_GB2312" w:hAnsi="Calibri" w:eastAsia="仿宋_GB2312" w:cs="仿宋_GB2312"/>
          <w:color w:val="auto"/>
          <w:kern w:val="2"/>
        </w:rPr>
      </w:pPr>
    </w:p>
    <w:p>
      <w:pPr>
        <w:pStyle w:val="2"/>
        <w:spacing w:line="360" w:lineRule="auto"/>
        <w:rPr>
          <w:rFonts w:hAnsi="黑体" w:cs="黑体"/>
          <w:b w:val="0"/>
          <w:kern w:val="2"/>
          <w:sz w:val="24"/>
          <w:szCs w:val="24"/>
        </w:rPr>
      </w:pPr>
      <w:bookmarkStart w:id="13" w:name="_Toc55829562"/>
      <w:r>
        <w:rPr>
          <w:rFonts w:hint="eastAsia" w:hAnsi="黑体" w:cs="黑体"/>
          <w:b w:val="0"/>
          <w:kern w:val="2"/>
          <w:sz w:val="24"/>
          <w:szCs w:val="24"/>
          <w:lang w:val="en-US" w:eastAsia="zh-CN"/>
        </w:rPr>
        <w:t>十</w:t>
      </w:r>
      <w:r>
        <w:rPr>
          <w:rFonts w:hint="eastAsia" w:hAnsi="黑体" w:cs="黑体"/>
          <w:b w:val="0"/>
          <w:kern w:val="2"/>
          <w:sz w:val="24"/>
          <w:szCs w:val="24"/>
        </w:rPr>
        <w:t>、风险定期回顾</w:t>
      </w:r>
      <w:bookmarkEnd w:id="13"/>
    </w:p>
    <w:p>
      <w:pPr>
        <w:spacing w:line="360" w:lineRule="auto"/>
        <w:ind w:firstLine="480" w:firstLineChars="200"/>
        <w:rPr>
          <w:rFonts w:ascii="仿宋_GB2312" w:eastAsia="仿宋_GB2312" w:cs="仿宋_GB2312"/>
          <w:sz w:val="24"/>
          <w:szCs w:val="24"/>
        </w:rPr>
      </w:pPr>
      <w:r>
        <w:rPr>
          <w:rFonts w:ascii="仿宋_GB2312" w:eastAsia="仿宋_GB2312" w:cs="仿宋_GB2312"/>
          <w:sz w:val="24"/>
          <w:szCs w:val="24"/>
        </w:rPr>
        <w:t>XXX</w:t>
      </w:r>
      <w:r>
        <w:rPr>
          <w:rFonts w:hint="eastAsia" w:ascii="仿宋_GB2312" w:eastAsia="仿宋_GB2312" w:cs="仿宋_GB2312"/>
          <w:sz w:val="24"/>
          <w:szCs w:val="24"/>
        </w:rPr>
        <w:t>药品经风险评估，综合风险等级为高</w:t>
      </w:r>
      <w:r>
        <w:rPr>
          <w:rFonts w:ascii="仿宋_GB2312" w:eastAsia="仿宋_GB2312" w:cs="仿宋_GB2312"/>
          <w:sz w:val="24"/>
          <w:szCs w:val="24"/>
        </w:rPr>
        <w:t>/</w:t>
      </w:r>
      <w:r>
        <w:rPr>
          <w:rFonts w:hint="eastAsia" w:ascii="仿宋_GB2312" w:eastAsia="仿宋_GB2312" w:cs="仿宋_GB2312"/>
          <w:sz w:val="24"/>
          <w:szCs w:val="24"/>
        </w:rPr>
        <w:t>中</w:t>
      </w:r>
      <w:r>
        <w:rPr>
          <w:rFonts w:ascii="仿宋_GB2312" w:eastAsia="仿宋_GB2312" w:cs="仿宋_GB2312"/>
          <w:sz w:val="24"/>
          <w:szCs w:val="24"/>
        </w:rPr>
        <w:t>/</w:t>
      </w:r>
      <w:r>
        <w:rPr>
          <w:rFonts w:hint="eastAsia" w:ascii="仿宋_GB2312" w:eastAsia="仿宋_GB2312" w:cs="仿宋_GB2312"/>
          <w:sz w:val="24"/>
          <w:szCs w:val="24"/>
        </w:rPr>
        <w:t>低风险，对应的</w:t>
      </w:r>
      <w:r>
        <w:rPr>
          <w:rFonts w:hint="eastAsia" w:ascii="仿宋_GB2312" w:eastAsia="仿宋_GB2312" w:cs="仿宋_GB2312"/>
          <w:sz w:val="24"/>
          <w:szCs w:val="24"/>
          <w:lang w:eastAsia="zh-CN"/>
        </w:rPr>
        <w:t>监控</w:t>
      </w:r>
      <w:r>
        <w:rPr>
          <w:rFonts w:hint="eastAsia" w:ascii="仿宋_GB2312" w:eastAsia="仿宋_GB2312" w:cs="仿宋_GB2312"/>
          <w:sz w:val="24"/>
          <w:szCs w:val="24"/>
        </w:rPr>
        <w:t>级别为</w:t>
      </w:r>
      <w:r>
        <w:rPr>
          <w:rFonts w:hint="eastAsia" w:ascii="仿宋_GB2312" w:eastAsia="仿宋_GB2312" w:cs="仿宋_GB2312"/>
          <w:sz w:val="24"/>
          <w:szCs w:val="24"/>
          <w:lang w:eastAsia="zh-CN"/>
        </w:rPr>
        <w:t>主要监控</w:t>
      </w:r>
      <w:r>
        <w:rPr>
          <w:rFonts w:ascii="仿宋_GB2312" w:eastAsia="仿宋_GB2312" w:cs="仿宋_GB2312"/>
          <w:sz w:val="24"/>
          <w:szCs w:val="24"/>
        </w:rPr>
        <w:t>/</w:t>
      </w:r>
      <w:r>
        <w:rPr>
          <w:rFonts w:hint="eastAsia" w:ascii="仿宋_GB2312" w:eastAsia="仿宋_GB2312" w:cs="仿宋_GB2312"/>
          <w:sz w:val="24"/>
          <w:szCs w:val="24"/>
          <w:lang w:eastAsia="zh-CN"/>
        </w:rPr>
        <w:t>次要监控</w:t>
      </w:r>
      <w:r>
        <w:rPr>
          <w:rFonts w:ascii="仿宋_GB2312" w:eastAsia="仿宋_GB2312" w:cs="仿宋_GB2312"/>
          <w:sz w:val="24"/>
          <w:szCs w:val="24"/>
        </w:rPr>
        <w:t>/</w:t>
      </w:r>
      <w:r>
        <w:rPr>
          <w:rFonts w:hint="eastAsia" w:ascii="仿宋_GB2312" w:eastAsia="仿宋_GB2312" w:cs="仿宋_GB2312"/>
          <w:sz w:val="24"/>
          <w:szCs w:val="24"/>
          <w:lang w:eastAsia="zh-CN"/>
        </w:rPr>
        <w:t>一般监控</w:t>
      </w:r>
      <w:r>
        <w:rPr>
          <w:rFonts w:hint="eastAsia" w:ascii="仿宋_GB2312" w:eastAsia="仿宋_GB2312" w:cs="仿宋_GB2312"/>
          <w:sz w:val="24"/>
          <w:szCs w:val="24"/>
        </w:rPr>
        <w:t>，</w:t>
      </w:r>
      <w:r>
        <w:rPr>
          <w:rFonts w:hint="eastAsia" w:ascii="仿宋_GB2312" w:eastAsia="仿宋_GB2312" w:cs="仿宋_GB2312"/>
          <w:sz w:val="24"/>
          <w:szCs w:val="24"/>
          <w:highlight w:val="none"/>
        </w:rPr>
        <w:t>风险定期回顾周期为每年</w:t>
      </w:r>
      <w:r>
        <w:rPr>
          <w:rFonts w:ascii="仿宋_GB2312" w:eastAsia="仿宋_GB2312" w:cs="仿宋_GB2312"/>
          <w:sz w:val="24"/>
          <w:szCs w:val="24"/>
          <w:highlight w:val="none"/>
        </w:rPr>
        <w:t>/</w:t>
      </w:r>
      <w:r>
        <w:rPr>
          <w:rFonts w:hint="eastAsia" w:ascii="仿宋_GB2312" w:eastAsia="仿宋_GB2312" w:cs="仿宋_GB2312"/>
          <w:sz w:val="24"/>
          <w:szCs w:val="24"/>
          <w:highlight w:val="none"/>
        </w:rPr>
        <w:t>每两年</w:t>
      </w:r>
      <w:r>
        <w:rPr>
          <w:rFonts w:ascii="仿宋_GB2312" w:eastAsia="仿宋_GB2312" w:cs="仿宋_GB2312"/>
          <w:sz w:val="24"/>
          <w:szCs w:val="24"/>
          <w:highlight w:val="none"/>
        </w:rPr>
        <w:t>/</w:t>
      </w:r>
      <w:r>
        <w:rPr>
          <w:rFonts w:hint="eastAsia" w:ascii="仿宋_GB2312" w:eastAsia="仿宋_GB2312" w:cs="仿宋_GB2312"/>
          <w:sz w:val="24"/>
          <w:szCs w:val="24"/>
          <w:highlight w:val="none"/>
        </w:rPr>
        <w:t>每三年。</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7BD"/>
    <w:rsid w:val="00021939"/>
    <w:rsid w:val="00044614"/>
    <w:rsid w:val="0004479F"/>
    <w:rsid w:val="0005419E"/>
    <w:rsid w:val="00060911"/>
    <w:rsid w:val="000841E8"/>
    <w:rsid w:val="000A0B81"/>
    <w:rsid w:val="000A3968"/>
    <w:rsid w:val="000A55E6"/>
    <w:rsid w:val="000C38D2"/>
    <w:rsid w:val="000C7C90"/>
    <w:rsid w:val="000D2B07"/>
    <w:rsid w:val="000E3411"/>
    <w:rsid w:val="000F4FE7"/>
    <w:rsid w:val="00105822"/>
    <w:rsid w:val="00120D6A"/>
    <w:rsid w:val="001214FF"/>
    <w:rsid w:val="00124A6C"/>
    <w:rsid w:val="0013618E"/>
    <w:rsid w:val="00137009"/>
    <w:rsid w:val="0014200D"/>
    <w:rsid w:val="00155F7D"/>
    <w:rsid w:val="001615D3"/>
    <w:rsid w:val="00167B6D"/>
    <w:rsid w:val="00177E36"/>
    <w:rsid w:val="001831A1"/>
    <w:rsid w:val="001A122E"/>
    <w:rsid w:val="001A2FDE"/>
    <w:rsid w:val="001B2D6B"/>
    <w:rsid w:val="001B31A1"/>
    <w:rsid w:val="001C0E88"/>
    <w:rsid w:val="001C627B"/>
    <w:rsid w:val="001D044B"/>
    <w:rsid w:val="001D1BF4"/>
    <w:rsid w:val="001D2E33"/>
    <w:rsid w:val="001D4C53"/>
    <w:rsid w:val="001D5702"/>
    <w:rsid w:val="001D6C4B"/>
    <w:rsid w:val="001E3C70"/>
    <w:rsid w:val="001E7165"/>
    <w:rsid w:val="001F3948"/>
    <w:rsid w:val="0021457F"/>
    <w:rsid w:val="00214C44"/>
    <w:rsid w:val="00222921"/>
    <w:rsid w:val="00254637"/>
    <w:rsid w:val="00264339"/>
    <w:rsid w:val="002745BC"/>
    <w:rsid w:val="00285849"/>
    <w:rsid w:val="0029698F"/>
    <w:rsid w:val="002A12C8"/>
    <w:rsid w:val="002A171C"/>
    <w:rsid w:val="002A3A22"/>
    <w:rsid w:val="002C0F28"/>
    <w:rsid w:val="002C1FC4"/>
    <w:rsid w:val="002C65EF"/>
    <w:rsid w:val="002C679A"/>
    <w:rsid w:val="002C7183"/>
    <w:rsid w:val="002E4D89"/>
    <w:rsid w:val="002E6140"/>
    <w:rsid w:val="002F0177"/>
    <w:rsid w:val="0030073E"/>
    <w:rsid w:val="003010BE"/>
    <w:rsid w:val="00303301"/>
    <w:rsid w:val="003078D1"/>
    <w:rsid w:val="00310D5C"/>
    <w:rsid w:val="0031251D"/>
    <w:rsid w:val="0033608A"/>
    <w:rsid w:val="00341402"/>
    <w:rsid w:val="003437BD"/>
    <w:rsid w:val="0035211A"/>
    <w:rsid w:val="00352970"/>
    <w:rsid w:val="00372DBF"/>
    <w:rsid w:val="00383C32"/>
    <w:rsid w:val="003A7193"/>
    <w:rsid w:val="003B5ACA"/>
    <w:rsid w:val="003C0C83"/>
    <w:rsid w:val="003C503B"/>
    <w:rsid w:val="003C5FA8"/>
    <w:rsid w:val="003C6687"/>
    <w:rsid w:val="003D0E2E"/>
    <w:rsid w:val="003E1AEE"/>
    <w:rsid w:val="003E23B8"/>
    <w:rsid w:val="003E5FCC"/>
    <w:rsid w:val="003F3C1C"/>
    <w:rsid w:val="004079A7"/>
    <w:rsid w:val="00422FB6"/>
    <w:rsid w:val="0042387E"/>
    <w:rsid w:val="004314F2"/>
    <w:rsid w:val="00431737"/>
    <w:rsid w:val="0043583D"/>
    <w:rsid w:val="004427E4"/>
    <w:rsid w:val="00454E69"/>
    <w:rsid w:val="00455E73"/>
    <w:rsid w:val="00460307"/>
    <w:rsid w:val="00474C0E"/>
    <w:rsid w:val="00474EC6"/>
    <w:rsid w:val="00484291"/>
    <w:rsid w:val="004A2603"/>
    <w:rsid w:val="004A34B8"/>
    <w:rsid w:val="004B6666"/>
    <w:rsid w:val="004C3D56"/>
    <w:rsid w:val="004C7314"/>
    <w:rsid w:val="004F45A1"/>
    <w:rsid w:val="00503CD7"/>
    <w:rsid w:val="00525A2F"/>
    <w:rsid w:val="0053629A"/>
    <w:rsid w:val="00536CB4"/>
    <w:rsid w:val="00540D16"/>
    <w:rsid w:val="00552AF7"/>
    <w:rsid w:val="00554F1E"/>
    <w:rsid w:val="00573864"/>
    <w:rsid w:val="00577109"/>
    <w:rsid w:val="00585CB1"/>
    <w:rsid w:val="005933A6"/>
    <w:rsid w:val="005B39C1"/>
    <w:rsid w:val="005C3032"/>
    <w:rsid w:val="005D0901"/>
    <w:rsid w:val="005E3A18"/>
    <w:rsid w:val="005E7CF9"/>
    <w:rsid w:val="005F5FFB"/>
    <w:rsid w:val="006019FF"/>
    <w:rsid w:val="0060286D"/>
    <w:rsid w:val="00611AE1"/>
    <w:rsid w:val="00612A1D"/>
    <w:rsid w:val="00612F66"/>
    <w:rsid w:val="006473C6"/>
    <w:rsid w:val="00647530"/>
    <w:rsid w:val="00664C98"/>
    <w:rsid w:val="00667190"/>
    <w:rsid w:val="00676EB6"/>
    <w:rsid w:val="00684208"/>
    <w:rsid w:val="00693162"/>
    <w:rsid w:val="00695EE1"/>
    <w:rsid w:val="006A24E9"/>
    <w:rsid w:val="006A4A56"/>
    <w:rsid w:val="006A520F"/>
    <w:rsid w:val="006C2A6A"/>
    <w:rsid w:val="006D6CB5"/>
    <w:rsid w:val="006D7952"/>
    <w:rsid w:val="006D7F89"/>
    <w:rsid w:val="006E7230"/>
    <w:rsid w:val="00700419"/>
    <w:rsid w:val="00717D84"/>
    <w:rsid w:val="00734964"/>
    <w:rsid w:val="00734C7F"/>
    <w:rsid w:val="00745DF0"/>
    <w:rsid w:val="00752DDA"/>
    <w:rsid w:val="00754E85"/>
    <w:rsid w:val="00760993"/>
    <w:rsid w:val="00765F42"/>
    <w:rsid w:val="007670C0"/>
    <w:rsid w:val="00786AE5"/>
    <w:rsid w:val="00791022"/>
    <w:rsid w:val="00795148"/>
    <w:rsid w:val="00795EE1"/>
    <w:rsid w:val="007A0612"/>
    <w:rsid w:val="007B1A1C"/>
    <w:rsid w:val="007B722B"/>
    <w:rsid w:val="007C2B69"/>
    <w:rsid w:val="007C44F9"/>
    <w:rsid w:val="007C53A3"/>
    <w:rsid w:val="007C655F"/>
    <w:rsid w:val="007D2FAD"/>
    <w:rsid w:val="007D719C"/>
    <w:rsid w:val="007F77F7"/>
    <w:rsid w:val="0082159E"/>
    <w:rsid w:val="0082281A"/>
    <w:rsid w:val="0082523C"/>
    <w:rsid w:val="00832BD0"/>
    <w:rsid w:val="00842211"/>
    <w:rsid w:val="008551DB"/>
    <w:rsid w:val="00855785"/>
    <w:rsid w:val="008630FD"/>
    <w:rsid w:val="00863BF2"/>
    <w:rsid w:val="0087370E"/>
    <w:rsid w:val="00875253"/>
    <w:rsid w:val="008762B2"/>
    <w:rsid w:val="008825FB"/>
    <w:rsid w:val="008845BB"/>
    <w:rsid w:val="0089051B"/>
    <w:rsid w:val="00895688"/>
    <w:rsid w:val="008B5F42"/>
    <w:rsid w:val="008C0AC4"/>
    <w:rsid w:val="008C26F9"/>
    <w:rsid w:val="008D0824"/>
    <w:rsid w:val="008D5FFD"/>
    <w:rsid w:val="008E4A8B"/>
    <w:rsid w:val="008E6A94"/>
    <w:rsid w:val="008F5881"/>
    <w:rsid w:val="008F6883"/>
    <w:rsid w:val="008F6D88"/>
    <w:rsid w:val="00900B53"/>
    <w:rsid w:val="009040FA"/>
    <w:rsid w:val="00917178"/>
    <w:rsid w:val="00941B66"/>
    <w:rsid w:val="0095729E"/>
    <w:rsid w:val="00961BCD"/>
    <w:rsid w:val="00974DE1"/>
    <w:rsid w:val="00975118"/>
    <w:rsid w:val="009772D5"/>
    <w:rsid w:val="009869E4"/>
    <w:rsid w:val="00991508"/>
    <w:rsid w:val="00994DD4"/>
    <w:rsid w:val="00995020"/>
    <w:rsid w:val="009A29D4"/>
    <w:rsid w:val="009A4E87"/>
    <w:rsid w:val="009A549C"/>
    <w:rsid w:val="009B044D"/>
    <w:rsid w:val="009B2C24"/>
    <w:rsid w:val="009C029C"/>
    <w:rsid w:val="009C35F0"/>
    <w:rsid w:val="009C52CF"/>
    <w:rsid w:val="009C6DF0"/>
    <w:rsid w:val="009E0E10"/>
    <w:rsid w:val="009E39AA"/>
    <w:rsid w:val="009E4AD1"/>
    <w:rsid w:val="009F1EC2"/>
    <w:rsid w:val="00A022AF"/>
    <w:rsid w:val="00A243BE"/>
    <w:rsid w:val="00A42F09"/>
    <w:rsid w:val="00A54753"/>
    <w:rsid w:val="00A54E2E"/>
    <w:rsid w:val="00A605EA"/>
    <w:rsid w:val="00A6104B"/>
    <w:rsid w:val="00A6351B"/>
    <w:rsid w:val="00A77820"/>
    <w:rsid w:val="00A819D7"/>
    <w:rsid w:val="00A85E15"/>
    <w:rsid w:val="00A8692D"/>
    <w:rsid w:val="00AB2584"/>
    <w:rsid w:val="00AC4E89"/>
    <w:rsid w:val="00AD1341"/>
    <w:rsid w:val="00AD3386"/>
    <w:rsid w:val="00AE319D"/>
    <w:rsid w:val="00AE4EA8"/>
    <w:rsid w:val="00B004D1"/>
    <w:rsid w:val="00B0239E"/>
    <w:rsid w:val="00B11317"/>
    <w:rsid w:val="00B159D7"/>
    <w:rsid w:val="00B21297"/>
    <w:rsid w:val="00B21C6F"/>
    <w:rsid w:val="00B3347E"/>
    <w:rsid w:val="00B44263"/>
    <w:rsid w:val="00B503F8"/>
    <w:rsid w:val="00B50F60"/>
    <w:rsid w:val="00B548B2"/>
    <w:rsid w:val="00B661D8"/>
    <w:rsid w:val="00B7056D"/>
    <w:rsid w:val="00B71D86"/>
    <w:rsid w:val="00B720AD"/>
    <w:rsid w:val="00B7526D"/>
    <w:rsid w:val="00B82A6D"/>
    <w:rsid w:val="00B83691"/>
    <w:rsid w:val="00B9197F"/>
    <w:rsid w:val="00B92201"/>
    <w:rsid w:val="00BB3123"/>
    <w:rsid w:val="00BB462C"/>
    <w:rsid w:val="00C03A3A"/>
    <w:rsid w:val="00C319BC"/>
    <w:rsid w:val="00C41045"/>
    <w:rsid w:val="00C42F32"/>
    <w:rsid w:val="00C515A4"/>
    <w:rsid w:val="00C66500"/>
    <w:rsid w:val="00C80C87"/>
    <w:rsid w:val="00C8497D"/>
    <w:rsid w:val="00CA4643"/>
    <w:rsid w:val="00CC223E"/>
    <w:rsid w:val="00CC70CF"/>
    <w:rsid w:val="00CD2190"/>
    <w:rsid w:val="00CD3DBE"/>
    <w:rsid w:val="00CE353A"/>
    <w:rsid w:val="00CE52A2"/>
    <w:rsid w:val="00D02087"/>
    <w:rsid w:val="00D05D7E"/>
    <w:rsid w:val="00D111D2"/>
    <w:rsid w:val="00D156C4"/>
    <w:rsid w:val="00D16E57"/>
    <w:rsid w:val="00D20129"/>
    <w:rsid w:val="00D20A3C"/>
    <w:rsid w:val="00D3143A"/>
    <w:rsid w:val="00D3487F"/>
    <w:rsid w:val="00D36547"/>
    <w:rsid w:val="00D40AAE"/>
    <w:rsid w:val="00D40FBD"/>
    <w:rsid w:val="00D417DD"/>
    <w:rsid w:val="00D4414B"/>
    <w:rsid w:val="00D453FC"/>
    <w:rsid w:val="00D47B33"/>
    <w:rsid w:val="00D51C41"/>
    <w:rsid w:val="00D548C3"/>
    <w:rsid w:val="00D61E15"/>
    <w:rsid w:val="00D63170"/>
    <w:rsid w:val="00D67993"/>
    <w:rsid w:val="00D7424C"/>
    <w:rsid w:val="00D74570"/>
    <w:rsid w:val="00D90160"/>
    <w:rsid w:val="00D9714B"/>
    <w:rsid w:val="00DA31CF"/>
    <w:rsid w:val="00DB2A7C"/>
    <w:rsid w:val="00DB6C07"/>
    <w:rsid w:val="00DC3A8D"/>
    <w:rsid w:val="00DC6ED4"/>
    <w:rsid w:val="00DD17C3"/>
    <w:rsid w:val="00DE0EC3"/>
    <w:rsid w:val="00E04CE8"/>
    <w:rsid w:val="00E07E13"/>
    <w:rsid w:val="00E125F2"/>
    <w:rsid w:val="00E24772"/>
    <w:rsid w:val="00E349CB"/>
    <w:rsid w:val="00E45381"/>
    <w:rsid w:val="00E45894"/>
    <w:rsid w:val="00E521A5"/>
    <w:rsid w:val="00E651E6"/>
    <w:rsid w:val="00E66C6E"/>
    <w:rsid w:val="00E723B6"/>
    <w:rsid w:val="00E82147"/>
    <w:rsid w:val="00E93CB9"/>
    <w:rsid w:val="00E93E06"/>
    <w:rsid w:val="00EC1548"/>
    <w:rsid w:val="00EC1F0D"/>
    <w:rsid w:val="00ED6255"/>
    <w:rsid w:val="00ED6984"/>
    <w:rsid w:val="00EE19C0"/>
    <w:rsid w:val="00EE62C3"/>
    <w:rsid w:val="00EF1B18"/>
    <w:rsid w:val="00EF2922"/>
    <w:rsid w:val="00EF4EEA"/>
    <w:rsid w:val="00EF7C48"/>
    <w:rsid w:val="00F00E56"/>
    <w:rsid w:val="00F06F86"/>
    <w:rsid w:val="00F11970"/>
    <w:rsid w:val="00F17318"/>
    <w:rsid w:val="00F20D0C"/>
    <w:rsid w:val="00F34356"/>
    <w:rsid w:val="00F37A6F"/>
    <w:rsid w:val="00F57071"/>
    <w:rsid w:val="00F7502C"/>
    <w:rsid w:val="00F75099"/>
    <w:rsid w:val="00F75B63"/>
    <w:rsid w:val="00F81905"/>
    <w:rsid w:val="00F8238A"/>
    <w:rsid w:val="00F84577"/>
    <w:rsid w:val="00F8537C"/>
    <w:rsid w:val="00FA0FE9"/>
    <w:rsid w:val="00FA70A8"/>
    <w:rsid w:val="00FB6457"/>
    <w:rsid w:val="00FC4CB7"/>
    <w:rsid w:val="00FC6454"/>
    <w:rsid w:val="00FE2FEE"/>
    <w:rsid w:val="00FE5B8C"/>
    <w:rsid w:val="01A21F61"/>
    <w:rsid w:val="021008ED"/>
    <w:rsid w:val="02D74E7E"/>
    <w:rsid w:val="04A24413"/>
    <w:rsid w:val="04B0355E"/>
    <w:rsid w:val="0640518B"/>
    <w:rsid w:val="06F12377"/>
    <w:rsid w:val="089B30D6"/>
    <w:rsid w:val="08F75B97"/>
    <w:rsid w:val="0A1245EC"/>
    <w:rsid w:val="0A254503"/>
    <w:rsid w:val="0B2816BD"/>
    <w:rsid w:val="0BFF1344"/>
    <w:rsid w:val="0E1C5043"/>
    <w:rsid w:val="0F161A73"/>
    <w:rsid w:val="0F722719"/>
    <w:rsid w:val="0FB27947"/>
    <w:rsid w:val="11337CB7"/>
    <w:rsid w:val="123650E4"/>
    <w:rsid w:val="12A70D40"/>
    <w:rsid w:val="13D617E4"/>
    <w:rsid w:val="14E06E04"/>
    <w:rsid w:val="14EC5CD2"/>
    <w:rsid w:val="15566972"/>
    <w:rsid w:val="183828AD"/>
    <w:rsid w:val="192530FD"/>
    <w:rsid w:val="19F4632F"/>
    <w:rsid w:val="1A22600D"/>
    <w:rsid w:val="1AD75CC6"/>
    <w:rsid w:val="1B286CCE"/>
    <w:rsid w:val="1B790D11"/>
    <w:rsid w:val="1BF100C6"/>
    <w:rsid w:val="1BFA7BBE"/>
    <w:rsid w:val="1D2343DD"/>
    <w:rsid w:val="1D6F2927"/>
    <w:rsid w:val="1DB95B28"/>
    <w:rsid w:val="1EB61439"/>
    <w:rsid w:val="1F396548"/>
    <w:rsid w:val="202F30C7"/>
    <w:rsid w:val="211846E6"/>
    <w:rsid w:val="22543B09"/>
    <w:rsid w:val="2315473D"/>
    <w:rsid w:val="2420213F"/>
    <w:rsid w:val="24435B9B"/>
    <w:rsid w:val="24603E7F"/>
    <w:rsid w:val="24E84162"/>
    <w:rsid w:val="25B31290"/>
    <w:rsid w:val="25C41B97"/>
    <w:rsid w:val="26442450"/>
    <w:rsid w:val="29CC396B"/>
    <w:rsid w:val="2BE4163F"/>
    <w:rsid w:val="2D1F1926"/>
    <w:rsid w:val="2E766C21"/>
    <w:rsid w:val="309D04EA"/>
    <w:rsid w:val="31273A58"/>
    <w:rsid w:val="31CC50D6"/>
    <w:rsid w:val="323545E9"/>
    <w:rsid w:val="3554219F"/>
    <w:rsid w:val="35783EEB"/>
    <w:rsid w:val="361E7268"/>
    <w:rsid w:val="37830AAE"/>
    <w:rsid w:val="37A0108D"/>
    <w:rsid w:val="37D410FD"/>
    <w:rsid w:val="38AA0A7A"/>
    <w:rsid w:val="38CF67D1"/>
    <w:rsid w:val="38DA4926"/>
    <w:rsid w:val="3C5A202A"/>
    <w:rsid w:val="3D1055A9"/>
    <w:rsid w:val="3DDD2817"/>
    <w:rsid w:val="3EBC5878"/>
    <w:rsid w:val="417746AB"/>
    <w:rsid w:val="42194D48"/>
    <w:rsid w:val="42341269"/>
    <w:rsid w:val="428742AE"/>
    <w:rsid w:val="42D63B07"/>
    <w:rsid w:val="43827FDE"/>
    <w:rsid w:val="46A1444C"/>
    <w:rsid w:val="47062D72"/>
    <w:rsid w:val="47231171"/>
    <w:rsid w:val="47A13C47"/>
    <w:rsid w:val="47DA3E43"/>
    <w:rsid w:val="4817108C"/>
    <w:rsid w:val="49857DAA"/>
    <w:rsid w:val="4C0033ED"/>
    <w:rsid w:val="4C422740"/>
    <w:rsid w:val="4CB64E0C"/>
    <w:rsid w:val="4EA401D6"/>
    <w:rsid w:val="501C2F8E"/>
    <w:rsid w:val="51BB7830"/>
    <w:rsid w:val="53032A9E"/>
    <w:rsid w:val="551D44A5"/>
    <w:rsid w:val="5572368D"/>
    <w:rsid w:val="56DE2439"/>
    <w:rsid w:val="57027CA4"/>
    <w:rsid w:val="5737175D"/>
    <w:rsid w:val="58BE37FC"/>
    <w:rsid w:val="58F14721"/>
    <w:rsid w:val="59AA7C04"/>
    <w:rsid w:val="5C186534"/>
    <w:rsid w:val="5CD4291A"/>
    <w:rsid w:val="5DD62B7F"/>
    <w:rsid w:val="5DF90FA8"/>
    <w:rsid w:val="5E722682"/>
    <w:rsid w:val="5E872218"/>
    <w:rsid w:val="5FB7738C"/>
    <w:rsid w:val="602D4C8E"/>
    <w:rsid w:val="60942A64"/>
    <w:rsid w:val="60BB241E"/>
    <w:rsid w:val="618F34F0"/>
    <w:rsid w:val="620D2DCB"/>
    <w:rsid w:val="62985CAF"/>
    <w:rsid w:val="6305058B"/>
    <w:rsid w:val="648C4337"/>
    <w:rsid w:val="654D4E2D"/>
    <w:rsid w:val="658F36E3"/>
    <w:rsid w:val="65EA0E05"/>
    <w:rsid w:val="677B5007"/>
    <w:rsid w:val="67A90B68"/>
    <w:rsid w:val="686168EA"/>
    <w:rsid w:val="6AF10C6E"/>
    <w:rsid w:val="6B0A0F9A"/>
    <w:rsid w:val="6B172C1D"/>
    <w:rsid w:val="6BAC0B7D"/>
    <w:rsid w:val="6BE341C5"/>
    <w:rsid w:val="6F910E4C"/>
    <w:rsid w:val="6FAA76C3"/>
    <w:rsid w:val="6FC35EE8"/>
    <w:rsid w:val="70936E14"/>
    <w:rsid w:val="71034583"/>
    <w:rsid w:val="7348371A"/>
    <w:rsid w:val="736D6422"/>
    <w:rsid w:val="73A03B39"/>
    <w:rsid w:val="753D6398"/>
    <w:rsid w:val="75505645"/>
    <w:rsid w:val="761E4EE1"/>
    <w:rsid w:val="76A15AE0"/>
    <w:rsid w:val="78793E8F"/>
    <w:rsid w:val="78803805"/>
    <w:rsid w:val="78C103C3"/>
    <w:rsid w:val="79995170"/>
    <w:rsid w:val="7AD27890"/>
    <w:rsid w:val="7BFF5790"/>
    <w:rsid w:val="7C500ED5"/>
    <w:rsid w:val="7D051886"/>
    <w:rsid w:val="7DC62955"/>
    <w:rsid w:val="7EFC2F9D"/>
    <w:rsid w:val="7FB006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1"/>
        <o:r id="V:Rule2" type="connector" idref="#_x0000_s1033"/>
        <o:r id="V:Rule3" type="connector" idref="#_x0000_s1034"/>
        <o:r id="V:Rule4" type="connector" idref="#_x0000_s1035"/>
        <o:r id="V:Rule5" type="connector" idref="#_x0000_s1037"/>
        <o:r id="V:Rule6" type="connector" idref="#_x0000_s1038"/>
        <o:r id="V:Rule7" type="connector" idref="#_x0000_s1039"/>
        <o:r id="V:Rule8" type="connector" idref="#_x0000_s1043"/>
        <o:r id="V:Rule9" type="connector" idref="#_x0000_s1045"/>
        <o:r id="V:Rule10" type="connector" idref="#_x0000_s1049"/>
        <o:r id="V:Rule11" type="connector" idref="#_x0000_s1050"/>
        <o:r id="V:Rule12" type="connector" idref="#_x0000_s1051"/>
        <o:r id="V:Rule13" type="connector" idref="#_x0000_s1052"/>
        <o:r id="V:Rule14" type="connector" idref="#_x0000_s1053"/>
        <o:r id="V:Rule15" type="connector" idref="#_x0000_s1056"/>
        <o:r id="V:Rule16" type="connector" idref="#_x0000_s1058"/>
        <o:r id="V:Rule17" type="connector" idref="#_x0000_s1060"/>
        <o:r id="V:Rule18" type="connector" idref="#_x0000_s1061"/>
        <o:r id="V:Rule19" type="connector" idref="#_x0000_s1062"/>
        <o:r id="V:Rule20" type="connector" idref="#_x0000_s1063"/>
        <o:r id="V:Rule21" type="connector" idref="#_x0000_s1064"/>
        <o:r id="V:Rule22" type="connector" idref="#_x0000_s1065"/>
        <o:r id="V:Rule23" type="connector" idref="#_x0000_s1068"/>
        <o:r id="V:Rule24" type="connector" idref="#_x0000_s1069"/>
        <o:r id="V:Rule25" type="connector" idref="#_x0000_s1074"/>
        <o:r id="V:Rule26" type="connector" idref="#_x0000_s1075"/>
        <o:r id="V:Rule27" type="connector" idref="#_x0000_s1078"/>
        <o:r id="V:Rule28" type="connector" idref="#_x0000_s1079"/>
        <o:r id="V:Rule29" type="connector" idref="#_x0000_s1080"/>
        <o:r id="V:Rule30" type="connector" idref="#_x0000_s108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9"/>
    <w:pPr>
      <w:keepNext/>
      <w:adjustRightInd w:val="0"/>
      <w:spacing w:line="400" w:lineRule="atLeast"/>
      <w:jc w:val="left"/>
      <w:textAlignment w:val="baseline"/>
      <w:outlineLvl w:val="0"/>
    </w:pPr>
    <w:rPr>
      <w:rFonts w:ascii="黑体" w:hAnsi="宋体" w:eastAsia="黑体"/>
      <w:b/>
      <w:kern w:val="0"/>
      <w:szCs w:val="20"/>
    </w:rPr>
  </w:style>
  <w:style w:type="paragraph" w:styleId="3">
    <w:name w:val="heading 2"/>
    <w:basedOn w:val="1"/>
    <w:next w:val="1"/>
    <w:link w:val="17"/>
    <w:qFormat/>
    <w:uiPriority w:val="99"/>
    <w:pPr>
      <w:keepNext/>
      <w:keepLines/>
      <w:spacing w:before="260" w:after="260" w:line="416" w:lineRule="auto"/>
      <w:outlineLvl w:val="1"/>
    </w:pPr>
    <w:rPr>
      <w:rFonts w:ascii="Calibri Light" w:hAnsi="Calibri Light"/>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qFormat/>
    <w:uiPriority w:val="99"/>
    <w:pPr>
      <w:jc w:val="left"/>
    </w:pPr>
  </w:style>
  <w:style w:type="paragraph" w:styleId="5">
    <w:name w:val="Date"/>
    <w:basedOn w:val="1"/>
    <w:next w:val="1"/>
    <w:link w:val="19"/>
    <w:semiHidden/>
    <w:qFormat/>
    <w:uiPriority w:val="99"/>
    <w:pPr>
      <w:ind w:left="100" w:leftChars="2500"/>
    </w:pPr>
  </w:style>
  <w:style w:type="paragraph" w:styleId="6">
    <w:name w:val="Balloon Text"/>
    <w:basedOn w:val="1"/>
    <w:link w:val="20"/>
    <w:semiHidden/>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adjustRightInd w:val="0"/>
      <w:spacing w:line="360" w:lineRule="atLeast"/>
      <w:jc w:val="left"/>
      <w:textAlignment w:val="baseline"/>
    </w:pPr>
    <w:rPr>
      <w:rFonts w:ascii="Times New Roman" w:hAnsi="Times New Roman"/>
      <w:kern w:val="0"/>
      <w:sz w:val="24"/>
      <w:szCs w:val="20"/>
    </w:rPr>
  </w:style>
  <w:style w:type="paragraph" w:styleId="10">
    <w:name w:val="annotation subject"/>
    <w:basedOn w:val="4"/>
    <w:next w:val="4"/>
    <w:link w:val="23"/>
    <w:semiHidden/>
    <w:qFormat/>
    <w:uiPriority w:val="99"/>
    <w:rPr>
      <w:b/>
      <w:bCs/>
    </w:rPr>
  </w:style>
  <w:style w:type="table" w:styleId="12">
    <w:name w:val="Table Grid"/>
    <w:basedOn w:val="11"/>
    <w:qFormat/>
    <w:uiPriority w:val="99"/>
    <w:pPr>
      <w:spacing w:beforeAutospacing="1"/>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99"/>
    <w:rPr>
      <w:rFonts w:cs="Times New Roman"/>
      <w:color w:val="0000FF"/>
      <w:u w:val="single"/>
    </w:rPr>
  </w:style>
  <w:style w:type="character" w:styleId="15">
    <w:name w:val="annotation reference"/>
    <w:basedOn w:val="13"/>
    <w:semiHidden/>
    <w:qFormat/>
    <w:uiPriority w:val="99"/>
    <w:rPr>
      <w:rFonts w:cs="Times New Roman"/>
      <w:sz w:val="21"/>
      <w:szCs w:val="21"/>
    </w:rPr>
  </w:style>
  <w:style w:type="character" w:customStyle="1" w:styleId="16">
    <w:name w:val="Heading 1 Char"/>
    <w:basedOn w:val="13"/>
    <w:link w:val="2"/>
    <w:qFormat/>
    <w:locked/>
    <w:uiPriority w:val="99"/>
    <w:rPr>
      <w:rFonts w:ascii="黑体" w:hAnsi="宋体" w:eastAsia="黑体" w:cs="Times New Roman"/>
      <w:b/>
      <w:kern w:val="0"/>
      <w:sz w:val="20"/>
      <w:szCs w:val="20"/>
    </w:rPr>
  </w:style>
  <w:style w:type="character" w:customStyle="1" w:styleId="17">
    <w:name w:val="Heading 2 Char"/>
    <w:basedOn w:val="13"/>
    <w:link w:val="3"/>
    <w:semiHidden/>
    <w:qFormat/>
    <w:locked/>
    <w:uiPriority w:val="99"/>
    <w:rPr>
      <w:rFonts w:ascii="Calibri Light" w:hAnsi="Calibri Light" w:eastAsia="宋体" w:cs="Times New Roman"/>
      <w:b/>
      <w:bCs/>
      <w:kern w:val="2"/>
      <w:sz w:val="32"/>
      <w:szCs w:val="32"/>
    </w:rPr>
  </w:style>
  <w:style w:type="character" w:customStyle="1" w:styleId="18">
    <w:name w:val="Comment Text Char"/>
    <w:basedOn w:val="13"/>
    <w:link w:val="4"/>
    <w:semiHidden/>
    <w:qFormat/>
    <w:locked/>
    <w:uiPriority w:val="99"/>
    <w:rPr>
      <w:rFonts w:cs="Times New Roman"/>
      <w:kern w:val="2"/>
      <w:sz w:val="22"/>
      <w:szCs w:val="22"/>
    </w:rPr>
  </w:style>
  <w:style w:type="character" w:customStyle="1" w:styleId="19">
    <w:name w:val="Date Char"/>
    <w:basedOn w:val="13"/>
    <w:link w:val="5"/>
    <w:semiHidden/>
    <w:qFormat/>
    <w:locked/>
    <w:uiPriority w:val="99"/>
    <w:rPr>
      <w:rFonts w:cs="Times New Roman"/>
      <w:kern w:val="2"/>
      <w:sz w:val="22"/>
      <w:szCs w:val="22"/>
    </w:rPr>
  </w:style>
  <w:style w:type="character" w:customStyle="1" w:styleId="20">
    <w:name w:val="Balloon Text Char"/>
    <w:basedOn w:val="13"/>
    <w:link w:val="6"/>
    <w:semiHidden/>
    <w:qFormat/>
    <w:locked/>
    <w:uiPriority w:val="99"/>
    <w:rPr>
      <w:rFonts w:cs="Times New Roman"/>
      <w:kern w:val="2"/>
      <w:sz w:val="18"/>
      <w:szCs w:val="18"/>
    </w:rPr>
  </w:style>
  <w:style w:type="character" w:customStyle="1" w:styleId="21">
    <w:name w:val="Footer Char"/>
    <w:basedOn w:val="13"/>
    <w:link w:val="7"/>
    <w:qFormat/>
    <w:locked/>
    <w:uiPriority w:val="99"/>
    <w:rPr>
      <w:rFonts w:cs="Times New Roman"/>
      <w:sz w:val="18"/>
      <w:szCs w:val="18"/>
    </w:rPr>
  </w:style>
  <w:style w:type="character" w:customStyle="1" w:styleId="22">
    <w:name w:val="Header Char"/>
    <w:basedOn w:val="13"/>
    <w:link w:val="8"/>
    <w:qFormat/>
    <w:locked/>
    <w:uiPriority w:val="99"/>
    <w:rPr>
      <w:rFonts w:cs="Times New Roman"/>
      <w:sz w:val="18"/>
      <w:szCs w:val="18"/>
    </w:rPr>
  </w:style>
  <w:style w:type="character" w:customStyle="1" w:styleId="23">
    <w:name w:val="Comment Subject Char"/>
    <w:basedOn w:val="18"/>
    <w:link w:val="10"/>
    <w:semiHidden/>
    <w:qFormat/>
    <w:locked/>
    <w:uiPriority w:val="99"/>
    <w:rPr>
      <w:b/>
      <w:bCs/>
    </w:rPr>
  </w:style>
  <w:style w:type="paragraph" w:styleId="24">
    <w:name w:val="List Paragraph"/>
    <w:basedOn w:val="1"/>
    <w:qFormat/>
    <w:uiPriority w:val="99"/>
    <w:pPr>
      <w:spacing w:before="100" w:beforeAutospacing="1" w:line="360" w:lineRule="exact"/>
      <w:ind w:firstLine="420" w:firstLineChars="200"/>
    </w:pPr>
  </w:style>
  <w:style w:type="paragraph" w:customStyle="1" w:styleId="25">
    <w:name w:val="列出段落1"/>
    <w:basedOn w:val="1"/>
    <w:qFormat/>
    <w:uiPriority w:val="99"/>
    <w:pPr>
      <w:ind w:firstLine="420" w:firstLineChars="200"/>
    </w:pPr>
    <w:rPr>
      <w:rFonts w:ascii="Times New Roman" w:hAnsi="Times New Roman"/>
      <w:szCs w:val="24"/>
    </w:r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7">
    <w:name w:val="修订1"/>
    <w:hidden/>
    <w:semiHidden/>
    <w:qFormat/>
    <w:uiPriority w:val="99"/>
    <w:rPr>
      <w:rFonts w:ascii="Calibri" w:hAnsi="Calibri" w:eastAsia="宋体" w:cs="Times New Roman"/>
      <w:kern w:val="2"/>
      <w:sz w:val="21"/>
      <w:szCs w:val="22"/>
      <w:lang w:val="en-US" w:eastAsia="zh-CN" w:bidi="ar-SA"/>
    </w:rPr>
  </w:style>
  <w:style w:type="paragraph" w:customStyle="1" w:styleId="28">
    <w:name w:val="Doc title (Agency)"/>
    <w:basedOn w:val="1"/>
    <w:next w:val="1"/>
    <w:qFormat/>
    <w:uiPriority w:val="99"/>
    <w:pPr>
      <w:widowControl/>
      <w:spacing w:before="720" w:line="360" w:lineRule="atLeast"/>
      <w:jc w:val="left"/>
    </w:pPr>
    <w:rPr>
      <w:rFonts w:ascii="Verdana" w:hAnsi="Verdana" w:cs="Verdana"/>
      <w:color w:val="003399"/>
      <w:kern w:val="0"/>
      <w:sz w:val="32"/>
      <w:szCs w:val="32"/>
      <w:lang w:val="en-GB" w:eastAsia="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1896</Words>
  <Characters>10808</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2021-07-12T02:12:00Z</dcterms:created>
  <dc:creator>公用</dc:creator>
  <cp:lastModifiedBy>mobile</cp:lastModifiedBy>
  <cp:lastPrinted>2021-07-27T06:46:00Z</cp:lastPrinted>
  <dcterms:modified xsi:type="dcterms:W3CDTF">2021-07-29T08:10:25Z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