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640" w:lineRule="exact"/>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附件</w:t>
      </w:r>
    </w:p>
    <w:p>
      <w:pPr>
        <w:widowControl/>
        <w:snapToGrid w:val="0"/>
        <w:spacing w:line="640" w:lineRule="exact"/>
        <w:ind w:firstLine="301"/>
        <w:jc w:val="center"/>
        <w:rPr>
          <w:rFonts w:hint="eastAsia" w:ascii="方正小标宋简体" w:hAnsi="微软雅黑" w:eastAsia="方正小标宋简体" w:cs="宋体"/>
          <w:color w:val="auto"/>
          <w:kern w:val="0"/>
          <w:sz w:val="44"/>
          <w:szCs w:val="44"/>
          <w:lang w:val="en-US" w:eastAsia="zh-CN"/>
        </w:rPr>
      </w:pPr>
      <w:r>
        <w:rPr>
          <w:rFonts w:hint="eastAsia" w:ascii="方正小标宋简体" w:hAnsi="微软雅黑" w:eastAsia="方正小标宋简体" w:cs="宋体"/>
          <w:color w:val="auto"/>
          <w:kern w:val="0"/>
          <w:sz w:val="44"/>
          <w:szCs w:val="44"/>
          <w:lang w:val="en-US" w:eastAsia="zh-CN"/>
        </w:rPr>
        <w:t>广东省</w:t>
      </w:r>
      <w:r>
        <w:rPr>
          <w:rFonts w:hint="eastAsia" w:ascii="方正小标宋简体" w:hAnsi="微软雅黑" w:eastAsia="方正小标宋简体" w:cs="宋体"/>
          <w:color w:val="auto"/>
          <w:kern w:val="0"/>
          <w:sz w:val="44"/>
          <w:szCs w:val="44"/>
        </w:rPr>
        <w:t>药品零售企业</w:t>
      </w:r>
      <w:r>
        <w:rPr>
          <w:rFonts w:hint="eastAsia" w:ascii="方正小标宋简体" w:hAnsi="微软雅黑" w:eastAsia="方正小标宋简体" w:cs="宋体"/>
          <w:color w:val="auto"/>
          <w:kern w:val="0"/>
          <w:sz w:val="44"/>
          <w:szCs w:val="44"/>
          <w:lang w:val="en-US" w:eastAsia="zh-CN"/>
        </w:rPr>
        <w:t>开办验收实施细则</w:t>
      </w:r>
    </w:p>
    <w:p>
      <w:pPr>
        <w:widowControl/>
        <w:snapToGrid w:val="0"/>
        <w:spacing w:line="640" w:lineRule="exact"/>
        <w:ind w:firstLine="301"/>
        <w:jc w:val="center"/>
        <w:rPr>
          <w:rFonts w:hint="eastAsia" w:ascii="楷体" w:hAnsi="楷体" w:eastAsia="楷体" w:cs="楷体"/>
          <w:color w:val="auto"/>
          <w:kern w:val="0"/>
          <w:sz w:val="32"/>
          <w:szCs w:val="32"/>
        </w:rPr>
      </w:pPr>
      <w:r>
        <w:rPr>
          <w:rFonts w:hint="eastAsia" w:ascii="楷体" w:hAnsi="楷体" w:eastAsia="楷体" w:cs="楷体"/>
          <w:color w:val="auto"/>
          <w:kern w:val="0"/>
          <w:sz w:val="32"/>
          <w:szCs w:val="32"/>
        </w:rPr>
        <w:t>（</w:t>
      </w:r>
      <w:r>
        <w:rPr>
          <w:rFonts w:hint="eastAsia" w:ascii="楷体" w:hAnsi="楷体" w:eastAsia="楷体" w:cs="楷体"/>
          <w:color w:val="auto"/>
          <w:kern w:val="0"/>
          <w:sz w:val="32"/>
          <w:szCs w:val="32"/>
          <w:lang w:val="en-US" w:eastAsia="zh-CN"/>
        </w:rPr>
        <w:t>征求意见稿</w:t>
      </w:r>
      <w:r>
        <w:rPr>
          <w:rFonts w:hint="eastAsia" w:ascii="楷体" w:hAnsi="楷体" w:eastAsia="楷体" w:cs="楷体"/>
          <w:color w:val="auto"/>
          <w:kern w:val="0"/>
          <w:sz w:val="32"/>
          <w:szCs w:val="32"/>
        </w:rPr>
        <w:t>）</w:t>
      </w:r>
    </w:p>
    <w:p>
      <w:pPr>
        <w:snapToGrid w:val="0"/>
        <w:spacing w:line="640" w:lineRule="exact"/>
        <w:rPr>
          <w:rFonts w:hint="eastAsia" w:eastAsia="仿宋"/>
          <w:color w:val="auto"/>
          <w:sz w:val="32"/>
          <w:szCs w:val="32"/>
        </w:rPr>
      </w:pPr>
    </w:p>
    <w:p>
      <w:pPr>
        <w:shd w:val="clear" w:color="auto" w:fill="FFFFFF"/>
        <w:snapToGrid w:val="0"/>
        <w:spacing w:line="640" w:lineRule="exact"/>
        <w:ind w:firstLine="641"/>
        <w:jc w:val="center"/>
        <w:rPr>
          <w:rFonts w:ascii="黑体" w:hAnsi="黑体" w:eastAsia="黑体" w:cs="宋体"/>
          <w:color w:val="auto"/>
          <w:kern w:val="0"/>
          <w:sz w:val="32"/>
          <w:szCs w:val="32"/>
        </w:rPr>
      </w:pPr>
      <w:r>
        <w:rPr>
          <w:rFonts w:hint="eastAsia" w:ascii="黑体" w:hAnsi="黑体" w:eastAsia="黑体" w:cs="宋体"/>
          <w:color w:val="auto"/>
          <w:kern w:val="0"/>
          <w:sz w:val="32"/>
          <w:szCs w:val="32"/>
        </w:rPr>
        <w:t>第一章 总则</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宋体"/>
          <w:color w:val="auto"/>
          <w:kern w:val="0"/>
          <w:sz w:val="32"/>
          <w:szCs w:val="32"/>
        </w:rPr>
      </w:pPr>
      <w:r>
        <w:rPr>
          <w:rFonts w:hint="eastAsia" w:ascii="楷体" w:hAnsi="楷体" w:eastAsia="楷体" w:cs="楷体"/>
          <w:color w:val="auto"/>
          <w:kern w:val="0"/>
          <w:sz w:val="32"/>
          <w:szCs w:val="32"/>
        </w:rPr>
        <w:t>第一条</w:t>
      </w:r>
      <w:r>
        <w:rPr>
          <w:rFonts w:hint="eastAsia" w:ascii="仿宋" w:hAnsi="宋体" w:eastAsia="仿宋" w:cs="宋体"/>
          <w:color w:val="auto"/>
          <w:kern w:val="0"/>
          <w:sz w:val="32"/>
          <w:szCs w:val="32"/>
        </w:rPr>
        <w:t xml:space="preserve"> </w:t>
      </w:r>
      <w:r>
        <w:rPr>
          <w:rFonts w:hint="eastAsia" w:ascii="仿宋" w:hAnsi="仿宋" w:eastAsia="仿宋" w:cs="宋体"/>
          <w:color w:val="auto"/>
          <w:kern w:val="0"/>
          <w:sz w:val="32"/>
          <w:szCs w:val="32"/>
        </w:rPr>
        <w:t>为落实《国务院办公厅关于进一步改革完善药品生产流通使用政策的若干意见》（国办发〔2017〕13号），规范药品零售企业经营行为，促进我省医药产业</w:t>
      </w:r>
      <w:r>
        <w:rPr>
          <w:rFonts w:hint="eastAsia" w:ascii="仿宋" w:hAnsi="仿宋" w:eastAsia="仿宋" w:cs="宋体"/>
          <w:color w:val="auto"/>
          <w:kern w:val="0"/>
          <w:sz w:val="32"/>
          <w:szCs w:val="32"/>
          <w:lang w:val="en-US" w:eastAsia="zh-CN"/>
        </w:rPr>
        <w:t>高质量</w:t>
      </w:r>
      <w:r>
        <w:rPr>
          <w:rFonts w:hint="eastAsia" w:ascii="仿宋" w:hAnsi="仿宋" w:eastAsia="仿宋" w:cs="宋体"/>
          <w:color w:val="auto"/>
          <w:kern w:val="0"/>
          <w:sz w:val="32"/>
          <w:szCs w:val="32"/>
        </w:rPr>
        <w:t>发展，根据《中华人民共和国药品管理法》及其实施条例、《药品经营质量管理规范》《药品经营许可证管理办法》</w:t>
      </w:r>
      <w:r>
        <w:rPr>
          <w:rFonts w:hint="eastAsia" w:ascii="仿宋" w:hAnsi="仿宋" w:eastAsia="仿宋" w:cs="宋体"/>
          <w:color w:val="auto"/>
          <w:kern w:val="0"/>
          <w:sz w:val="32"/>
          <w:szCs w:val="32"/>
          <w:lang w:eastAsia="zh-CN"/>
        </w:rPr>
        <w:t>《国家药监局关于规范药品零售企业配备使用执业药师的通知》（国药监药管〔2020〕25号）《</w:t>
      </w:r>
      <w:r>
        <w:rPr>
          <w:rFonts w:hint="eastAsia" w:ascii="仿宋" w:hAnsi="仿宋" w:eastAsia="仿宋" w:cs="宋体"/>
          <w:color w:val="auto"/>
          <w:kern w:val="0"/>
          <w:sz w:val="32"/>
          <w:szCs w:val="32"/>
          <w:lang w:val="en-US" w:eastAsia="zh-CN"/>
        </w:rPr>
        <w:t>广东省药品监督管理局办公室关于规范药品零售企业差异化配备使用执业药师的通知</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粤药监办药二〔2020〕515号</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等</w:t>
      </w:r>
      <w:r>
        <w:rPr>
          <w:rFonts w:hint="eastAsia" w:ascii="仿宋" w:hAnsi="仿宋" w:eastAsia="仿宋" w:cs="宋体"/>
          <w:color w:val="auto"/>
          <w:kern w:val="0"/>
          <w:sz w:val="32"/>
          <w:szCs w:val="32"/>
          <w:lang w:eastAsia="zh-CN"/>
        </w:rPr>
        <w:t>法律法规</w:t>
      </w:r>
      <w:r>
        <w:rPr>
          <w:rFonts w:hint="eastAsia" w:ascii="仿宋" w:hAnsi="仿宋" w:eastAsia="仿宋" w:cs="宋体"/>
          <w:color w:val="auto"/>
          <w:kern w:val="0"/>
          <w:sz w:val="32"/>
          <w:szCs w:val="32"/>
          <w:lang w:val="en-US" w:eastAsia="zh-CN"/>
        </w:rPr>
        <w:t>和</w:t>
      </w:r>
      <w:r>
        <w:rPr>
          <w:rFonts w:hint="eastAsia" w:ascii="仿宋" w:hAnsi="仿宋" w:eastAsia="仿宋" w:cs="宋体"/>
          <w:color w:val="auto"/>
          <w:kern w:val="0"/>
          <w:sz w:val="32"/>
          <w:szCs w:val="32"/>
          <w:lang w:eastAsia="zh-CN"/>
        </w:rPr>
        <w:t>政策</w:t>
      </w:r>
      <w:r>
        <w:rPr>
          <w:rFonts w:hint="eastAsia" w:ascii="仿宋" w:hAnsi="仿宋" w:eastAsia="仿宋" w:cs="宋体"/>
          <w:color w:val="auto"/>
          <w:kern w:val="0"/>
          <w:sz w:val="32"/>
          <w:szCs w:val="32"/>
          <w:lang w:val="en-US" w:eastAsia="zh-CN"/>
        </w:rPr>
        <w:t>文件</w:t>
      </w:r>
      <w:r>
        <w:rPr>
          <w:rFonts w:hint="eastAsia" w:ascii="仿宋" w:hAnsi="仿宋" w:eastAsia="仿宋" w:cs="宋体"/>
          <w:color w:val="auto"/>
          <w:kern w:val="0"/>
          <w:sz w:val="32"/>
          <w:szCs w:val="32"/>
        </w:rPr>
        <w:t>，结合我省实际，制定本</w:t>
      </w:r>
      <w:r>
        <w:rPr>
          <w:rFonts w:hint="eastAsia" w:ascii="仿宋" w:hAnsi="仿宋" w:eastAsia="仿宋" w:cs="宋体"/>
          <w:color w:val="auto"/>
          <w:kern w:val="0"/>
          <w:sz w:val="32"/>
          <w:szCs w:val="32"/>
          <w:lang w:val="en-US" w:eastAsia="zh-CN"/>
        </w:rPr>
        <w:t>细则</w:t>
      </w:r>
      <w:r>
        <w:rPr>
          <w:rFonts w:hint="eastAsia" w:ascii="仿宋" w:hAnsi="仿宋" w:eastAsia="仿宋" w:cs="宋体"/>
          <w:color w:val="auto"/>
          <w:kern w:val="0"/>
          <w:sz w:val="32"/>
          <w:szCs w:val="32"/>
        </w:rPr>
        <w:t>。</w:t>
      </w:r>
    </w:p>
    <w:p>
      <w:pPr>
        <w:widowControl/>
        <w:shd w:val="clear" w:color="auto" w:fill="FFFFFF"/>
        <w:snapToGrid w:val="0"/>
        <w:spacing w:line="640" w:lineRule="exact"/>
        <w:ind w:firstLine="641"/>
        <w:jc w:val="left"/>
        <w:rPr>
          <w:rFonts w:hint="eastAsia" w:ascii="仿宋" w:hAnsi="仿宋" w:eastAsia="仿宋" w:cs="宋体"/>
          <w:color w:val="auto"/>
          <w:kern w:val="0"/>
          <w:sz w:val="32"/>
          <w:szCs w:val="32"/>
        </w:rPr>
      </w:pPr>
      <w:r>
        <w:rPr>
          <w:rFonts w:hint="eastAsia" w:ascii="楷体" w:hAnsi="楷体" w:eastAsia="楷体" w:cs="楷体"/>
          <w:color w:val="auto"/>
          <w:kern w:val="0"/>
          <w:sz w:val="32"/>
          <w:szCs w:val="32"/>
        </w:rPr>
        <w:t>第二条</w:t>
      </w:r>
      <w:r>
        <w:rPr>
          <w:rFonts w:hint="eastAsia" w:ascii="仿宋" w:hAnsi="宋体" w:eastAsia="仿宋" w:cs="宋体"/>
          <w:color w:val="auto"/>
          <w:kern w:val="0"/>
          <w:sz w:val="32"/>
          <w:szCs w:val="32"/>
        </w:rPr>
        <w:t xml:space="preserve"> </w:t>
      </w:r>
      <w:r>
        <w:rPr>
          <w:rFonts w:hint="eastAsia" w:ascii="仿宋" w:hAnsi="仿宋" w:eastAsia="仿宋" w:cs="宋体"/>
          <w:color w:val="auto"/>
          <w:kern w:val="0"/>
          <w:sz w:val="32"/>
          <w:szCs w:val="32"/>
        </w:rPr>
        <w:t>本</w:t>
      </w:r>
      <w:r>
        <w:rPr>
          <w:rFonts w:hint="eastAsia" w:ascii="仿宋" w:hAnsi="仿宋" w:eastAsia="仿宋" w:cs="宋体"/>
          <w:color w:val="auto"/>
          <w:kern w:val="0"/>
          <w:sz w:val="32"/>
          <w:szCs w:val="32"/>
          <w:lang w:val="en-US" w:eastAsia="zh-CN"/>
        </w:rPr>
        <w:t>细则</w:t>
      </w:r>
      <w:r>
        <w:rPr>
          <w:rFonts w:hint="eastAsia" w:ascii="仿宋" w:hAnsi="仿宋" w:eastAsia="仿宋" w:cs="宋体"/>
          <w:color w:val="auto"/>
          <w:kern w:val="0"/>
          <w:sz w:val="32"/>
          <w:szCs w:val="32"/>
        </w:rPr>
        <w:t>适用于广东省行政区域内药品零售企业（含药品零售连锁企业门店</w:t>
      </w:r>
      <w:r>
        <w:rPr>
          <w:rFonts w:hint="eastAsia" w:ascii="仿宋" w:hAnsi="仿宋" w:eastAsia="仿宋"/>
          <w:color w:val="auto"/>
          <w:sz w:val="32"/>
          <w:szCs w:val="32"/>
        </w:rPr>
        <w:t>，以下简称“企业”</w:t>
      </w:r>
      <w:r>
        <w:rPr>
          <w:rFonts w:hint="eastAsia" w:ascii="仿宋" w:hAnsi="仿宋" w:eastAsia="仿宋" w:cs="宋体"/>
          <w:color w:val="auto"/>
          <w:kern w:val="0"/>
          <w:sz w:val="32"/>
          <w:szCs w:val="32"/>
        </w:rPr>
        <w:t>）《药品经营许可证》的核发、换证、变更</w:t>
      </w:r>
      <w:r>
        <w:rPr>
          <w:rFonts w:hint="eastAsia" w:ascii="仿宋" w:hAnsi="仿宋" w:eastAsia="仿宋" w:cs="宋体"/>
          <w:color w:val="auto"/>
          <w:kern w:val="0"/>
          <w:sz w:val="32"/>
          <w:szCs w:val="32"/>
          <w:lang w:val="en-US" w:eastAsia="zh-CN"/>
        </w:rPr>
        <w:t>的</w:t>
      </w:r>
      <w:r>
        <w:rPr>
          <w:rFonts w:hint="eastAsia" w:ascii="仿宋" w:hAnsi="仿宋" w:eastAsia="仿宋" w:cs="仿宋"/>
          <w:i w:val="0"/>
          <w:caps w:val="0"/>
          <w:color w:val="auto"/>
          <w:spacing w:val="0"/>
          <w:sz w:val="32"/>
          <w:szCs w:val="32"/>
          <w:shd w:val="clear" w:fill="FFFFFF"/>
        </w:rPr>
        <w:t>现场检查和审核工作</w:t>
      </w:r>
      <w:r>
        <w:rPr>
          <w:rFonts w:hint="eastAsia" w:ascii="仿宋" w:hAnsi="仿宋" w:eastAsia="仿宋" w:cs="宋体"/>
          <w:color w:val="auto"/>
          <w:kern w:val="0"/>
          <w:sz w:val="32"/>
          <w:szCs w:val="32"/>
        </w:rPr>
        <w:t>。</w:t>
      </w:r>
    </w:p>
    <w:p>
      <w:pPr>
        <w:widowControl/>
        <w:shd w:val="clear" w:color="auto" w:fill="FFFFFF"/>
        <w:snapToGrid w:val="0"/>
        <w:spacing w:line="640" w:lineRule="exact"/>
        <w:ind w:firstLine="641"/>
        <w:jc w:val="left"/>
        <w:rPr>
          <w:rFonts w:hint="eastAsia" w:ascii="仿宋" w:hAnsi="仿宋" w:eastAsia="仿宋" w:cs="宋体"/>
          <w:color w:val="auto"/>
          <w:kern w:val="0"/>
          <w:sz w:val="32"/>
          <w:szCs w:val="32"/>
        </w:rPr>
      </w:pPr>
      <w:r>
        <w:rPr>
          <w:rFonts w:hint="eastAsia" w:ascii="楷体" w:hAnsi="楷体" w:eastAsia="楷体" w:cs="楷体"/>
          <w:color w:val="auto"/>
          <w:sz w:val="32"/>
          <w:szCs w:val="32"/>
          <w:lang w:val="en-US" w:eastAsia="zh-CN"/>
        </w:rPr>
        <w:t>第三条</w:t>
      </w:r>
      <w:r>
        <w:rPr>
          <w:rFonts w:hint="eastAsia" w:ascii="仿宋" w:hAnsi="仿宋" w:eastAsia="仿宋"/>
          <w:color w:val="auto"/>
          <w:sz w:val="32"/>
          <w:szCs w:val="32"/>
          <w:lang w:val="en-US" w:eastAsia="zh-CN"/>
        </w:rPr>
        <w:t xml:space="preserve"> 县级以上</w:t>
      </w:r>
      <w:r>
        <w:rPr>
          <w:rFonts w:hint="eastAsia" w:ascii="仿宋" w:hAnsi="仿宋" w:eastAsia="仿宋"/>
          <w:color w:val="auto"/>
          <w:sz w:val="32"/>
          <w:szCs w:val="32"/>
        </w:rPr>
        <w:t>药品监督管理部门负责本辖区内药品零售企业《药品经营许可证》的管理工作</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并</w:t>
      </w:r>
      <w:r>
        <w:rPr>
          <w:rFonts w:hint="eastAsia" w:ascii="仿宋" w:hAnsi="仿宋" w:eastAsia="仿宋" w:cs="宋体"/>
          <w:i w:val="0"/>
          <w:caps w:val="0"/>
          <w:color w:val="auto"/>
          <w:spacing w:val="0"/>
          <w:kern w:val="0"/>
          <w:sz w:val="32"/>
          <w:szCs w:val="32"/>
        </w:rPr>
        <w:t>对申请开办只经营乙类非处方药的零售企业审批实行告知承诺制</w:t>
      </w:r>
      <w:r>
        <w:rPr>
          <w:rFonts w:hint="eastAsia" w:ascii="仿宋" w:hAnsi="仿宋" w:eastAsia="仿宋"/>
          <w:color w:val="auto"/>
          <w:sz w:val="32"/>
          <w:szCs w:val="32"/>
        </w:rPr>
        <w:t>。各级药品监管部门按照属地管理原则负责药品零售企业的日常监督管理工作。</w:t>
      </w:r>
    </w:p>
    <w:p>
      <w:pPr>
        <w:shd w:val="clear" w:color="auto" w:fill="FFFFFF"/>
        <w:snapToGrid w:val="0"/>
        <w:spacing w:line="640" w:lineRule="exact"/>
        <w:ind w:firstLine="641"/>
        <w:jc w:val="center"/>
        <w:rPr>
          <w:rFonts w:hint="eastAsia" w:ascii="黑体" w:hAnsi="黑体" w:eastAsia="黑体" w:cs="宋体"/>
          <w:color w:val="auto"/>
          <w:kern w:val="0"/>
          <w:sz w:val="32"/>
          <w:szCs w:val="32"/>
        </w:rPr>
      </w:pPr>
    </w:p>
    <w:p>
      <w:pPr>
        <w:snapToGrid w:val="0"/>
        <w:spacing w:line="640" w:lineRule="exact"/>
        <w:jc w:val="center"/>
        <w:rPr>
          <w:rFonts w:hint="eastAsia" w:ascii="黑体" w:hAnsi="黑体" w:eastAsia="黑体" w:cs="宋体"/>
          <w:color w:val="auto"/>
          <w:kern w:val="0"/>
          <w:sz w:val="32"/>
          <w:szCs w:val="32"/>
        </w:rPr>
      </w:pPr>
      <w:r>
        <w:rPr>
          <w:rFonts w:hint="eastAsia" w:ascii="黑体" w:hAnsi="黑体" w:eastAsia="黑体" w:cs="黑体"/>
          <w:color w:val="auto"/>
          <w:kern w:val="0"/>
          <w:sz w:val="32"/>
          <w:szCs w:val="32"/>
        </w:rPr>
        <w:t>第</w:t>
      </w:r>
      <w:r>
        <w:rPr>
          <w:rFonts w:hint="eastAsia" w:ascii="黑体" w:hAnsi="黑体" w:eastAsia="黑体" w:cs="黑体"/>
          <w:color w:val="auto"/>
          <w:kern w:val="0"/>
          <w:sz w:val="32"/>
          <w:szCs w:val="32"/>
          <w:lang w:val="en-US" w:eastAsia="zh-CN"/>
        </w:rPr>
        <w:t>二</w:t>
      </w:r>
      <w:r>
        <w:rPr>
          <w:rFonts w:hint="eastAsia" w:ascii="黑体" w:hAnsi="黑体" w:eastAsia="黑体" w:cs="黑体"/>
          <w:color w:val="auto"/>
          <w:kern w:val="0"/>
          <w:sz w:val="32"/>
          <w:szCs w:val="32"/>
        </w:rPr>
        <w:t>章</w:t>
      </w:r>
      <w:r>
        <w:rPr>
          <w:rFonts w:hint="eastAsia" w:ascii="黑体" w:hAnsi="黑体" w:eastAsia="黑体" w:cs="宋体"/>
          <w:color w:val="auto"/>
          <w:kern w:val="0"/>
          <w:sz w:val="32"/>
          <w:szCs w:val="32"/>
        </w:rPr>
        <w:t xml:space="preserve"> 机构人员</w:t>
      </w:r>
    </w:p>
    <w:p>
      <w:pPr>
        <w:snapToGrid w:val="0"/>
        <w:spacing w:line="640" w:lineRule="exact"/>
        <w:ind w:firstLine="645"/>
        <w:rPr>
          <w:rFonts w:hint="eastAsia" w:ascii="仿宋" w:hAnsi="仿宋" w:eastAsia="仿宋"/>
          <w:color w:val="auto"/>
          <w:sz w:val="32"/>
          <w:szCs w:val="32"/>
        </w:rPr>
      </w:pPr>
      <w:r>
        <w:rPr>
          <w:rFonts w:hint="eastAsia" w:ascii="楷体" w:hAnsi="楷体" w:eastAsia="楷体" w:cs="楷体"/>
          <w:color w:val="auto"/>
          <w:sz w:val="32"/>
          <w:szCs w:val="32"/>
        </w:rPr>
        <w:t>第</w:t>
      </w:r>
      <w:r>
        <w:rPr>
          <w:rFonts w:hint="eastAsia" w:ascii="楷体" w:hAnsi="楷体" w:eastAsia="楷体" w:cs="楷体"/>
          <w:color w:val="auto"/>
          <w:sz w:val="32"/>
          <w:szCs w:val="32"/>
          <w:lang w:val="en-US" w:eastAsia="zh-CN"/>
        </w:rPr>
        <w:t>四</w:t>
      </w:r>
      <w:r>
        <w:rPr>
          <w:rFonts w:hint="eastAsia" w:ascii="楷体" w:hAnsi="楷体" w:eastAsia="楷体" w:cs="楷体"/>
          <w:color w:val="auto"/>
          <w:sz w:val="32"/>
          <w:szCs w:val="32"/>
        </w:rPr>
        <w:t>条</w:t>
      </w:r>
      <w:r>
        <w:rPr>
          <w:rFonts w:hint="eastAsia" w:ascii="仿宋" w:hAnsi="仿宋" w:eastAsia="仿宋"/>
          <w:color w:val="auto"/>
          <w:sz w:val="32"/>
          <w:szCs w:val="32"/>
        </w:rPr>
        <w:t xml:space="preserve"> 企业、企业法定代表人或企业负责人、质量管理负责人无《药品管理法》第118</w:t>
      </w:r>
      <w:r>
        <w:rPr>
          <w:rFonts w:hint="eastAsia" w:ascii="仿宋" w:hAnsi="仿宋" w:eastAsia="仿宋"/>
          <w:color w:val="auto"/>
          <w:sz w:val="32"/>
          <w:szCs w:val="32"/>
          <w:lang w:val="en-US" w:eastAsia="zh-CN"/>
        </w:rPr>
        <w:t>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第</w:t>
      </w:r>
      <w:r>
        <w:rPr>
          <w:rFonts w:hint="eastAsia" w:ascii="仿宋" w:hAnsi="仿宋" w:eastAsia="仿宋"/>
          <w:color w:val="auto"/>
          <w:sz w:val="32"/>
          <w:szCs w:val="32"/>
        </w:rPr>
        <w:t>122</w:t>
      </w:r>
      <w:r>
        <w:rPr>
          <w:rFonts w:hint="eastAsia" w:ascii="仿宋" w:hAnsi="仿宋" w:eastAsia="仿宋"/>
          <w:color w:val="auto"/>
          <w:sz w:val="32"/>
          <w:szCs w:val="32"/>
          <w:lang w:val="en-US" w:eastAsia="zh-CN"/>
        </w:rPr>
        <w:t>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第</w:t>
      </w:r>
      <w:r>
        <w:rPr>
          <w:rFonts w:hint="eastAsia" w:ascii="仿宋" w:hAnsi="仿宋" w:eastAsia="仿宋"/>
          <w:color w:val="auto"/>
          <w:sz w:val="32"/>
          <w:szCs w:val="32"/>
        </w:rPr>
        <w:t>123</w:t>
      </w:r>
      <w:r>
        <w:rPr>
          <w:rFonts w:hint="eastAsia" w:ascii="仿宋" w:hAnsi="仿宋" w:eastAsia="仿宋"/>
          <w:color w:val="auto"/>
          <w:sz w:val="32"/>
          <w:szCs w:val="32"/>
          <w:lang w:val="en-US" w:eastAsia="zh-CN"/>
        </w:rPr>
        <w:t>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第</w:t>
      </w:r>
      <w:r>
        <w:rPr>
          <w:rFonts w:hint="eastAsia" w:ascii="仿宋" w:hAnsi="仿宋" w:eastAsia="仿宋"/>
          <w:color w:val="auto"/>
          <w:sz w:val="32"/>
          <w:szCs w:val="32"/>
        </w:rPr>
        <w:t>124</w:t>
      </w:r>
      <w:r>
        <w:rPr>
          <w:rFonts w:hint="eastAsia" w:ascii="仿宋" w:hAnsi="仿宋" w:eastAsia="仿宋"/>
          <w:color w:val="auto"/>
          <w:sz w:val="32"/>
          <w:szCs w:val="32"/>
          <w:lang w:val="en-US" w:eastAsia="zh-CN"/>
        </w:rPr>
        <w:t>条</w:t>
      </w:r>
      <w:r>
        <w:rPr>
          <w:rFonts w:hint="eastAsia" w:ascii="仿宋" w:hAnsi="仿宋" w:eastAsia="仿宋"/>
          <w:color w:val="auto"/>
          <w:sz w:val="32"/>
          <w:szCs w:val="32"/>
        </w:rPr>
        <w:t>、125</w:t>
      </w:r>
      <w:r>
        <w:rPr>
          <w:rFonts w:hint="eastAsia" w:ascii="仿宋" w:hAnsi="仿宋" w:eastAsia="仿宋"/>
          <w:color w:val="auto"/>
          <w:sz w:val="32"/>
          <w:szCs w:val="32"/>
          <w:lang w:val="en-US" w:eastAsia="zh-CN"/>
        </w:rPr>
        <w:t>条</w:t>
      </w:r>
      <w:r>
        <w:rPr>
          <w:rFonts w:hint="eastAsia" w:ascii="仿宋" w:hAnsi="仿宋" w:eastAsia="仿宋"/>
          <w:color w:val="auto"/>
          <w:sz w:val="32"/>
          <w:szCs w:val="32"/>
        </w:rPr>
        <w:t>、126</w:t>
      </w:r>
      <w:r>
        <w:rPr>
          <w:rFonts w:hint="eastAsia" w:ascii="仿宋" w:hAnsi="仿宋" w:eastAsia="仿宋"/>
          <w:color w:val="auto"/>
          <w:sz w:val="32"/>
          <w:szCs w:val="32"/>
          <w:lang w:val="en-US" w:eastAsia="zh-CN"/>
        </w:rPr>
        <w:t>条</w:t>
      </w:r>
      <w:r>
        <w:rPr>
          <w:rFonts w:hint="eastAsia" w:ascii="仿宋" w:hAnsi="仿宋" w:eastAsia="仿宋"/>
          <w:color w:val="auto"/>
          <w:sz w:val="32"/>
          <w:szCs w:val="32"/>
        </w:rPr>
        <w:t>、141条</w:t>
      </w:r>
      <w:r>
        <w:rPr>
          <w:rFonts w:hint="eastAsia" w:ascii="仿宋" w:hAnsi="仿宋" w:eastAsia="仿宋" w:cs="宋体"/>
          <w:color w:val="auto"/>
          <w:kern w:val="0"/>
          <w:sz w:val="32"/>
          <w:szCs w:val="32"/>
        </w:rPr>
        <w:t>及</w:t>
      </w:r>
      <w:r>
        <w:rPr>
          <w:rFonts w:hint="eastAsia" w:ascii="仿宋" w:hAnsi="仿宋" w:eastAsia="仿宋"/>
          <w:color w:val="auto"/>
          <w:sz w:val="32"/>
          <w:szCs w:val="32"/>
        </w:rPr>
        <w:t>相关法律法规禁止从业规定的情形。</w:t>
      </w:r>
    </w:p>
    <w:p>
      <w:pPr>
        <w:snapToGrid w:val="0"/>
        <w:spacing w:line="640" w:lineRule="exact"/>
        <w:ind w:firstLine="640" w:firstLineChars="200"/>
        <w:rPr>
          <w:rFonts w:hint="eastAsia" w:ascii="仿宋" w:hAnsi="仿宋" w:eastAsia="仿宋"/>
          <w:color w:val="auto"/>
          <w:sz w:val="32"/>
          <w:szCs w:val="32"/>
        </w:rPr>
      </w:pPr>
      <w:r>
        <w:rPr>
          <w:rFonts w:hint="eastAsia" w:ascii="楷体" w:hAnsi="楷体" w:eastAsia="楷体" w:cs="楷体"/>
          <w:color w:val="auto"/>
          <w:sz w:val="32"/>
          <w:szCs w:val="32"/>
        </w:rPr>
        <w:t>第</w:t>
      </w:r>
      <w:r>
        <w:rPr>
          <w:rFonts w:hint="eastAsia" w:ascii="楷体" w:hAnsi="楷体" w:eastAsia="楷体" w:cs="楷体"/>
          <w:color w:val="auto"/>
          <w:sz w:val="32"/>
          <w:szCs w:val="32"/>
          <w:lang w:val="en-US" w:eastAsia="zh-CN"/>
        </w:rPr>
        <w:t>五</w:t>
      </w:r>
      <w:r>
        <w:rPr>
          <w:rFonts w:hint="eastAsia" w:ascii="楷体" w:hAnsi="楷体" w:eastAsia="楷体" w:cs="楷体"/>
          <w:color w:val="auto"/>
          <w:sz w:val="32"/>
          <w:szCs w:val="32"/>
        </w:rPr>
        <w:t>条</w:t>
      </w:r>
      <w:r>
        <w:rPr>
          <w:rFonts w:hint="eastAsia" w:ascii="仿宋" w:hAnsi="仿宋" w:eastAsia="仿宋"/>
          <w:color w:val="auto"/>
          <w:sz w:val="32"/>
          <w:szCs w:val="32"/>
        </w:rPr>
        <w:t xml:space="preserve"> </w:t>
      </w:r>
      <w:r>
        <w:rPr>
          <w:rFonts w:hint="eastAsia" w:ascii="仿宋" w:hAnsi="仿宋" w:eastAsia="仿宋" w:cs="宋体"/>
          <w:color w:val="auto"/>
          <w:kern w:val="0"/>
          <w:sz w:val="32"/>
          <w:szCs w:val="32"/>
        </w:rPr>
        <w:t>企业负责人是企业药品质量的主要责任人。</w:t>
      </w:r>
      <w:r>
        <w:rPr>
          <w:rFonts w:hint="eastAsia" w:ascii="仿宋" w:hAnsi="仿宋" w:eastAsia="仿宋"/>
          <w:color w:val="auto"/>
          <w:sz w:val="32"/>
          <w:szCs w:val="32"/>
        </w:rPr>
        <w:t>企业法定代表人或企业负责人应具备执业药师资格。</w:t>
      </w:r>
    </w:p>
    <w:p>
      <w:pPr>
        <w:snapToGrid w:val="0"/>
        <w:spacing w:line="640" w:lineRule="exact"/>
        <w:ind w:firstLine="645"/>
        <w:rPr>
          <w:rFonts w:hint="eastAsia" w:ascii="仿宋" w:hAnsi="仿宋" w:eastAsia="仿宋" w:cs="宋体"/>
          <w:color w:val="auto"/>
          <w:kern w:val="0"/>
          <w:sz w:val="32"/>
          <w:szCs w:val="32"/>
        </w:rPr>
      </w:pPr>
      <w:r>
        <w:rPr>
          <w:rFonts w:hint="eastAsia" w:ascii="楷体" w:hAnsi="楷体" w:eastAsia="楷体" w:cs="楷体"/>
          <w:color w:val="auto"/>
          <w:kern w:val="0"/>
          <w:sz w:val="32"/>
          <w:szCs w:val="32"/>
        </w:rPr>
        <w:t>第</w:t>
      </w:r>
      <w:r>
        <w:rPr>
          <w:rFonts w:hint="eastAsia" w:ascii="楷体" w:hAnsi="楷体" w:eastAsia="楷体" w:cs="楷体"/>
          <w:color w:val="auto"/>
          <w:kern w:val="0"/>
          <w:sz w:val="32"/>
          <w:szCs w:val="32"/>
          <w:lang w:val="en-US" w:eastAsia="zh-CN"/>
        </w:rPr>
        <w:t>六</w:t>
      </w:r>
      <w:r>
        <w:rPr>
          <w:rFonts w:hint="eastAsia" w:ascii="楷体" w:hAnsi="楷体" w:eastAsia="楷体" w:cs="楷体"/>
          <w:color w:val="auto"/>
          <w:kern w:val="0"/>
          <w:sz w:val="32"/>
          <w:szCs w:val="32"/>
        </w:rPr>
        <w:t>条</w:t>
      </w:r>
      <w:r>
        <w:rPr>
          <w:rFonts w:hint="eastAsia" w:ascii="仿宋" w:hAnsi="仿宋" w:eastAsia="仿宋" w:cs="宋体"/>
          <w:color w:val="auto"/>
          <w:kern w:val="0"/>
          <w:sz w:val="32"/>
          <w:szCs w:val="32"/>
        </w:rPr>
        <w:t xml:space="preserve"> 企业应设置与其经营范围及经营规模相适应的质量管理部门，根据企业性质设置质量管理部门或配备质量管理人员，</w:t>
      </w:r>
      <w:r>
        <w:rPr>
          <w:rFonts w:hint="eastAsia" w:ascii="仿宋" w:hAnsi="仿宋" w:eastAsia="仿宋"/>
          <w:color w:val="auto"/>
          <w:sz w:val="32"/>
          <w:szCs w:val="32"/>
        </w:rPr>
        <w:t>履行《药品经营质量管理规范》规定的药品质量管理职责。</w:t>
      </w:r>
    </w:p>
    <w:p>
      <w:pPr>
        <w:snapToGrid w:val="0"/>
        <w:spacing w:line="640" w:lineRule="exact"/>
        <w:ind w:firstLine="640" w:firstLineChars="200"/>
        <w:rPr>
          <w:rFonts w:hint="eastAsia" w:ascii="仿宋" w:hAnsi="仿宋" w:eastAsia="仿宋"/>
          <w:color w:val="auto"/>
          <w:sz w:val="32"/>
          <w:szCs w:val="32"/>
        </w:rPr>
      </w:pPr>
      <w:r>
        <w:rPr>
          <w:rFonts w:hint="eastAsia" w:ascii="楷体" w:hAnsi="楷体" w:eastAsia="楷体" w:cs="楷体"/>
          <w:color w:val="auto"/>
          <w:kern w:val="0"/>
          <w:sz w:val="32"/>
          <w:szCs w:val="32"/>
        </w:rPr>
        <w:t>第</w:t>
      </w:r>
      <w:r>
        <w:rPr>
          <w:rFonts w:hint="eastAsia" w:ascii="楷体" w:hAnsi="楷体" w:eastAsia="楷体" w:cs="楷体"/>
          <w:color w:val="auto"/>
          <w:kern w:val="0"/>
          <w:sz w:val="32"/>
          <w:szCs w:val="32"/>
          <w:lang w:val="en-US" w:eastAsia="zh-CN"/>
        </w:rPr>
        <w:t>七</w:t>
      </w:r>
      <w:r>
        <w:rPr>
          <w:rFonts w:hint="eastAsia" w:ascii="楷体" w:hAnsi="楷体" w:eastAsia="楷体" w:cs="楷体"/>
          <w:color w:val="auto"/>
          <w:kern w:val="0"/>
          <w:sz w:val="32"/>
          <w:szCs w:val="32"/>
        </w:rPr>
        <w:t>条</w:t>
      </w:r>
      <w:r>
        <w:rPr>
          <w:rFonts w:hint="eastAsia" w:ascii="仿宋" w:hAnsi="仿宋" w:eastAsia="仿宋" w:cs="宋体"/>
          <w:color w:val="auto"/>
          <w:kern w:val="0"/>
          <w:sz w:val="32"/>
          <w:szCs w:val="32"/>
        </w:rPr>
        <w:t xml:space="preserve"> </w:t>
      </w:r>
      <w:r>
        <w:rPr>
          <w:rFonts w:hint="eastAsia" w:ascii="仿宋" w:hAnsi="仿宋" w:eastAsia="仿宋"/>
          <w:color w:val="auto"/>
          <w:sz w:val="32"/>
          <w:szCs w:val="32"/>
        </w:rPr>
        <w:t>企业应配备</w:t>
      </w:r>
      <w:r>
        <w:rPr>
          <w:rFonts w:hint="eastAsia" w:ascii="仿宋" w:hAnsi="仿宋" w:eastAsia="仿宋" w:cs="宋体"/>
          <w:color w:val="auto"/>
          <w:kern w:val="0"/>
          <w:sz w:val="32"/>
          <w:szCs w:val="32"/>
          <w:lang w:val="en-US" w:eastAsia="zh-CN"/>
        </w:rPr>
        <w:t>一定数量</w:t>
      </w:r>
      <w:r>
        <w:rPr>
          <w:rFonts w:hint="eastAsia" w:ascii="仿宋" w:hAnsi="仿宋" w:eastAsia="仿宋" w:cs="宋体"/>
          <w:color w:val="auto"/>
          <w:kern w:val="0"/>
          <w:sz w:val="32"/>
          <w:szCs w:val="32"/>
        </w:rPr>
        <w:t>、</w:t>
      </w:r>
      <w:r>
        <w:rPr>
          <w:rFonts w:hint="eastAsia" w:ascii="仿宋" w:hAnsi="仿宋" w:eastAsia="仿宋"/>
          <w:color w:val="auto"/>
          <w:sz w:val="32"/>
          <w:szCs w:val="32"/>
        </w:rPr>
        <w:t>与经营范围和经营规模及</w:t>
      </w:r>
      <w:r>
        <w:rPr>
          <w:rFonts w:hint="eastAsia" w:ascii="仿宋" w:hAnsi="仿宋" w:eastAsia="仿宋" w:cs="宋体"/>
          <w:color w:val="auto"/>
          <w:kern w:val="0"/>
          <w:sz w:val="32"/>
          <w:szCs w:val="32"/>
        </w:rPr>
        <w:t>岗位职能</w:t>
      </w:r>
      <w:r>
        <w:rPr>
          <w:rFonts w:hint="eastAsia" w:ascii="仿宋" w:hAnsi="仿宋" w:eastAsia="仿宋"/>
          <w:color w:val="auto"/>
          <w:sz w:val="32"/>
          <w:szCs w:val="32"/>
        </w:rPr>
        <w:t>相适应的</w:t>
      </w:r>
      <w:r>
        <w:rPr>
          <w:rFonts w:hint="eastAsia" w:ascii="仿宋" w:hAnsi="仿宋" w:eastAsia="仿宋" w:cs="仿宋"/>
          <w:color w:val="auto"/>
          <w:kern w:val="0"/>
          <w:sz w:val="32"/>
          <w:szCs w:val="32"/>
          <w:lang w:val="en-US" w:eastAsia="zh-CN"/>
        </w:rPr>
        <w:t>执业药师</w:t>
      </w:r>
      <w:r>
        <w:rPr>
          <w:rFonts w:hint="eastAsia" w:ascii="仿宋" w:hAnsi="仿宋" w:eastAsia="仿宋"/>
          <w:color w:val="auto"/>
          <w:sz w:val="32"/>
          <w:szCs w:val="32"/>
          <w:lang w:val="en-US" w:eastAsia="zh-CN"/>
        </w:rPr>
        <w:t>和</w:t>
      </w:r>
      <w:r>
        <w:rPr>
          <w:rFonts w:hint="eastAsia" w:ascii="仿宋" w:hAnsi="仿宋" w:eastAsia="仿宋" w:cs="仿宋"/>
          <w:color w:val="auto"/>
          <w:kern w:val="0"/>
          <w:sz w:val="32"/>
          <w:szCs w:val="32"/>
          <w:lang w:val="en-US" w:eastAsia="zh-CN"/>
        </w:rPr>
        <w:t>其他</w:t>
      </w:r>
      <w:r>
        <w:rPr>
          <w:rFonts w:hint="eastAsia" w:ascii="仿宋" w:hAnsi="仿宋" w:eastAsia="仿宋"/>
          <w:color w:val="auto"/>
          <w:sz w:val="32"/>
          <w:szCs w:val="32"/>
        </w:rPr>
        <w:t>药学技术人员，从事质量管理、药学服务及处方审核等工作。</w:t>
      </w:r>
    </w:p>
    <w:p>
      <w:pPr>
        <w:widowControl/>
        <w:snapToGrid/>
        <w:spacing w:line="560" w:lineRule="exact"/>
        <w:ind w:firstLine="640" w:firstLineChars="200"/>
        <w:rPr>
          <w:rFonts w:hint="eastAsia" w:ascii="仿宋" w:hAnsi="仿宋" w:eastAsia="仿宋" w:cs="Times New Roman"/>
          <w:color w:val="auto"/>
          <w:sz w:val="32"/>
          <w:szCs w:val="32"/>
          <w:lang w:val="en-US"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一</w:t>
      </w:r>
      <w:r>
        <w:rPr>
          <w:rFonts w:hint="eastAsia" w:ascii="仿宋" w:hAnsi="仿宋" w:eastAsia="仿宋" w:cs="仿宋"/>
          <w:color w:val="auto"/>
          <w:kern w:val="0"/>
          <w:sz w:val="32"/>
          <w:szCs w:val="32"/>
          <w:lang w:eastAsia="zh-CN"/>
        </w:rPr>
        <w:t>）</w:t>
      </w:r>
      <w:r>
        <w:rPr>
          <w:rFonts w:hint="eastAsia" w:ascii="仿宋" w:hAnsi="仿宋" w:eastAsia="仿宋" w:cs="Times New Roman"/>
          <w:color w:val="auto"/>
          <w:kern w:val="2"/>
          <w:sz w:val="32"/>
          <w:szCs w:val="32"/>
        </w:rPr>
        <w:t>企业</w:t>
      </w:r>
      <w:r>
        <w:rPr>
          <w:rFonts w:hint="eastAsia" w:ascii="仿宋" w:hAnsi="仿宋" w:eastAsia="仿宋"/>
          <w:color w:val="auto"/>
          <w:sz w:val="32"/>
          <w:szCs w:val="32"/>
          <w:lang w:val="en-US" w:eastAsia="zh-CN"/>
        </w:rPr>
        <w:t>申请</w:t>
      </w:r>
      <w:r>
        <w:rPr>
          <w:rFonts w:hint="eastAsia" w:ascii="仿宋" w:hAnsi="仿宋" w:eastAsia="仿宋" w:cs="Times New Roman"/>
          <w:color w:val="auto"/>
          <w:sz w:val="32"/>
          <w:szCs w:val="32"/>
        </w:rPr>
        <w:t>只经营乙类非处方药</w:t>
      </w:r>
      <w:r>
        <w:rPr>
          <w:rFonts w:hint="eastAsia" w:ascii="仿宋" w:hAnsi="仿宋" w:eastAsia="仿宋" w:cs="Times New Roman"/>
          <w:color w:val="auto"/>
          <w:sz w:val="32"/>
          <w:szCs w:val="32"/>
          <w:lang w:val="en-US" w:eastAsia="zh-CN"/>
        </w:rPr>
        <w:t>的，</w:t>
      </w:r>
      <w:r>
        <w:rPr>
          <w:rFonts w:hint="eastAsia" w:ascii="仿宋" w:hAnsi="仿宋" w:eastAsia="仿宋" w:cs="Times New Roman"/>
          <w:i w:val="0"/>
          <w:caps w:val="0"/>
          <w:color w:val="auto"/>
          <w:spacing w:val="0"/>
          <w:sz w:val="32"/>
          <w:szCs w:val="32"/>
          <w:shd w:val="clear" w:fill="auto"/>
        </w:rPr>
        <w:t>至少应当配备经过药品监督管理部门组织考核合格的人员。</w:t>
      </w:r>
    </w:p>
    <w:p>
      <w:pPr>
        <w:widowControl/>
        <w:snapToGrid/>
        <w:spacing w:line="560" w:lineRule="exact"/>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二</w:t>
      </w:r>
      <w:r>
        <w:rPr>
          <w:rFonts w:hint="eastAsia" w:ascii="仿宋" w:hAnsi="仿宋" w:eastAsia="仿宋" w:cs="仿宋"/>
          <w:color w:val="auto"/>
          <w:kern w:val="0"/>
          <w:sz w:val="32"/>
          <w:szCs w:val="32"/>
          <w:lang w:eastAsia="zh-CN"/>
        </w:rPr>
        <w:t>）</w:t>
      </w:r>
      <w:r>
        <w:rPr>
          <w:rFonts w:hint="eastAsia" w:ascii="仿宋" w:hAnsi="仿宋" w:eastAsia="仿宋"/>
          <w:color w:val="auto"/>
          <w:sz w:val="32"/>
          <w:szCs w:val="32"/>
          <w:lang w:val="en-US" w:eastAsia="zh-CN"/>
        </w:rPr>
        <w:t>企</w:t>
      </w:r>
      <w:r>
        <w:rPr>
          <w:rFonts w:hint="eastAsia" w:ascii="仿宋" w:hAnsi="仿宋" w:eastAsia="仿宋" w:cs="仿宋"/>
          <w:color w:val="auto"/>
          <w:kern w:val="0"/>
          <w:sz w:val="32"/>
          <w:szCs w:val="32"/>
        </w:rPr>
        <w:t>业申请经营</w:t>
      </w:r>
      <w:r>
        <w:rPr>
          <w:rFonts w:hint="eastAsia" w:ascii="仿宋" w:hAnsi="仿宋" w:eastAsia="仿宋" w:cs="仿宋"/>
          <w:color w:val="auto"/>
          <w:kern w:val="0"/>
          <w:sz w:val="32"/>
          <w:szCs w:val="32"/>
          <w:lang w:eastAsia="zh-CN"/>
        </w:rPr>
        <w:t>甲类非处方药、</w:t>
      </w:r>
      <w:r>
        <w:rPr>
          <w:rFonts w:hint="eastAsia" w:ascii="仿宋" w:hAnsi="仿宋" w:eastAsia="仿宋" w:cs="仿宋"/>
          <w:color w:val="auto"/>
          <w:kern w:val="0"/>
          <w:sz w:val="32"/>
          <w:szCs w:val="32"/>
        </w:rPr>
        <w:t>处方药</w:t>
      </w:r>
      <w:r>
        <w:rPr>
          <w:rFonts w:hint="eastAsia" w:ascii="仿宋" w:hAnsi="仿宋" w:eastAsia="仿宋" w:cs="仿宋"/>
          <w:color w:val="auto"/>
          <w:kern w:val="0"/>
          <w:sz w:val="32"/>
          <w:szCs w:val="32"/>
          <w:lang w:val="en-US" w:eastAsia="zh-CN"/>
        </w:rPr>
        <w:t>的</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应当</w:t>
      </w:r>
      <w:r>
        <w:rPr>
          <w:rFonts w:hint="eastAsia" w:ascii="仿宋" w:hAnsi="仿宋" w:eastAsia="仿宋" w:cs="仿宋"/>
          <w:color w:val="auto"/>
          <w:kern w:val="0"/>
          <w:sz w:val="32"/>
          <w:szCs w:val="32"/>
          <w:lang w:eastAsia="zh-CN"/>
        </w:rPr>
        <w:t>至少</w:t>
      </w:r>
      <w:r>
        <w:rPr>
          <w:rFonts w:hint="eastAsia" w:ascii="仿宋" w:hAnsi="仿宋" w:eastAsia="仿宋" w:cs="仿宋"/>
          <w:color w:val="auto"/>
          <w:kern w:val="0"/>
          <w:sz w:val="32"/>
          <w:szCs w:val="32"/>
        </w:rPr>
        <w:t>配备</w:t>
      </w:r>
      <w:r>
        <w:rPr>
          <w:rFonts w:hint="eastAsia" w:ascii="仿宋" w:hAnsi="仿宋" w:eastAsia="仿宋" w:cs="仿宋"/>
          <w:color w:val="auto"/>
          <w:kern w:val="0"/>
          <w:sz w:val="32"/>
          <w:szCs w:val="32"/>
          <w:lang w:val="en-US" w:eastAsia="zh-CN"/>
        </w:rPr>
        <w:t>1名</w:t>
      </w:r>
      <w:r>
        <w:rPr>
          <w:rFonts w:hint="eastAsia" w:ascii="仿宋" w:hAnsi="仿宋" w:eastAsia="仿宋" w:cs="仿宋"/>
          <w:color w:val="auto"/>
          <w:kern w:val="0"/>
          <w:sz w:val="32"/>
          <w:szCs w:val="32"/>
        </w:rPr>
        <w:t>执业药师</w:t>
      </w:r>
      <w:r>
        <w:rPr>
          <w:rFonts w:hint="eastAsia" w:ascii="仿宋" w:hAnsi="仿宋" w:eastAsia="仿宋" w:cs="仿宋"/>
          <w:color w:val="auto"/>
          <w:kern w:val="0"/>
          <w:sz w:val="32"/>
          <w:szCs w:val="32"/>
          <w:lang w:val="en-US" w:eastAsia="zh-CN"/>
        </w:rPr>
        <w:t>。</w:t>
      </w:r>
    </w:p>
    <w:p>
      <w:pPr>
        <w:widowControl/>
        <w:snapToGrid/>
        <w:spacing w:line="560" w:lineRule="exact"/>
        <w:ind w:firstLine="640" w:firstLineChars="200"/>
        <w:rPr>
          <w:rFonts w:hint="eastAsia" w:ascii="仿宋" w:hAnsi="仿宋" w:eastAsia="仿宋" w:cs="宋体"/>
          <w:color w:val="auto"/>
          <w:kern w:val="0"/>
          <w:sz w:val="32"/>
          <w:szCs w:val="32"/>
          <w:lang w:val="en-US" w:eastAsia="zh-CN"/>
        </w:rPr>
      </w:pPr>
      <w:r>
        <w:rPr>
          <w:rFonts w:hint="eastAsia" w:ascii="仿宋" w:hAnsi="仿宋" w:eastAsia="仿宋" w:cs="仿宋"/>
          <w:color w:val="auto"/>
          <w:kern w:val="0"/>
          <w:sz w:val="32"/>
          <w:szCs w:val="32"/>
          <w:lang w:val="en-US" w:eastAsia="zh-CN"/>
        </w:rPr>
        <w:t>（三）企业申请的经营范围包含“中药饮片”的，应当配备1名执业药师（中药学）或者</w:t>
      </w:r>
      <w:r>
        <w:rPr>
          <w:rFonts w:hint="eastAsia" w:ascii="仿宋" w:hAnsi="仿宋" w:eastAsia="仿宋" w:cs="宋体"/>
          <w:color w:val="auto"/>
          <w:kern w:val="0"/>
          <w:sz w:val="32"/>
          <w:szCs w:val="32"/>
        </w:rPr>
        <w:t>具有中药学专业初级</w:t>
      </w:r>
      <w:r>
        <w:rPr>
          <w:rFonts w:hint="eastAsia" w:ascii="仿宋" w:hAnsi="仿宋" w:eastAsia="仿宋" w:cs="宋体"/>
          <w:color w:val="auto"/>
          <w:kern w:val="0"/>
          <w:sz w:val="32"/>
          <w:szCs w:val="32"/>
          <w:lang w:val="en-US" w:eastAsia="zh-CN"/>
        </w:rPr>
        <w:t>及</w:t>
      </w:r>
      <w:r>
        <w:rPr>
          <w:rFonts w:hint="eastAsia" w:ascii="仿宋" w:hAnsi="仿宋" w:eastAsia="仿宋" w:cs="宋体"/>
          <w:color w:val="auto"/>
          <w:kern w:val="0"/>
          <w:sz w:val="32"/>
          <w:szCs w:val="32"/>
        </w:rPr>
        <w:t>以上专业技术职称</w:t>
      </w:r>
      <w:r>
        <w:rPr>
          <w:rFonts w:hint="eastAsia" w:ascii="仿宋" w:hAnsi="仿宋" w:eastAsia="仿宋" w:cs="宋体"/>
          <w:color w:val="auto"/>
          <w:kern w:val="0"/>
          <w:sz w:val="32"/>
          <w:szCs w:val="32"/>
          <w:lang w:val="en-US" w:eastAsia="zh-CN"/>
        </w:rPr>
        <w:t>的药学技术人员。</w:t>
      </w:r>
    </w:p>
    <w:p>
      <w:pPr>
        <w:widowControl/>
        <w:snapToGrid/>
        <w:spacing w:line="560" w:lineRule="exact"/>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（四）药品零售连锁企业开展远程审方药学服务的，其总部应当建立与其经营规模、审方数量相适应的远程审方体系，原则上按照每增加300张处方至少增加1名执业药师的配比，配备若干执业药师</w:t>
      </w:r>
      <w:bookmarkStart w:id="0" w:name="_GoBack"/>
      <w:bookmarkEnd w:id="0"/>
      <w:r>
        <w:rPr>
          <w:rFonts w:hint="eastAsia" w:ascii="仿宋" w:hAnsi="仿宋" w:eastAsia="仿宋" w:cs="仿宋"/>
          <w:color w:val="auto"/>
          <w:kern w:val="0"/>
          <w:sz w:val="32"/>
          <w:szCs w:val="32"/>
          <w:lang w:val="en-US" w:eastAsia="zh-CN"/>
        </w:rPr>
        <w:t>开展集中审核处方；其所属经营处方药、中药饮片的连锁门店，应至少现场配备1名执业药师（药学或中药学）负责处方复核、指导合理用药。</w:t>
      </w:r>
    </w:p>
    <w:p>
      <w:pPr>
        <w:widowControl/>
        <w:snapToGrid/>
        <w:spacing w:line="560" w:lineRule="exact"/>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（五）</w:t>
      </w:r>
      <w:r>
        <w:rPr>
          <w:rFonts w:hint="eastAsia" w:ascii="仿宋" w:hAnsi="仿宋" w:eastAsia="仿宋" w:cs="仿宋"/>
          <w:color w:val="auto"/>
          <w:kern w:val="0"/>
          <w:sz w:val="32"/>
          <w:szCs w:val="32"/>
        </w:rPr>
        <w:t>在执业药师存在明显缺口的偏远农村地区，经营处方药、中药饮片的药品零售企业，允许</w:t>
      </w:r>
      <w:r>
        <w:rPr>
          <w:rFonts w:hint="eastAsia" w:ascii="仿宋" w:hAnsi="仿宋" w:eastAsia="仿宋" w:cs="仿宋"/>
          <w:color w:val="auto"/>
          <w:kern w:val="0"/>
          <w:sz w:val="32"/>
          <w:szCs w:val="32"/>
          <w:lang w:val="en-US" w:eastAsia="zh-CN"/>
        </w:rPr>
        <w:t>过渡期内</w:t>
      </w:r>
      <w:r>
        <w:rPr>
          <w:rFonts w:hint="eastAsia" w:ascii="仿宋" w:hAnsi="仿宋" w:eastAsia="仿宋" w:cs="仿宋"/>
          <w:color w:val="auto"/>
          <w:kern w:val="0"/>
          <w:sz w:val="32"/>
          <w:szCs w:val="32"/>
        </w:rPr>
        <w:t>配备使用其他药学技术人员承担执业药师职责。</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val="en-US" w:eastAsia="zh-CN"/>
        </w:rPr>
        <w:t>六</w:t>
      </w:r>
      <w:r>
        <w:rPr>
          <w:rFonts w:hint="eastAsia" w:ascii="仿宋" w:hAnsi="仿宋" w:eastAsia="仿宋" w:cs="宋体"/>
          <w:color w:val="auto"/>
          <w:kern w:val="0"/>
          <w:sz w:val="32"/>
          <w:szCs w:val="32"/>
        </w:rPr>
        <w:t>）质量管理、验收、采购人员应当具有药学或者医学、生物、化学等相关专业中专以上学历或者具有药学专业初级以上专业技术职称。</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val="en-US" w:eastAsia="zh-CN"/>
        </w:rPr>
        <w:t>七</w:t>
      </w:r>
      <w:r>
        <w:rPr>
          <w:rFonts w:hint="eastAsia" w:ascii="仿宋" w:hAnsi="仿宋" w:eastAsia="仿宋" w:cs="宋体"/>
          <w:color w:val="auto"/>
          <w:kern w:val="0"/>
          <w:sz w:val="32"/>
          <w:szCs w:val="32"/>
        </w:rPr>
        <w:t>）从事中药饮片质量管理、验收、采购人员应当具有中药学中专以上学历或者具有中药学专业初级</w:t>
      </w:r>
      <w:r>
        <w:rPr>
          <w:rFonts w:hint="eastAsia" w:ascii="仿宋" w:hAnsi="仿宋" w:eastAsia="仿宋" w:cs="宋体"/>
          <w:color w:val="auto"/>
          <w:kern w:val="0"/>
          <w:sz w:val="32"/>
          <w:szCs w:val="32"/>
          <w:lang w:val="en-US" w:eastAsia="zh-CN"/>
        </w:rPr>
        <w:t>及</w:t>
      </w:r>
      <w:r>
        <w:rPr>
          <w:rFonts w:hint="eastAsia" w:ascii="仿宋" w:hAnsi="仿宋" w:eastAsia="仿宋" w:cs="宋体"/>
          <w:color w:val="auto"/>
          <w:kern w:val="0"/>
          <w:sz w:val="32"/>
          <w:szCs w:val="32"/>
        </w:rPr>
        <w:t>以上专业技术职称。</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val="en-US" w:eastAsia="zh-CN"/>
        </w:rPr>
        <w:t>八</w:t>
      </w:r>
      <w:r>
        <w:rPr>
          <w:rFonts w:hint="eastAsia" w:ascii="仿宋" w:hAnsi="仿宋" w:eastAsia="仿宋" w:cs="宋体"/>
          <w:color w:val="auto"/>
          <w:kern w:val="0"/>
          <w:sz w:val="32"/>
          <w:szCs w:val="32"/>
        </w:rPr>
        <w:t>）中药饮片调剂人员应当具有中药学中专以上学历</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lang w:val="en-US" w:eastAsia="zh-CN"/>
        </w:rPr>
        <w:t>或者</w:t>
      </w:r>
      <w:r>
        <w:rPr>
          <w:rFonts w:hint="eastAsia" w:ascii="仿宋" w:hAnsi="仿宋" w:eastAsia="仿宋" w:cs="宋体"/>
          <w:color w:val="auto"/>
          <w:kern w:val="0"/>
          <w:sz w:val="32"/>
          <w:szCs w:val="32"/>
        </w:rPr>
        <w:t>具有中药学专业初级</w:t>
      </w:r>
      <w:r>
        <w:rPr>
          <w:rFonts w:hint="eastAsia" w:ascii="仿宋" w:hAnsi="仿宋" w:eastAsia="仿宋" w:cs="宋体"/>
          <w:color w:val="auto"/>
          <w:kern w:val="0"/>
          <w:sz w:val="32"/>
          <w:szCs w:val="32"/>
          <w:lang w:val="en-US" w:eastAsia="zh-CN"/>
        </w:rPr>
        <w:t>及</w:t>
      </w:r>
      <w:r>
        <w:rPr>
          <w:rFonts w:hint="eastAsia" w:ascii="仿宋" w:hAnsi="仿宋" w:eastAsia="仿宋" w:cs="宋体"/>
          <w:color w:val="auto"/>
          <w:kern w:val="0"/>
          <w:sz w:val="32"/>
          <w:szCs w:val="32"/>
        </w:rPr>
        <w:t>以上专业技术职称</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或者具备中药调剂员资格。</w:t>
      </w:r>
    </w:p>
    <w:p>
      <w:pPr>
        <w:snapToGrid w:val="0"/>
        <w:spacing w:line="640" w:lineRule="exact"/>
        <w:ind w:firstLine="640" w:firstLineChars="200"/>
        <w:rPr>
          <w:rFonts w:hint="eastAsia" w:ascii="仿宋" w:hAnsi="仿宋" w:eastAsia="仿宋" w:cs="仿宋"/>
          <w:color w:val="auto"/>
          <w:sz w:val="32"/>
          <w:szCs w:val="32"/>
        </w:rPr>
      </w:pPr>
      <w:r>
        <w:rPr>
          <w:rFonts w:hint="eastAsia" w:ascii="楷体" w:hAnsi="楷体" w:eastAsia="楷体" w:cs="楷体"/>
          <w:color w:val="auto"/>
          <w:sz w:val="32"/>
          <w:szCs w:val="32"/>
        </w:rPr>
        <w:t>第</w:t>
      </w:r>
      <w:r>
        <w:rPr>
          <w:rFonts w:hint="eastAsia" w:ascii="楷体" w:hAnsi="楷体" w:eastAsia="楷体" w:cs="楷体"/>
          <w:color w:val="auto"/>
          <w:sz w:val="32"/>
          <w:szCs w:val="32"/>
          <w:lang w:val="en-US" w:eastAsia="zh-CN"/>
        </w:rPr>
        <w:t>八</w:t>
      </w:r>
      <w:r>
        <w:rPr>
          <w:rFonts w:hint="eastAsia" w:ascii="楷体" w:hAnsi="楷体" w:eastAsia="楷体" w:cs="楷体"/>
          <w:color w:val="auto"/>
          <w:sz w:val="32"/>
          <w:szCs w:val="32"/>
        </w:rPr>
        <w:t>条</w:t>
      </w:r>
      <w:r>
        <w:rPr>
          <w:rFonts w:hint="eastAsia" w:ascii="仿宋" w:hAnsi="仿宋" w:eastAsia="仿宋"/>
          <w:color w:val="auto"/>
          <w:sz w:val="32"/>
          <w:szCs w:val="32"/>
        </w:rPr>
        <w:t xml:space="preserve"> </w:t>
      </w:r>
      <w:r>
        <w:rPr>
          <w:rFonts w:hint="eastAsia" w:ascii="仿宋" w:hAnsi="仿宋" w:eastAsia="仿宋" w:cs="仿宋"/>
          <w:color w:val="auto"/>
          <w:kern w:val="0"/>
          <w:sz w:val="32"/>
          <w:szCs w:val="32"/>
        </w:rPr>
        <w:t>执业药师</w:t>
      </w:r>
      <w:r>
        <w:rPr>
          <w:rFonts w:hint="eastAsia" w:ascii="仿宋" w:hAnsi="仿宋" w:eastAsia="仿宋" w:cs="仿宋"/>
          <w:color w:val="auto"/>
          <w:kern w:val="0"/>
          <w:sz w:val="32"/>
          <w:szCs w:val="32"/>
          <w:lang w:val="en-US" w:eastAsia="zh-CN"/>
        </w:rPr>
        <w:t>应尽职履责、切实发挥执业药师作用。</w:t>
      </w:r>
      <w:r>
        <w:rPr>
          <w:rFonts w:hint="eastAsia" w:ascii="仿宋" w:hAnsi="仿宋" w:eastAsia="仿宋" w:cs="仿宋"/>
          <w:color w:val="auto"/>
          <w:sz w:val="32"/>
          <w:szCs w:val="32"/>
          <w:lang w:eastAsia="zh-CN"/>
        </w:rPr>
        <w:t>执业药师</w:t>
      </w:r>
      <w:r>
        <w:rPr>
          <w:rFonts w:hint="eastAsia" w:ascii="仿宋" w:hAnsi="仿宋" w:eastAsia="仿宋" w:cs="仿宋"/>
          <w:color w:val="auto"/>
          <w:kern w:val="0"/>
          <w:sz w:val="32"/>
          <w:szCs w:val="32"/>
          <w:lang w:val="en-US" w:eastAsia="zh-CN"/>
        </w:rPr>
        <w:t>应当</w:t>
      </w:r>
      <w:r>
        <w:rPr>
          <w:rFonts w:hint="eastAsia" w:ascii="仿宋" w:hAnsi="仿宋" w:eastAsia="仿宋" w:cs="仿宋"/>
          <w:i w:val="0"/>
          <w:caps w:val="0"/>
          <w:color w:val="auto"/>
          <w:spacing w:val="0"/>
          <w:sz w:val="32"/>
          <w:szCs w:val="32"/>
          <w:shd w:val="clear" w:fill="FFFFFF"/>
        </w:rPr>
        <w:t>负责本企业药品质量管理，督促执行药品管理相关的法律法规及规范；负责处方审核和监督调配，向公众提供合理用药指导和咨询服务；负责收集反馈药品不良反应信息等药学工作。</w:t>
      </w:r>
    </w:p>
    <w:p>
      <w:pPr>
        <w:snapToGrid w:val="0"/>
        <w:spacing w:line="640" w:lineRule="exact"/>
        <w:ind w:firstLine="645"/>
        <w:rPr>
          <w:rFonts w:hint="eastAsia" w:ascii="仿宋" w:hAnsi="仿宋" w:eastAsia="仿宋" w:cs="宋体"/>
          <w:color w:val="auto"/>
          <w:kern w:val="0"/>
          <w:sz w:val="32"/>
          <w:szCs w:val="32"/>
        </w:rPr>
      </w:pPr>
      <w:r>
        <w:rPr>
          <w:rFonts w:hint="eastAsia" w:ascii="楷体" w:hAnsi="楷体" w:eastAsia="楷体" w:cs="楷体"/>
          <w:color w:val="auto"/>
          <w:sz w:val="32"/>
          <w:szCs w:val="32"/>
          <w:lang w:eastAsia="zh-CN"/>
        </w:rPr>
        <w:t>第九条</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lang w:eastAsia="zh-CN"/>
        </w:rPr>
        <w:t>执业药师、</w:t>
      </w:r>
      <w:r>
        <w:rPr>
          <w:rFonts w:hint="eastAsia" w:ascii="仿宋" w:hAnsi="仿宋" w:eastAsia="仿宋" w:cs="宋体"/>
          <w:color w:val="auto"/>
          <w:kern w:val="0"/>
          <w:sz w:val="32"/>
          <w:szCs w:val="32"/>
        </w:rPr>
        <w:t>质量管理人员、药学服务人员等关键岗位人员应在职在岗，其岗位职责不得由其他岗位人员代为履行。</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执业药师在岗信息应在营业场所显著位置进行公示（至少包括姓名、执业注册证号及照片等），着装符合要求，佩戴执业药师标志牌</w:t>
      </w:r>
      <w:r>
        <w:rPr>
          <w:rFonts w:hint="eastAsia" w:ascii="仿宋" w:hAnsi="仿宋" w:eastAsia="仿宋" w:cs="宋体"/>
          <w:color w:val="auto"/>
          <w:kern w:val="0"/>
          <w:sz w:val="32"/>
          <w:szCs w:val="32"/>
          <w:lang w:val="en-US" w:eastAsia="zh-CN"/>
        </w:rPr>
        <w:t>,</w:t>
      </w:r>
      <w:r>
        <w:rPr>
          <w:rFonts w:hint="eastAsia" w:ascii="仿宋" w:hAnsi="仿宋" w:eastAsia="仿宋" w:cs="仿宋"/>
          <w:color w:val="auto"/>
          <w:kern w:val="0"/>
          <w:sz w:val="32"/>
          <w:szCs w:val="32"/>
          <w:lang w:val="en-US" w:eastAsia="zh-CN"/>
        </w:rPr>
        <w:t>不得无故脱岗或者“挂证”经营</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rPr>
        <w:t>。</w:t>
      </w:r>
    </w:p>
    <w:p>
      <w:pPr>
        <w:snapToGrid w:val="0"/>
        <w:spacing w:line="640" w:lineRule="exact"/>
        <w:ind w:firstLine="645"/>
        <w:rPr>
          <w:rFonts w:hint="eastAsia" w:ascii="仿宋" w:hAnsi="仿宋" w:eastAsia="仿宋" w:cs="宋体"/>
          <w:color w:val="auto"/>
          <w:kern w:val="0"/>
          <w:sz w:val="32"/>
          <w:szCs w:val="32"/>
        </w:rPr>
      </w:pPr>
      <w:r>
        <w:rPr>
          <w:rFonts w:hint="eastAsia" w:ascii="楷体" w:hAnsi="楷体" w:eastAsia="楷体" w:cs="楷体"/>
          <w:color w:val="auto"/>
          <w:kern w:val="0"/>
          <w:sz w:val="32"/>
          <w:szCs w:val="32"/>
        </w:rPr>
        <w:t>第</w:t>
      </w:r>
      <w:r>
        <w:rPr>
          <w:rFonts w:hint="eastAsia" w:ascii="楷体" w:hAnsi="楷体" w:eastAsia="楷体" w:cs="楷体"/>
          <w:color w:val="auto"/>
          <w:kern w:val="0"/>
          <w:sz w:val="32"/>
          <w:szCs w:val="32"/>
          <w:lang w:val="en-US" w:eastAsia="zh-CN"/>
        </w:rPr>
        <w:t>十</w:t>
      </w:r>
      <w:r>
        <w:rPr>
          <w:rFonts w:hint="eastAsia" w:ascii="楷体" w:hAnsi="楷体" w:eastAsia="楷体" w:cs="楷体"/>
          <w:color w:val="auto"/>
          <w:kern w:val="0"/>
          <w:sz w:val="32"/>
          <w:szCs w:val="32"/>
        </w:rPr>
        <w:t>条</w:t>
      </w:r>
      <w:r>
        <w:rPr>
          <w:rFonts w:hint="eastAsia" w:ascii="仿宋" w:hAnsi="仿宋" w:eastAsia="仿宋" w:cs="宋体"/>
          <w:color w:val="auto"/>
          <w:kern w:val="0"/>
          <w:sz w:val="32"/>
          <w:szCs w:val="32"/>
        </w:rPr>
        <w:t xml:space="preserve"> 企业应按规定配备相应的执业药师和</w:t>
      </w:r>
      <w:r>
        <w:rPr>
          <w:rFonts w:hint="eastAsia" w:ascii="仿宋" w:hAnsi="仿宋" w:eastAsia="仿宋" w:cs="仿宋"/>
          <w:color w:val="auto"/>
          <w:kern w:val="0"/>
          <w:sz w:val="32"/>
          <w:szCs w:val="32"/>
          <w:lang w:val="en-US" w:eastAsia="zh-CN"/>
        </w:rPr>
        <w:t>其他</w:t>
      </w:r>
      <w:r>
        <w:rPr>
          <w:rFonts w:hint="eastAsia" w:ascii="仿宋" w:hAnsi="仿宋" w:eastAsia="仿宋" w:cs="宋体"/>
          <w:color w:val="auto"/>
          <w:kern w:val="0"/>
          <w:sz w:val="32"/>
          <w:szCs w:val="32"/>
        </w:rPr>
        <w:t>药学技术人员，药品营业场所</w:t>
      </w:r>
      <w:r>
        <w:rPr>
          <w:rFonts w:hint="eastAsia" w:ascii="仿宋" w:hAnsi="仿宋" w:eastAsia="仿宋" w:cs="宋体"/>
          <w:color w:val="auto"/>
          <w:kern w:val="0"/>
          <w:sz w:val="32"/>
          <w:szCs w:val="32"/>
          <w:lang w:eastAsia="zh-CN"/>
        </w:rPr>
        <w:t>使用</w:t>
      </w:r>
      <w:r>
        <w:rPr>
          <w:rFonts w:hint="eastAsia" w:ascii="仿宋" w:hAnsi="仿宋" w:eastAsia="仿宋" w:cs="宋体"/>
          <w:color w:val="auto"/>
          <w:kern w:val="0"/>
          <w:sz w:val="32"/>
          <w:szCs w:val="32"/>
        </w:rPr>
        <w:t>面积每超出开办标准</w:t>
      </w: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0</w:t>
      </w:r>
      <w:r>
        <w:rPr>
          <w:rFonts w:hint="eastAsia" w:ascii="仿宋" w:hAnsi="仿宋" w:eastAsia="仿宋" w:cs="宋体"/>
          <w:color w:val="auto"/>
          <w:kern w:val="0"/>
          <w:sz w:val="32"/>
          <w:szCs w:val="32"/>
        </w:rPr>
        <w:t>平方米，需增加1名执业药师</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lang w:val="en-US" w:eastAsia="zh-CN"/>
        </w:rPr>
        <w:t>药学或中药学</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w:t>
      </w:r>
    </w:p>
    <w:p>
      <w:pPr>
        <w:snapToGrid w:val="0"/>
        <w:spacing w:line="640" w:lineRule="exact"/>
        <w:ind w:firstLine="645"/>
        <w:rPr>
          <w:rFonts w:hint="eastAsia" w:ascii="仿宋" w:hAnsi="仿宋" w:eastAsia="仿宋" w:cs="宋体"/>
          <w:color w:val="auto"/>
          <w:kern w:val="0"/>
          <w:sz w:val="32"/>
          <w:szCs w:val="32"/>
        </w:rPr>
      </w:pPr>
      <w:r>
        <w:rPr>
          <w:rFonts w:hint="eastAsia" w:ascii="楷体" w:hAnsi="楷体" w:eastAsia="楷体" w:cs="楷体"/>
          <w:color w:val="auto"/>
          <w:kern w:val="0"/>
          <w:sz w:val="32"/>
          <w:szCs w:val="32"/>
        </w:rPr>
        <w:t>第十</w:t>
      </w:r>
      <w:r>
        <w:rPr>
          <w:rFonts w:hint="eastAsia" w:ascii="楷体" w:hAnsi="楷体" w:eastAsia="楷体" w:cs="楷体"/>
          <w:color w:val="auto"/>
          <w:kern w:val="0"/>
          <w:sz w:val="32"/>
          <w:szCs w:val="32"/>
          <w:lang w:eastAsia="zh-CN"/>
        </w:rPr>
        <w:t>一</w:t>
      </w:r>
      <w:r>
        <w:rPr>
          <w:rFonts w:hint="eastAsia" w:ascii="楷体" w:hAnsi="楷体" w:eastAsia="楷体" w:cs="楷体"/>
          <w:color w:val="auto"/>
          <w:kern w:val="0"/>
          <w:sz w:val="32"/>
          <w:szCs w:val="32"/>
        </w:rPr>
        <w:t>条</w:t>
      </w:r>
      <w:r>
        <w:rPr>
          <w:rFonts w:hint="eastAsia" w:ascii="仿宋" w:hAnsi="仿宋" w:eastAsia="仿宋" w:cs="宋体"/>
          <w:color w:val="auto"/>
          <w:kern w:val="0"/>
          <w:sz w:val="32"/>
          <w:szCs w:val="32"/>
        </w:rPr>
        <w:t xml:space="preserve"> 企业各岗位人员须经相应的法律法规和药品专业知识与技能的岗前培训和继续教育培训,掌握相关法律法规和专业知识，能正确理解并履行职责。</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楷体_GB2312"/>
          <w:bCs/>
          <w:color w:val="auto"/>
          <w:sz w:val="32"/>
        </w:rPr>
        <w:t>第十</w:t>
      </w:r>
      <w:r>
        <w:rPr>
          <w:rFonts w:hint="eastAsia" w:ascii="仿宋" w:hAnsi="仿宋" w:eastAsia="楷体_GB2312"/>
          <w:bCs/>
          <w:color w:val="auto"/>
          <w:sz w:val="32"/>
          <w:lang w:val="en-US" w:eastAsia="zh-CN"/>
        </w:rPr>
        <w:t>二</w:t>
      </w:r>
      <w:r>
        <w:rPr>
          <w:rFonts w:hint="eastAsia" w:ascii="仿宋" w:hAnsi="仿宋" w:eastAsia="楷体_GB2312"/>
          <w:bCs/>
          <w:color w:val="auto"/>
          <w:sz w:val="32"/>
        </w:rPr>
        <w:t>条</w:t>
      </w:r>
      <w:r>
        <w:rPr>
          <w:rFonts w:hint="eastAsia" w:ascii="仿宋" w:hAnsi="仿宋" w:eastAsia="仿宋" w:cs="宋体"/>
          <w:color w:val="auto"/>
          <w:kern w:val="0"/>
          <w:sz w:val="32"/>
          <w:szCs w:val="32"/>
        </w:rPr>
        <w:t xml:space="preserve"> 企业从事药品质量管理、验收、养护、保管人员以及营业员等直接接触药品岗位工作的人员应进行岗前健康检查，并建立健康档案。患有传染病或其他可能污染药品的疾病的人员，不得从事直接接触药品的工作。</w:t>
      </w:r>
    </w:p>
    <w:p>
      <w:pPr>
        <w:snapToGrid w:val="0"/>
        <w:spacing w:line="640" w:lineRule="exact"/>
        <w:jc w:val="center"/>
        <w:rPr>
          <w:rFonts w:hint="eastAsia" w:ascii="黑体" w:hAnsi="黑体" w:eastAsia="黑体" w:cs="宋体"/>
          <w:color w:val="auto"/>
          <w:kern w:val="0"/>
          <w:sz w:val="32"/>
          <w:szCs w:val="32"/>
        </w:rPr>
      </w:pPr>
    </w:p>
    <w:p>
      <w:pPr>
        <w:snapToGrid w:val="0"/>
        <w:spacing w:line="640" w:lineRule="exact"/>
        <w:jc w:val="center"/>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第</w:t>
      </w:r>
      <w:r>
        <w:rPr>
          <w:rFonts w:hint="eastAsia" w:ascii="黑体" w:hAnsi="黑体" w:eastAsia="黑体" w:cs="宋体"/>
          <w:color w:val="auto"/>
          <w:kern w:val="0"/>
          <w:sz w:val="32"/>
          <w:szCs w:val="32"/>
          <w:lang w:val="en-US" w:eastAsia="zh-CN"/>
        </w:rPr>
        <w:t>三</w:t>
      </w:r>
      <w:r>
        <w:rPr>
          <w:rFonts w:hint="eastAsia" w:ascii="黑体" w:hAnsi="黑体" w:eastAsia="黑体" w:cs="宋体"/>
          <w:color w:val="auto"/>
          <w:kern w:val="0"/>
          <w:sz w:val="32"/>
          <w:szCs w:val="32"/>
        </w:rPr>
        <w:t>章 设施设备</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楷体_GB2312"/>
          <w:bCs/>
          <w:color w:val="auto"/>
          <w:sz w:val="32"/>
        </w:rPr>
        <w:t>第十</w:t>
      </w:r>
      <w:r>
        <w:rPr>
          <w:rFonts w:hint="eastAsia" w:ascii="仿宋" w:hAnsi="仿宋" w:eastAsia="楷体_GB2312"/>
          <w:bCs/>
          <w:color w:val="auto"/>
          <w:sz w:val="32"/>
          <w:lang w:val="en-US" w:eastAsia="zh-CN"/>
        </w:rPr>
        <w:t>三</w:t>
      </w:r>
      <w:r>
        <w:rPr>
          <w:rFonts w:hint="eastAsia" w:ascii="仿宋" w:hAnsi="仿宋" w:eastAsia="楷体_GB2312"/>
          <w:bCs/>
          <w:color w:val="auto"/>
          <w:sz w:val="32"/>
        </w:rPr>
        <w:t>条</w:t>
      </w:r>
      <w:r>
        <w:rPr>
          <w:rFonts w:hint="eastAsia" w:ascii="仿宋" w:hAnsi="仿宋" w:eastAsia="仿宋" w:cs="宋体"/>
          <w:color w:val="auto"/>
          <w:kern w:val="0"/>
          <w:sz w:val="32"/>
          <w:szCs w:val="32"/>
        </w:rPr>
        <w:t xml:space="preserve"> 企业应有与经营药品</w:t>
      </w:r>
      <w:r>
        <w:rPr>
          <w:rFonts w:hint="eastAsia" w:ascii="仿宋" w:hAnsi="仿宋" w:eastAsia="仿宋" w:cs="宋体"/>
          <w:color w:val="auto"/>
          <w:kern w:val="0"/>
          <w:sz w:val="32"/>
          <w:szCs w:val="32"/>
          <w:lang w:val="en-US" w:eastAsia="zh-CN"/>
        </w:rPr>
        <w:t>品种、</w:t>
      </w:r>
      <w:r>
        <w:rPr>
          <w:rFonts w:hint="eastAsia" w:ascii="仿宋" w:hAnsi="仿宋" w:eastAsia="仿宋" w:cs="宋体"/>
          <w:color w:val="auto"/>
          <w:kern w:val="0"/>
          <w:sz w:val="32"/>
          <w:szCs w:val="32"/>
        </w:rPr>
        <w:t>规模相适应的营业场所。</w:t>
      </w:r>
      <w:r>
        <w:rPr>
          <w:rFonts w:hint="eastAsia" w:ascii="仿宋" w:hAnsi="仿宋" w:eastAsia="仿宋" w:cs="宋体"/>
          <w:color w:val="auto"/>
          <w:kern w:val="0"/>
          <w:sz w:val="32"/>
          <w:szCs w:val="32"/>
          <w:lang w:val="en-US" w:eastAsia="zh-CN" w:bidi="ar"/>
        </w:rPr>
        <w:t>非珠三角地区经营处方药、甲类非处方药的药品零售企业营业场所使用面积不少于40平方米</w:t>
      </w:r>
      <w:r>
        <w:rPr>
          <w:rFonts w:hint="eastAsia" w:ascii="仿宋" w:hAnsi="仿宋" w:eastAsia="仿宋" w:cs="宋体"/>
          <w:color w:val="auto"/>
          <w:kern w:val="0"/>
          <w:sz w:val="32"/>
          <w:szCs w:val="32"/>
        </w:rPr>
        <w:t>（珠三角等地区</w:t>
      </w:r>
      <w:r>
        <w:rPr>
          <w:rFonts w:hint="eastAsia" w:ascii="Times New Roman" w:hAnsi="Times New Roman" w:eastAsia="仿宋_GB2312" w:cs="Times New Roman"/>
          <w:color w:val="auto"/>
          <w:sz w:val="32"/>
          <w:szCs w:val="32"/>
          <w:lang w:val="en-US" w:eastAsia="zh-CN"/>
        </w:rPr>
        <w:t>地级以上市药品监督管理部门</w:t>
      </w:r>
      <w:r>
        <w:rPr>
          <w:rFonts w:hint="eastAsia" w:ascii="仿宋" w:hAnsi="仿宋" w:eastAsia="仿宋" w:cs="宋体"/>
          <w:color w:val="auto"/>
          <w:kern w:val="0"/>
          <w:sz w:val="32"/>
          <w:szCs w:val="32"/>
        </w:rPr>
        <w:t>可</w:t>
      </w:r>
      <w:r>
        <w:rPr>
          <w:rFonts w:ascii="Times New Roman" w:hAnsi="Times New Roman" w:eastAsia="仿宋_GB2312" w:cs="Times New Roman"/>
          <w:color w:val="auto"/>
          <w:sz w:val="32"/>
          <w:szCs w:val="32"/>
        </w:rPr>
        <w:t>结合辖区和企业经营实际</w:t>
      </w:r>
      <w:r>
        <w:rPr>
          <w:rFonts w:hint="eastAsia" w:ascii="仿宋" w:hAnsi="仿宋" w:eastAsia="仿宋" w:cs="宋体"/>
          <w:color w:val="auto"/>
          <w:kern w:val="0"/>
          <w:sz w:val="32"/>
          <w:szCs w:val="32"/>
        </w:rPr>
        <w:t>需要适当调整，但应不小于60平方米）</w:t>
      </w:r>
      <w:r>
        <w:rPr>
          <w:rFonts w:hint="eastAsia" w:ascii="仿宋" w:hAnsi="仿宋" w:eastAsia="仿宋"/>
          <w:color w:val="auto"/>
          <w:sz w:val="32"/>
          <w:szCs w:val="32"/>
        </w:rPr>
        <w:t>。</w:t>
      </w:r>
      <w:r>
        <w:rPr>
          <w:rFonts w:hint="eastAsia" w:ascii="仿宋" w:hAnsi="仿宋" w:eastAsia="仿宋" w:cs="宋体"/>
          <w:color w:val="auto"/>
          <w:kern w:val="0"/>
          <w:sz w:val="32"/>
          <w:szCs w:val="32"/>
        </w:rPr>
        <w:t>上述面积指同一平面上的连续面积。</w:t>
      </w:r>
    </w:p>
    <w:p>
      <w:pPr>
        <w:snapToGrid w:val="0"/>
        <w:spacing w:line="640" w:lineRule="exact"/>
        <w:ind w:firstLine="645"/>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rPr>
        <w:t>在农村地区设立的药品零售企业，</w:t>
      </w:r>
      <w:r>
        <w:rPr>
          <w:rFonts w:hint="eastAsia" w:ascii="仿宋" w:hAnsi="仿宋" w:eastAsia="仿宋" w:cs="仿宋"/>
          <w:color w:val="auto"/>
          <w:sz w:val="32"/>
          <w:szCs w:val="32"/>
          <w:lang w:val="en-US" w:eastAsia="zh-CN"/>
        </w:rPr>
        <w:t>各地级以上市药品监督管理部门</w:t>
      </w:r>
      <w:r>
        <w:rPr>
          <w:rFonts w:hint="eastAsia" w:ascii="仿宋" w:hAnsi="仿宋" w:eastAsia="仿宋" w:cs="仿宋"/>
          <w:color w:val="auto"/>
          <w:sz w:val="32"/>
          <w:szCs w:val="32"/>
        </w:rPr>
        <w:t>可结合辖区和企业经营实际</w:t>
      </w:r>
      <w:r>
        <w:rPr>
          <w:rFonts w:hint="eastAsia" w:ascii="仿宋" w:hAnsi="仿宋" w:eastAsia="仿宋" w:cs="仿宋"/>
          <w:color w:val="auto"/>
          <w:sz w:val="32"/>
          <w:szCs w:val="32"/>
          <w:lang w:val="en-US" w:eastAsia="zh-CN"/>
        </w:rPr>
        <w:t>适当</w:t>
      </w:r>
      <w:r>
        <w:rPr>
          <w:rFonts w:hint="eastAsia" w:ascii="仿宋" w:hAnsi="仿宋" w:eastAsia="仿宋" w:cs="仿宋"/>
          <w:color w:val="auto"/>
          <w:sz w:val="32"/>
          <w:szCs w:val="32"/>
        </w:rPr>
        <w:t>调整营业场所面积要求。</w:t>
      </w:r>
    </w:p>
    <w:p>
      <w:pPr>
        <w:snapToGrid w:val="0"/>
        <w:spacing w:line="640" w:lineRule="exact"/>
        <w:ind w:firstLine="645"/>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申请仅经营乙类非处方药的，其营业场所面积不作具体要求，但应与其经营品种、规模相适应。</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楷体_GB2312"/>
          <w:bCs/>
          <w:color w:val="auto"/>
          <w:sz w:val="32"/>
        </w:rPr>
        <w:t>第十</w:t>
      </w:r>
      <w:r>
        <w:rPr>
          <w:rFonts w:hint="eastAsia" w:ascii="仿宋" w:hAnsi="仿宋" w:eastAsia="楷体_GB2312"/>
          <w:bCs/>
          <w:color w:val="auto"/>
          <w:sz w:val="32"/>
          <w:lang w:val="en-US" w:eastAsia="zh-CN"/>
        </w:rPr>
        <w:t>四</w:t>
      </w:r>
      <w:r>
        <w:rPr>
          <w:rFonts w:hint="eastAsia" w:ascii="仿宋" w:hAnsi="仿宋" w:eastAsia="楷体_GB2312"/>
          <w:bCs/>
          <w:color w:val="auto"/>
          <w:sz w:val="32"/>
        </w:rPr>
        <w:t>条</w:t>
      </w:r>
      <w:r>
        <w:rPr>
          <w:rFonts w:hint="eastAsia" w:ascii="仿宋" w:hAnsi="仿宋" w:eastAsia="仿宋" w:cs="宋体"/>
          <w:color w:val="auto"/>
          <w:kern w:val="0"/>
          <w:sz w:val="32"/>
          <w:szCs w:val="32"/>
        </w:rPr>
        <w:t xml:space="preserve"> 在超市等其他商业企业内设立零售药店的，必须有有效隔断的独立区域，周围环境不得对药品造成污染。</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楷体_GB2312"/>
          <w:bCs/>
          <w:color w:val="auto"/>
          <w:sz w:val="32"/>
        </w:rPr>
        <w:t>第十</w:t>
      </w:r>
      <w:r>
        <w:rPr>
          <w:rFonts w:hint="eastAsia" w:ascii="仿宋" w:hAnsi="仿宋" w:eastAsia="楷体_GB2312"/>
          <w:bCs/>
          <w:color w:val="auto"/>
          <w:sz w:val="32"/>
          <w:lang w:val="en-US" w:eastAsia="zh-CN"/>
        </w:rPr>
        <w:t>五</w:t>
      </w:r>
      <w:r>
        <w:rPr>
          <w:rFonts w:hint="eastAsia" w:ascii="仿宋" w:hAnsi="仿宋" w:eastAsia="楷体_GB2312"/>
          <w:bCs/>
          <w:color w:val="auto"/>
          <w:sz w:val="32"/>
        </w:rPr>
        <w:t>条</w:t>
      </w:r>
      <w:r>
        <w:rPr>
          <w:rFonts w:hint="eastAsia" w:ascii="仿宋" w:hAnsi="仿宋" w:eastAsia="仿宋" w:cs="宋体"/>
          <w:color w:val="auto"/>
          <w:kern w:val="0"/>
          <w:sz w:val="32"/>
          <w:szCs w:val="32"/>
        </w:rPr>
        <w:t xml:space="preserve"> 企业营业场所应当与药品储存、办公、生活辅助及其他区域分开。</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楷体_GB2312"/>
          <w:bCs/>
          <w:color w:val="auto"/>
          <w:sz w:val="32"/>
        </w:rPr>
        <w:t>第十</w:t>
      </w:r>
      <w:r>
        <w:rPr>
          <w:rFonts w:hint="eastAsia" w:ascii="仿宋" w:hAnsi="仿宋" w:eastAsia="楷体_GB2312"/>
          <w:bCs/>
          <w:color w:val="auto"/>
          <w:sz w:val="32"/>
          <w:lang w:val="en-US" w:eastAsia="zh-CN"/>
        </w:rPr>
        <w:t>六</w:t>
      </w:r>
      <w:r>
        <w:rPr>
          <w:rFonts w:hint="eastAsia" w:ascii="仿宋" w:hAnsi="仿宋" w:eastAsia="楷体_GB2312"/>
          <w:bCs/>
          <w:color w:val="auto"/>
          <w:sz w:val="32"/>
        </w:rPr>
        <w:t>条</w:t>
      </w:r>
      <w:r>
        <w:rPr>
          <w:rFonts w:hint="eastAsia" w:ascii="仿宋" w:hAnsi="仿宋" w:eastAsia="仿宋" w:cs="宋体"/>
          <w:color w:val="auto"/>
          <w:kern w:val="0"/>
          <w:sz w:val="32"/>
          <w:szCs w:val="32"/>
        </w:rPr>
        <w:t xml:space="preserve"> 企业营业场所和药品仓库应环境整洁、无污染物、地面和墙壁平整、清洁。</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企业营业场所应有与外界有效间隔的设施，并安装空调以满足营业场所环境舒适，药品储存、销售、陈列区（库、柜）应配备有效调节及监测温、湿度的设施设备，确保药品储存、销售、陈列温度符合药品包装、说明书规定的储存要求。</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楷体_GB2312"/>
          <w:bCs/>
          <w:color w:val="auto"/>
          <w:sz w:val="32"/>
        </w:rPr>
        <w:t>第十</w:t>
      </w:r>
      <w:r>
        <w:rPr>
          <w:rFonts w:hint="eastAsia" w:ascii="仿宋" w:hAnsi="仿宋" w:eastAsia="楷体_GB2312"/>
          <w:bCs/>
          <w:color w:val="auto"/>
          <w:sz w:val="32"/>
          <w:lang w:val="en-US" w:eastAsia="zh-CN"/>
        </w:rPr>
        <w:t>七</w:t>
      </w:r>
      <w:r>
        <w:rPr>
          <w:rFonts w:hint="eastAsia" w:ascii="仿宋" w:hAnsi="仿宋" w:eastAsia="楷体_GB2312"/>
          <w:bCs/>
          <w:color w:val="auto"/>
          <w:sz w:val="32"/>
        </w:rPr>
        <w:t>条</w:t>
      </w:r>
      <w:r>
        <w:rPr>
          <w:rFonts w:hint="eastAsia" w:ascii="仿宋" w:hAnsi="仿宋" w:eastAsia="仿宋" w:cs="宋体"/>
          <w:color w:val="auto"/>
          <w:kern w:val="0"/>
          <w:sz w:val="32"/>
          <w:szCs w:val="32"/>
        </w:rPr>
        <w:t xml:space="preserve"> 企业营业场所应当配备以下营业设备：</w:t>
      </w:r>
    </w:p>
    <w:p>
      <w:pPr>
        <w:numPr>
          <w:ilvl w:val="0"/>
          <w:numId w:val="1"/>
        </w:numPr>
        <w:snapToGrid w:val="0"/>
        <w:spacing w:line="640" w:lineRule="exact"/>
        <w:ind w:firstLine="645"/>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配置与经营范围、经营规模相适应的符合药品包装标示贮藏要求的存放和陈列药品的设施设备（货架、柜台、阴凉柜、阴凉区、冷藏柜、冷藏箱等）；</w:t>
      </w:r>
    </w:p>
    <w:p>
      <w:pPr>
        <w:numPr>
          <w:ilvl w:val="0"/>
          <w:numId w:val="1"/>
        </w:numPr>
        <w:snapToGrid w:val="0"/>
        <w:spacing w:line="640" w:lineRule="exact"/>
        <w:ind w:firstLine="645"/>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经营中药饮片的，有符合中药饮片存放、处方调配及计量、卫生要求的的药斗、衡器、中药饮片包装等设备（中药饮片应置于原包装内销售，未销售完的原包装不得弃置）；中药饮片柜斗谱的书写应当正名正字</w:t>
      </w:r>
      <w:r>
        <w:rPr>
          <w:rFonts w:hint="eastAsia" w:ascii="仿宋" w:hAnsi="仿宋" w:eastAsia="仿宋" w:cs="宋体"/>
          <w:color w:val="auto"/>
          <w:kern w:val="0"/>
          <w:sz w:val="32"/>
          <w:szCs w:val="32"/>
          <w:lang w:eastAsia="zh-CN"/>
        </w:rPr>
        <w:t>；</w:t>
      </w:r>
    </w:p>
    <w:p>
      <w:pPr>
        <w:numPr>
          <w:ilvl w:val="0"/>
          <w:numId w:val="1"/>
        </w:numPr>
        <w:snapToGrid w:val="0"/>
        <w:spacing w:line="640" w:lineRule="exact"/>
        <w:ind w:firstLine="645"/>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经营第二类精神药品、</w:t>
      </w:r>
      <w:r>
        <w:rPr>
          <w:rFonts w:hint="eastAsia" w:ascii="仿宋" w:hAnsi="仿宋" w:eastAsia="仿宋" w:cs="宋体"/>
          <w:color w:val="auto"/>
          <w:kern w:val="0"/>
          <w:sz w:val="32"/>
          <w:szCs w:val="32"/>
          <w:lang w:eastAsia="zh-CN"/>
        </w:rPr>
        <w:t>医疗用毒性药品</w:t>
      </w:r>
      <w:r>
        <w:rPr>
          <w:rFonts w:hint="eastAsia" w:ascii="仿宋" w:hAnsi="仿宋" w:eastAsia="仿宋" w:cs="宋体"/>
          <w:color w:val="auto"/>
          <w:kern w:val="0"/>
          <w:sz w:val="32"/>
          <w:szCs w:val="32"/>
        </w:rPr>
        <w:t>和罂粟壳的，有符合安全规定的专用存放设备，实行双人双锁管理；</w:t>
      </w:r>
    </w:p>
    <w:p>
      <w:pPr>
        <w:numPr>
          <w:ilvl w:val="0"/>
          <w:numId w:val="1"/>
        </w:numPr>
        <w:snapToGrid w:val="0"/>
        <w:spacing w:line="640" w:lineRule="exact"/>
        <w:ind w:firstLine="645"/>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药品拆零销售的，应配备符合拆零及卫生要求的调配工具、包装用品；</w:t>
      </w:r>
    </w:p>
    <w:p>
      <w:pPr>
        <w:numPr>
          <w:ilvl w:val="0"/>
          <w:numId w:val="1"/>
        </w:numPr>
        <w:snapToGrid w:val="0"/>
        <w:spacing w:line="640" w:lineRule="exact"/>
        <w:ind w:firstLine="645"/>
        <w:rPr>
          <w:rFonts w:hint="eastAsia" w:ascii="仿宋" w:hAnsi="仿宋" w:eastAsia="仿宋" w:cs="宋体"/>
          <w:color w:val="auto"/>
          <w:kern w:val="0"/>
          <w:sz w:val="32"/>
          <w:szCs w:val="32"/>
        </w:rPr>
      </w:pPr>
      <w:r>
        <w:rPr>
          <w:rFonts w:hint="eastAsia" w:ascii="仿宋" w:hAnsi="仿宋" w:eastAsia="仿宋"/>
          <w:color w:val="auto"/>
          <w:sz w:val="32"/>
          <w:szCs w:val="32"/>
        </w:rPr>
        <w:t>配备有能够符合经营和质量管理要求的计算机系统，并满足药品电子监管的实施条件</w:t>
      </w:r>
      <w:r>
        <w:rPr>
          <w:rFonts w:hint="eastAsia" w:ascii="仿宋" w:hAnsi="仿宋" w:eastAsia="仿宋" w:cs="宋体"/>
          <w:color w:val="auto"/>
          <w:kern w:val="0"/>
          <w:sz w:val="32"/>
          <w:szCs w:val="32"/>
        </w:rPr>
        <w:t>；</w:t>
      </w:r>
    </w:p>
    <w:p>
      <w:pPr>
        <w:numPr>
          <w:ilvl w:val="0"/>
          <w:numId w:val="1"/>
        </w:numPr>
        <w:snapToGrid w:val="0"/>
        <w:spacing w:line="640" w:lineRule="exact"/>
        <w:ind w:firstLine="645"/>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销售凭证打印设备等</w:t>
      </w:r>
      <w:r>
        <w:rPr>
          <w:rFonts w:hint="eastAsia" w:ascii="仿宋" w:hAnsi="仿宋" w:eastAsia="仿宋"/>
          <w:color w:val="auto"/>
          <w:sz w:val="32"/>
          <w:szCs w:val="32"/>
        </w:rPr>
        <w:t>。</w:t>
      </w:r>
    </w:p>
    <w:p>
      <w:pPr>
        <w:widowControl/>
        <w:snapToGrid w:val="0"/>
        <w:spacing w:line="640" w:lineRule="exact"/>
        <w:ind w:firstLine="640" w:firstLineChars="200"/>
        <w:rPr>
          <w:rFonts w:hint="eastAsia" w:ascii="仿宋" w:hAnsi="仿宋" w:eastAsia="仿宋" w:cs="宋体"/>
          <w:color w:val="auto"/>
          <w:kern w:val="0"/>
          <w:sz w:val="32"/>
          <w:szCs w:val="32"/>
        </w:rPr>
      </w:pPr>
      <w:r>
        <w:rPr>
          <w:rFonts w:hint="eastAsia" w:ascii="仿宋" w:hAnsi="仿宋" w:eastAsia="楷体_GB2312"/>
          <w:bCs/>
          <w:color w:val="auto"/>
          <w:sz w:val="32"/>
        </w:rPr>
        <w:t>第</w:t>
      </w:r>
      <w:r>
        <w:rPr>
          <w:rFonts w:hint="eastAsia" w:ascii="仿宋" w:hAnsi="仿宋" w:eastAsia="楷体_GB2312"/>
          <w:bCs/>
          <w:color w:val="auto"/>
          <w:sz w:val="32"/>
          <w:lang w:val="en-US" w:eastAsia="zh-CN"/>
        </w:rPr>
        <w:t>十八</w:t>
      </w:r>
      <w:r>
        <w:rPr>
          <w:rFonts w:hint="eastAsia" w:ascii="仿宋" w:hAnsi="仿宋" w:eastAsia="楷体_GB2312"/>
          <w:bCs/>
          <w:color w:val="auto"/>
          <w:sz w:val="32"/>
        </w:rPr>
        <w:t>条</w:t>
      </w:r>
      <w:r>
        <w:rPr>
          <w:rFonts w:hint="eastAsia" w:ascii="仿宋" w:hAnsi="仿宋" w:eastAsia="仿宋" w:cs="宋体"/>
          <w:color w:val="auto"/>
          <w:kern w:val="0"/>
          <w:sz w:val="32"/>
          <w:szCs w:val="32"/>
        </w:rPr>
        <w:t xml:space="preserve"> 企业营业场所药品陈列区域应有避光、通风、防潮、防虫、防鼠等设备。陈列布局应当符合以下要求：</w:t>
      </w:r>
    </w:p>
    <w:p>
      <w:pPr>
        <w:widowControl/>
        <w:snapToGrid w:val="0"/>
        <w:spacing w:line="640" w:lineRule="exact"/>
        <w:ind w:firstLine="640" w:firstLineChars="200"/>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（一）按用途、剂型以及储存要求分类陈列，并设置醒目标识，分类类别标签字迹清晰、放置准确； </w:t>
      </w:r>
    </w:p>
    <w:p>
      <w:pPr>
        <w:widowControl/>
        <w:snapToGrid w:val="0"/>
        <w:spacing w:line="640" w:lineRule="exact"/>
        <w:ind w:firstLine="640" w:firstLineChars="200"/>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（二）处方药、非处方药应分区陈列，有处方药、非处方药专用标识，并在药品营业区显眼位置标示处方药的警示语和非处方药的忠告语；</w:t>
      </w:r>
    </w:p>
    <w:p>
      <w:pPr>
        <w:widowControl/>
        <w:snapToGrid w:val="0"/>
        <w:spacing w:line="640" w:lineRule="exact"/>
        <w:ind w:firstLine="640" w:firstLineChars="200"/>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（三）处方药、国家有专门管理要求的药品应集中设置专区（柜）销售，不得采用开架自选的方式陈列和销售；处方药区域应有效隔离，除具备处方审核、调配、核对资格的人员外，其他人员不得进入</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 xml:space="preserve"> </w:t>
      </w:r>
    </w:p>
    <w:p>
      <w:pPr>
        <w:widowControl/>
        <w:snapToGrid w:val="0"/>
        <w:spacing w:line="640" w:lineRule="exact"/>
        <w:ind w:firstLine="640" w:firstLineChars="200"/>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（四）第二类精神药品、</w:t>
      </w:r>
      <w:r>
        <w:rPr>
          <w:rFonts w:hint="eastAsia" w:ascii="仿宋" w:hAnsi="仿宋" w:eastAsia="仿宋" w:cs="宋体"/>
          <w:color w:val="auto"/>
          <w:kern w:val="0"/>
          <w:sz w:val="32"/>
          <w:szCs w:val="32"/>
          <w:lang w:eastAsia="zh-CN"/>
        </w:rPr>
        <w:t>医疗用毒性药品</w:t>
      </w:r>
      <w:r>
        <w:rPr>
          <w:rFonts w:hint="eastAsia" w:ascii="仿宋" w:hAnsi="仿宋" w:eastAsia="仿宋" w:cs="宋体"/>
          <w:color w:val="auto"/>
          <w:kern w:val="0"/>
          <w:sz w:val="32"/>
          <w:szCs w:val="32"/>
        </w:rPr>
        <w:t>和罂粟壳不得陈列；</w:t>
      </w:r>
    </w:p>
    <w:p>
      <w:pPr>
        <w:widowControl/>
        <w:snapToGrid w:val="0"/>
        <w:spacing w:line="640" w:lineRule="exact"/>
        <w:ind w:firstLine="640" w:firstLineChars="200"/>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（五）外用药与其他药品应分开摆放；</w:t>
      </w:r>
    </w:p>
    <w:p>
      <w:pPr>
        <w:snapToGrid w:val="0"/>
        <w:spacing w:line="640" w:lineRule="exact"/>
        <w:ind w:firstLine="640" w:firstLineChars="200"/>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（六）经营非药品应当集中设置专区，与药品区域明显分开，并有醒目标志（具有功能主治声称包装的中药饮片等药品不得置于非药品区域）</w:t>
      </w:r>
      <w:r>
        <w:rPr>
          <w:rFonts w:hint="eastAsia" w:ascii="仿宋" w:hAnsi="仿宋" w:eastAsia="仿宋" w:cs="宋体"/>
          <w:color w:val="auto"/>
          <w:kern w:val="0"/>
          <w:sz w:val="32"/>
          <w:szCs w:val="32"/>
          <w:lang w:eastAsia="zh-CN"/>
        </w:rPr>
        <w:t>。</w:t>
      </w:r>
    </w:p>
    <w:p>
      <w:pPr>
        <w:snapToGrid w:val="0"/>
        <w:spacing w:line="640" w:lineRule="exact"/>
        <w:ind w:firstLine="640" w:firstLineChars="200"/>
        <w:rPr>
          <w:rFonts w:hint="eastAsia" w:ascii="仿宋" w:hAnsi="仿宋" w:eastAsia="仿宋" w:cs="宋体"/>
          <w:color w:val="auto"/>
          <w:kern w:val="0"/>
          <w:sz w:val="32"/>
          <w:szCs w:val="32"/>
        </w:rPr>
      </w:pPr>
      <w:r>
        <w:rPr>
          <w:rFonts w:hint="eastAsia" w:ascii="仿宋" w:hAnsi="仿宋" w:eastAsia="楷体_GB2312"/>
          <w:bCs/>
          <w:color w:val="auto"/>
          <w:sz w:val="32"/>
        </w:rPr>
        <w:t>第</w:t>
      </w:r>
      <w:r>
        <w:rPr>
          <w:rFonts w:hint="eastAsia" w:ascii="仿宋" w:hAnsi="仿宋" w:eastAsia="楷体_GB2312"/>
          <w:bCs/>
          <w:color w:val="auto"/>
          <w:sz w:val="32"/>
          <w:lang w:val="en-US" w:eastAsia="zh-CN"/>
        </w:rPr>
        <w:t>十九</w:t>
      </w:r>
      <w:r>
        <w:rPr>
          <w:rFonts w:hint="eastAsia" w:ascii="仿宋" w:hAnsi="仿宋" w:eastAsia="楷体_GB2312"/>
          <w:bCs/>
          <w:color w:val="auto"/>
          <w:sz w:val="32"/>
        </w:rPr>
        <w:t>条</w:t>
      </w:r>
      <w:r>
        <w:rPr>
          <w:rFonts w:hint="eastAsia" w:ascii="仿宋" w:hAnsi="仿宋" w:eastAsia="仿宋" w:cs="宋体"/>
          <w:color w:val="auto"/>
          <w:kern w:val="0"/>
          <w:sz w:val="32"/>
          <w:szCs w:val="32"/>
        </w:rPr>
        <w:t xml:space="preserve"> 从事药品拆零销售业务的，企业负责拆零销售的人员应经过专门培训；应设置拆零药品专柜和专用记录本；拆零的工作台及工具、包装袋应保持清洁、卫生，防止交叉污染；包装袋上写明药品名称、规格、数量、用法、用量、批号、有效期以及药店名称等内容。</w:t>
      </w:r>
    </w:p>
    <w:p>
      <w:pPr>
        <w:widowControl/>
        <w:snapToGrid w:val="0"/>
        <w:spacing w:line="640" w:lineRule="exact"/>
        <w:ind w:firstLine="640" w:firstLineChars="200"/>
        <w:rPr>
          <w:rFonts w:hint="eastAsia" w:ascii="仿宋" w:hAnsi="仿宋" w:eastAsia="仿宋" w:cs="宋体"/>
          <w:color w:val="auto"/>
          <w:kern w:val="0"/>
          <w:sz w:val="32"/>
          <w:szCs w:val="32"/>
          <w:highlight w:val="yellow"/>
        </w:rPr>
      </w:pPr>
      <w:r>
        <w:rPr>
          <w:rFonts w:hint="eastAsia" w:ascii="楷体" w:hAnsi="楷体" w:eastAsia="楷体" w:cs="楷体"/>
          <w:color w:val="auto"/>
          <w:sz w:val="32"/>
          <w:szCs w:val="32"/>
        </w:rPr>
        <w:t>第</w:t>
      </w:r>
      <w:r>
        <w:rPr>
          <w:rFonts w:hint="eastAsia" w:ascii="楷体" w:hAnsi="楷体" w:eastAsia="楷体" w:cs="楷体"/>
          <w:color w:val="auto"/>
          <w:sz w:val="32"/>
          <w:szCs w:val="32"/>
          <w:lang w:val="en-US" w:eastAsia="zh-CN"/>
        </w:rPr>
        <w:t>二十</w:t>
      </w:r>
      <w:r>
        <w:rPr>
          <w:rFonts w:hint="eastAsia" w:ascii="楷体" w:hAnsi="楷体" w:eastAsia="楷体" w:cs="楷体"/>
          <w:color w:val="auto"/>
          <w:sz w:val="32"/>
          <w:szCs w:val="32"/>
        </w:rPr>
        <w:t>条</w:t>
      </w:r>
      <w:r>
        <w:rPr>
          <w:rFonts w:hint="eastAsia" w:ascii="仿宋" w:hAnsi="仿宋" w:eastAsia="仿宋"/>
          <w:color w:val="auto"/>
          <w:sz w:val="32"/>
          <w:szCs w:val="32"/>
        </w:rPr>
        <w:t xml:space="preserve"> </w:t>
      </w:r>
      <w:r>
        <w:rPr>
          <w:rFonts w:hint="eastAsia" w:ascii="仿宋" w:hAnsi="仿宋" w:eastAsia="仿宋" w:cs="宋体"/>
          <w:color w:val="auto"/>
          <w:kern w:val="0"/>
          <w:sz w:val="32"/>
          <w:szCs w:val="32"/>
        </w:rPr>
        <w:t>经营第二类精神药品，仅限符合国家规定的、并经许可的药品零售连锁企业的连锁门店；经营医疗用毒性药品和罂粟壳，仅限</w:t>
      </w:r>
      <w:r>
        <w:rPr>
          <w:rFonts w:hint="eastAsia" w:ascii="仿宋" w:hAnsi="仿宋" w:eastAsia="仿宋" w:cs="宋体"/>
          <w:color w:val="auto"/>
          <w:kern w:val="0"/>
          <w:sz w:val="32"/>
          <w:szCs w:val="32"/>
          <w:lang w:val="en-US" w:eastAsia="zh-CN"/>
        </w:rPr>
        <w:t>县级以上</w:t>
      </w:r>
      <w:r>
        <w:rPr>
          <w:rFonts w:hint="eastAsia" w:ascii="仿宋" w:hAnsi="仿宋" w:eastAsia="仿宋" w:cs="宋体"/>
          <w:color w:val="auto"/>
          <w:kern w:val="0"/>
          <w:sz w:val="32"/>
          <w:szCs w:val="32"/>
        </w:rPr>
        <w:t>药品监督管理部门指定的药品零售企业。</w:t>
      </w:r>
    </w:p>
    <w:p>
      <w:pPr>
        <w:snapToGrid w:val="0"/>
        <w:spacing w:line="640" w:lineRule="exact"/>
        <w:ind w:firstLine="645"/>
        <w:rPr>
          <w:rFonts w:hint="eastAsia" w:ascii="仿宋" w:hAnsi="仿宋" w:eastAsia="仿宋" w:cs="宋体"/>
          <w:color w:val="auto"/>
          <w:kern w:val="0"/>
          <w:sz w:val="32"/>
          <w:szCs w:val="32"/>
        </w:rPr>
      </w:pPr>
      <w:r>
        <w:rPr>
          <w:rFonts w:hint="eastAsia" w:ascii="楷体" w:hAnsi="楷体" w:eastAsia="楷体" w:cs="楷体"/>
          <w:color w:val="auto"/>
          <w:kern w:val="0"/>
          <w:sz w:val="32"/>
          <w:szCs w:val="32"/>
        </w:rPr>
        <w:t>第二十</w:t>
      </w:r>
      <w:r>
        <w:rPr>
          <w:rFonts w:hint="eastAsia" w:ascii="楷体" w:hAnsi="楷体" w:eastAsia="楷体" w:cs="楷体"/>
          <w:color w:val="auto"/>
          <w:kern w:val="0"/>
          <w:sz w:val="32"/>
          <w:szCs w:val="32"/>
          <w:lang w:eastAsia="zh-CN"/>
        </w:rPr>
        <w:t>一</w:t>
      </w:r>
      <w:r>
        <w:rPr>
          <w:rFonts w:hint="eastAsia" w:ascii="楷体" w:hAnsi="楷体" w:eastAsia="楷体" w:cs="楷体"/>
          <w:color w:val="auto"/>
          <w:kern w:val="0"/>
          <w:sz w:val="32"/>
          <w:szCs w:val="32"/>
        </w:rPr>
        <w:t>条</w:t>
      </w:r>
      <w:r>
        <w:rPr>
          <w:rFonts w:hint="eastAsia" w:ascii="仿宋" w:hAnsi="仿宋" w:eastAsia="仿宋" w:cs="宋体"/>
          <w:color w:val="auto"/>
          <w:kern w:val="0"/>
          <w:sz w:val="32"/>
          <w:szCs w:val="32"/>
        </w:rPr>
        <w:t xml:space="preserve"> 药品零售连锁企业应在</w:t>
      </w:r>
      <w:r>
        <w:rPr>
          <w:rFonts w:hint="eastAsia" w:ascii="仿宋" w:hAnsi="仿宋" w:eastAsia="仿宋" w:cs="仿宋"/>
          <w:color w:val="auto"/>
          <w:kern w:val="0"/>
          <w:sz w:val="32"/>
          <w:szCs w:val="32"/>
          <w:lang w:bidi="ar"/>
        </w:rPr>
        <w:t>同一总部的统一管理下，统一商号，统一质量管理体系，统一药品采购、统一物流配送、统一计算机管理系统，统一票据格式</w:t>
      </w:r>
      <w:r>
        <w:rPr>
          <w:rFonts w:hint="eastAsia" w:ascii="仿宋" w:hAnsi="仿宋" w:eastAsia="仿宋" w:cs="宋体"/>
          <w:color w:val="auto"/>
          <w:kern w:val="0"/>
          <w:sz w:val="32"/>
          <w:szCs w:val="32"/>
        </w:rPr>
        <w:t>（简称“七统一”）。</w:t>
      </w:r>
    </w:p>
    <w:p>
      <w:pPr>
        <w:widowControl/>
        <w:snapToGrid w:val="0"/>
        <w:spacing w:line="640" w:lineRule="exact"/>
        <w:ind w:firstLine="640" w:firstLineChars="200"/>
        <w:rPr>
          <w:rFonts w:hint="eastAsia" w:ascii="仿宋" w:hAnsi="仿宋" w:eastAsia="仿宋" w:cs="宋体"/>
          <w:color w:val="auto"/>
          <w:kern w:val="0"/>
          <w:sz w:val="32"/>
          <w:szCs w:val="32"/>
        </w:rPr>
      </w:pPr>
      <w:r>
        <w:rPr>
          <w:rFonts w:hint="eastAsia" w:ascii="仿宋" w:hAnsi="仿宋" w:eastAsia="楷体_GB2312"/>
          <w:bCs/>
          <w:color w:val="auto"/>
          <w:sz w:val="32"/>
        </w:rPr>
        <w:t>第二十</w:t>
      </w:r>
      <w:r>
        <w:rPr>
          <w:rFonts w:hint="eastAsia" w:ascii="仿宋" w:hAnsi="仿宋" w:eastAsia="楷体_GB2312"/>
          <w:bCs/>
          <w:color w:val="auto"/>
          <w:sz w:val="32"/>
          <w:lang w:val="en-US" w:eastAsia="zh-CN"/>
        </w:rPr>
        <w:t>二</w:t>
      </w:r>
      <w:r>
        <w:rPr>
          <w:rFonts w:hint="eastAsia" w:ascii="仿宋" w:hAnsi="仿宋" w:eastAsia="楷体_GB2312"/>
          <w:bCs/>
          <w:color w:val="auto"/>
          <w:sz w:val="32"/>
        </w:rPr>
        <w:t>条</w:t>
      </w:r>
      <w:r>
        <w:rPr>
          <w:rFonts w:hint="eastAsia" w:ascii="仿宋" w:hAnsi="仿宋" w:eastAsia="仿宋" w:cs="宋体"/>
          <w:color w:val="auto"/>
          <w:kern w:val="0"/>
          <w:sz w:val="32"/>
          <w:szCs w:val="32"/>
        </w:rPr>
        <w:t xml:space="preserve"> 企业应当建立符合经营和质量管理要求的计算机系统，能满足药品追溯的要求，其经营信息应</w:t>
      </w:r>
      <w:r>
        <w:rPr>
          <w:rFonts w:hint="eastAsia" w:ascii="仿宋" w:hAnsi="仿宋" w:eastAsia="仿宋"/>
          <w:color w:val="auto"/>
          <w:sz w:val="32"/>
          <w:szCs w:val="32"/>
        </w:rPr>
        <w:t>按要求上传至广东省药品电子监管信息系统</w:t>
      </w:r>
      <w:r>
        <w:rPr>
          <w:rFonts w:hint="eastAsia" w:ascii="仿宋" w:hAnsi="仿宋" w:eastAsia="仿宋" w:cs="宋体"/>
          <w:color w:val="auto"/>
          <w:kern w:val="0"/>
          <w:sz w:val="32"/>
          <w:szCs w:val="32"/>
        </w:rPr>
        <w:t>。计算机系统应按照《药品经营质量管理规范》相关规定，在系统中设置各经营流程的质量控制功能，与采购、销售以及收货、验收、储存、陈列、养护、出库复核、运输、配送等系统功能形成内嵌式结构，对各项经营活动进行判断，对不符合药品监督管理法律法规以及《规范》的行为进行识别及控制，确保各项质量控制功能的实时和有效。</w:t>
      </w:r>
    </w:p>
    <w:p>
      <w:pPr>
        <w:snapToGrid w:val="0"/>
        <w:spacing w:line="640" w:lineRule="exact"/>
        <w:ind w:firstLine="640" w:firstLineChars="200"/>
        <w:rPr>
          <w:rFonts w:hint="eastAsia" w:ascii="仿宋" w:hAnsi="仿宋" w:eastAsia="仿宋" w:cs="宋体"/>
          <w:color w:val="auto"/>
          <w:kern w:val="0"/>
          <w:sz w:val="32"/>
          <w:szCs w:val="32"/>
        </w:rPr>
      </w:pPr>
      <w:r>
        <w:rPr>
          <w:rFonts w:hint="eastAsia" w:ascii="楷体" w:hAnsi="楷体" w:eastAsia="楷体" w:cs="楷体"/>
          <w:color w:val="auto"/>
          <w:kern w:val="0"/>
          <w:sz w:val="32"/>
          <w:szCs w:val="32"/>
        </w:rPr>
        <w:t>第二十</w:t>
      </w:r>
      <w:r>
        <w:rPr>
          <w:rFonts w:hint="eastAsia" w:ascii="楷体" w:hAnsi="楷体" w:eastAsia="楷体" w:cs="楷体"/>
          <w:color w:val="auto"/>
          <w:kern w:val="0"/>
          <w:sz w:val="32"/>
          <w:szCs w:val="32"/>
          <w:lang w:val="en-US" w:eastAsia="zh-CN"/>
        </w:rPr>
        <w:t>三</w:t>
      </w:r>
      <w:r>
        <w:rPr>
          <w:rFonts w:hint="eastAsia" w:ascii="楷体" w:hAnsi="楷体" w:eastAsia="楷体" w:cs="楷体"/>
          <w:color w:val="auto"/>
          <w:kern w:val="0"/>
          <w:sz w:val="32"/>
          <w:szCs w:val="32"/>
        </w:rPr>
        <w:t>条</w:t>
      </w:r>
      <w:r>
        <w:rPr>
          <w:rFonts w:hint="eastAsia" w:ascii="仿宋" w:hAnsi="仿宋" w:eastAsia="仿宋" w:cs="宋体"/>
          <w:color w:val="auto"/>
          <w:kern w:val="0"/>
          <w:sz w:val="32"/>
          <w:szCs w:val="32"/>
        </w:rPr>
        <w:t xml:space="preserve"> 电子记录数据应当以安全、可靠的方式储存并定期备份。　</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销售凭证打印设备应与计算机管理系统自动连接，销售凭证格式至少包括药品名称、</w:t>
      </w:r>
      <w:r>
        <w:rPr>
          <w:rFonts w:hint="eastAsia" w:ascii="仿宋" w:hAnsi="仿宋" w:eastAsia="仿宋" w:cs="宋体"/>
          <w:color w:val="auto"/>
          <w:kern w:val="0"/>
          <w:sz w:val="32"/>
          <w:szCs w:val="32"/>
          <w:lang w:val="en-US" w:eastAsia="zh-CN"/>
        </w:rPr>
        <w:t>药品上市许可持有人、</w:t>
      </w:r>
      <w:r>
        <w:rPr>
          <w:rFonts w:hint="eastAsia" w:ascii="仿宋" w:hAnsi="仿宋" w:eastAsia="仿宋" w:cs="宋体"/>
          <w:color w:val="auto"/>
          <w:kern w:val="0"/>
          <w:sz w:val="32"/>
          <w:szCs w:val="32"/>
        </w:rPr>
        <w:t>生产企业名称、批号、规格、数量、价格、销售企业名称、销售日期等内容。</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药品零售连锁企业所属连锁门店应与总部、配送中心（仓库）实现计算机网络实时连接。</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楷体_GB2312"/>
          <w:bCs/>
          <w:color w:val="auto"/>
          <w:sz w:val="32"/>
        </w:rPr>
        <w:t>第二十</w:t>
      </w:r>
      <w:r>
        <w:rPr>
          <w:rFonts w:hint="eastAsia" w:ascii="仿宋" w:hAnsi="仿宋" w:eastAsia="楷体_GB2312"/>
          <w:bCs/>
          <w:color w:val="auto"/>
          <w:sz w:val="32"/>
          <w:lang w:val="en-US" w:eastAsia="zh-CN"/>
        </w:rPr>
        <w:t>四</w:t>
      </w:r>
      <w:r>
        <w:rPr>
          <w:rFonts w:hint="eastAsia" w:ascii="仿宋" w:hAnsi="仿宋" w:eastAsia="楷体_GB2312"/>
          <w:bCs/>
          <w:color w:val="auto"/>
          <w:sz w:val="32"/>
        </w:rPr>
        <w:t>条</w:t>
      </w:r>
      <w:r>
        <w:rPr>
          <w:rFonts w:hint="eastAsia" w:ascii="仿宋" w:hAnsi="仿宋" w:eastAsia="仿宋" w:cs="宋体"/>
          <w:color w:val="auto"/>
          <w:kern w:val="0"/>
          <w:sz w:val="32"/>
          <w:szCs w:val="32"/>
        </w:rPr>
        <w:t xml:space="preserve"> 经营中药饮片应在营业场所设置独立区域，有明显标识，并配置所需的调配处方和临方炮制的设备。属于《既是食品又是药品的物质名单》以食品进行销售的产品，应与中药饮片分区分开存放，并不得声称功能主治。</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楷体_GB2312"/>
          <w:bCs/>
          <w:color w:val="auto"/>
          <w:sz w:val="32"/>
        </w:rPr>
        <w:t>第二十</w:t>
      </w:r>
      <w:r>
        <w:rPr>
          <w:rFonts w:hint="eastAsia" w:ascii="仿宋" w:hAnsi="仿宋" w:eastAsia="楷体_GB2312"/>
          <w:bCs/>
          <w:color w:val="auto"/>
          <w:sz w:val="32"/>
          <w:lang w:val="en-US" w:eastAsia="zh-CN"/>
        </w:rPr>
        <w:t>五</w:t>
      </w:r>
      <w:r>
        <w:rPr>
          <w:rFonts w:hint="eastAsia" w:ascii="仿宋" w:hAnsi="仿宋" w:eastAsia="楷体_GB2312"/>
          <w:bCs/>
          <w:color w:val="auto"/>
          <w:sz w:val="32"/>
        </w:rPr>
        <w:t>条</w:t>
      </w:r>
      <w:r>
        <w:rPr>
          <w:rFonts w:hint="eastAsia" w:ascii="仿宋" w:hAnsi="仿宋" w:eastAsia="仿宋" w:cs="宋体"/>
          <w:color w:val="auto"/>
          <w:kern w:val="0"/>
          <w:sz w:val="32"/>
          <w:szCs w:val="32"/>
        </w:rPr>
        <w:t xml:space="preserve"> 企业应配备合格的计量器具以及清洁卫生的药品调剂工具、包装用品等。</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楷体_GB2312"/>
          <w:bCs/>
          <w:color w:val="auto"/>
          <w:sz w:val="32"/>
        </w:rPr>
        <w:t>第二十</w:t>
      </w:r>
      <w:r>
        <w:rPr>
          <w:rFonts w:hint="eastAsia" w:ascii="仿宋" w:hAnsi="仿宋" w:eastAsia="楷体_GB2312"/>
          <w:bCs/>
          <w:color w:val="auto"/>
          <w:sz w:val="32"/>
          <w:lang w:val="en-US" w:eastAsia="zh-CN"/>
        </w:rPr>
        <w:t>六</w:t>
      </w:r>
      <w:r>
        <w:rPr>
          <w:rFonts w:hint="eastAsia" w:ascii="仿宋" w:hAnsi="仿宋" w:eastAsia="楷体_GB2312"/>
          <w:bCs/>
          <w:color w:val="auto"/>
          <w:sz w:val="32"/>
        </w:rPr>
        <w:t>条</w:t>
      </w:r>
      <w:r>
        <w:rPr>
          <w:rFonts w:hint="eastAsia" w:ascii="仿宋" w:hAnsi="仿宋" w:eastAsia="仿宋" w:cs="宋体"/>
          <w:color w:val="auto"/>
          <w:kern w:val="0"/>
          <w:sz w:val="32"/>
          <w:szCs w:val="32"/>
        </w:rPr>
        <w:t xml:space="preserve"> 企业未设置药品仓库的，应有相对固定的验收场所，退货药品和不合格药品应设置专库或专柜,并实行色标管理。设置药品仓库的，其使用面积与功能应与经营规模相适应，并应符合《药品经营质量管理规范》及其附录有关规定，设置有效监测和调控温湿度的设备。储存中药饮片应当设立专用库房。</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楷体_GB2312"/>
          <w:bCs/>
          <w:color w:val="auto"/>
          <w:sz w:val="32"/>
        </w:rPr>
        <w:t>第</w:t>
      </w:r>
      <w:r>
        <w:rPr>
          <w:rFonts w:hint="eastAsia" w:ascii="仿宋" w:hAnsi="仿宋" w:eastAsia="楷体_GB2312"/>
          <w:bCs/>
          <w:color w:val="auto"/>
          <w:sz w:val="32"/>
          <w:lang w:val="en-US" w:eastAsia="zh-CN"/>
        </w:rPr>
        <w:t>二十七</w:t>
      </w:r>
      <w:r>
        <w:rPr>
          <w:rFonts w:hint="eastAsia" w:ascii="仿宋" w:hAnsi="仿宋" w:eastAsia="楷体_GB2312"/>
          <w:bCs/>
          <w:color w:val="auto"/>
          <w:sz w:val="32"/>
        </w:rPr>
        <w:t>条</w:t>
      </w:r>
      <w:r>
        <w:rPr>
          <w:rFonts w:hint="eastAsia" w:ascii="仿宋" w:hAnsi="仿宋" w:eastAsia="仿宋" w:cs="宋体"/>
          <w:color w:val="auto"/>
          <w:kern w:val="0"/>
          <w:sz w:val="32"/>
          <w:szCs w:val="32"/>
        </w:rPr>
        <w:t xml:space="preserve"> 企业应当在营业场所公布药品监督管理部门的监督电话，设置顾客意见簿。</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楷体_GB2312"/>
          <w:bCs/>
          <w:color w:val="auto"/>
          <w:sz w:val="32"/>
        </w:rPr>
        <w:t>第</w:t>
      </w:r>
      <w:r>
        <w:rPr>
          <w:rFonts w:hint="eastAsia" w:ascii="仿宋" w:hAnsi="仿宋" w:eastAsia="楷体_GB2312"/>
          <w:bCs/>
          <w:color w:val="auto"/>
          <w:sz w:val="32"/>
          <w:lang w:val="en-US" w:eastAsia="zh-CN"/>
        </w:rPr>
        <w:t>二十八</w:t>
      </w:r>
      <w:r>
        <w:rPr>
          <w:rFonts w:hint="eastAsia" w:ascii="仿宋" w:hAnsi="仿宋" w:eastAsia="楷体_GB2312"/>
          <w:bCs/>
          <w:color w:val="auto"/>
          <w:sz w:val="32"/>
        </w:rPr>
        <w:t>条</w:t>
      </w:r>
      <w:r>
        <w:rPr>
          <w:rFonts w:hint="eastAsia" w:ascii="仿宋" w:hAnsi="仿宋" w:eastAsia="仿宋" w:cs="宋体"/>
          <w:color w:val="auto"/>
          <w:kern w:val="0"/>
          <w:sz w:val="32"/>
          <w:szCs w:val="32"/>
        </w:rPr>
        <w:t xml:space="preserve"> 企业在营业场所内进行的广告宣传，应符合国家有关规定。</w:t>
      </w:r>
    </w:p>
    <w:p>
      <w:pPr>
        <w:widowControl/>
        <w:snapToGrid w:val="0"/>
        <w:spacing w:line="640" w:lineRule="exact"/>
        <w:jc w:val="center"/>
        <w:rPr>
          <w:rFonts w:hint="eastAsia" w:ascii="黑体" w:hAnsi="黑体" w:eastAsia="黑体"/>
          <w:bCs/>
          <w:color w:val="auto"/>
          <w:sz w:val="32"/>
        </w:rPr>
      </w:pPr>
      <w:r>
        <w:rPr>
          <w:rFonts w:hint="eastAsia" w:ascii="黑体" w:hAnsi="黑体" w:eastAsia="黑体" w:cs="宋体"/>
          <w:color w:val="auto"/>
          <w:kern w:val="0"/>
          <w:sz w:val="32"/>
          <w:szCs w:val="32"/>
        </w:rPr>
        <w:t>第</w:t>
      </w:r>
      <w:r>
        <w:rPr>
          <w:rFonts w:hint="eastAsia" w:ascii="黑体" w:hAnsi="黑体" w:eastAsia="黑体" w:cs="宋体"/>
          <w:color w:val="auto"/>
          <w:kern w:val="0"/>
          <w:sz w:val="32"/>
          <w:szCs w:val="32"/>
          <w:lang w:val="en-US" w:eastAsia="zh-CN"/>
        </w:rPr>
        <w:t>四</w:t>
      </w:r>
      <w:r>
        <w:rPr>
          <w:rFonts w:hint="eastAsia" w:ascii="黑体" w:hAnsi="黑体" w:eastAsia="黑体" w:cs="宋体"/>
          <w:color w:val="auto"/>
          <w:kern w:val="0"/>
          <w:sz w:val="32"/>
          <w:szCs w:val="32"/>
        </w:rPr>
        <w:t>章 管理制度</w:t>
      </w:r>
    </w:p>
    <w:p>
      <w:pPr>
        <w:widowControl/>
        <w:snapToGrid w:val="0"/>
        <w:spacing w:line="640" w:lineRule="exact"/>
        <w:ind w:firstLine="640" w:firstLineChars="200"/>
        <w:rPr>
          <w:rFonts w:hint="eastAsia" w:ascii="仿宋" w:hAnsi="仿宋" w:eastAsia="仿宋" w:cs="宋体"/>
          <w:color w:val="auto"/>
          <w:kern w:val="0"/>
          <w:sz w:val="32"/>
          <w:szCs w:val="32"/>
        </w:rPr>
      </w:pPr>
      <w:r>
        <w:rPr>
          <w:rFonts w:hint="eastAsia" w:ascii="仿宋" w:hAnsi="仿宋" w:eastAsia="楷体_GB2312"/>
          <w:bCs/>
          <w:color w:val="auto"/>
          <w:sz w:val="32"/>
        </w:rPr>
        <w:t>第</w:t>
      </w:r>
      <w:r>
        <w:rPr>
          <w:rFonts w:hint="eastAsia" w:ascii="仿宋" w:hAnsi="仿宋" w:eastAsia="楷体_GB2312"/>
          <w:bCs/>
          <w:color w:val="auto"/>
          <w:sz w:val="32"/>
          <w:lang w:val="en-US" w:eastAsia="zh-CN"/>
        </w:rPr>
        <w:t>二十九</w:t>
      </w:r>
      <w:r>
        <w:rPr>
          <w:rFonts w:hint="eastAsia" w:ascii="仿宋" w:hAnsi="仿宋" w:eastAsia="楷体_GB2312"/>
          <w:bCs/>
          <w:color w:val="auto"/>
          <w:sz w:val="32"/>
        </w:rPr>
        <w:t>条</w:t>
      </w:r>
      <w:r>
        <w:rPr>
          <w:rFonts w:hint="eastAsia" w:ascii="仿宋" w:hAnsi="仿宋" w:eastAsia="仿宋" w:cs="宋体"/>
          <w:color w:val="auto"/>
          <w:kern w:val="0"/>
          <w:sz w:val="32"/>
          <w:szCs w:val="32"/>
        </w:rPr>
        <w:t xml:space="preserve"> 企业应制定具有保证所经营药品质量的管理制度，至少包括：</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（1）岗位职责与质量责任；</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（2）药品采购管理；</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（3）药品验收管理；</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（4）药品陈列管理；</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（5）药品销售管理；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（6）供货单位和采购品种审核管理；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（7）处方药销售管理；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（8）药品拆零管理；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（9）特殊管理药品和国家有专门管理要求的药品管理；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（10）记录和凭证管理；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（11）收集和查询质量信息管理；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（12）质量事故、质量投诉的管理；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（13）中药饮片处方审核、调配、核对的管理；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（14）药品有效期的管理；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（15）不合格药品、药品销毁的管理；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（16）环境卫生和人员健康的规定；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（17）提供用药咨询、指导合理用药等药学服务的管理；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（18）人员培训及考核的规定；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（19）药品不良反应报告的规定；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（20）计算机系统管理；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（21）药品追溯的规定；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（22）设置库房的还应当包括储存、养护的管理。</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药品零售连锁企业连锁门店的质量管理制度按照上述要求由总部统一制定，由连锁门店负责具体实施。</w:t>
      </w:r>
    </w:p>
    <w:p>
      <w:pPr>
        <w:snapToGrid w:val="0"/>
        <w:spacing w:line="640" w:lineRule="exact"/>
        <w:ind w:firstLine="640" w:firstLineChars="200"/>
        <w:rPr>
          <w:rFonts w:hint="eastAsia" w:ascii="仿宋" w:hAnsi="仿宋" w:eastAsia="仿宋"/>
          <w:color w:val="auto"/>
          <w:sz w:val="32"/>
          <w:szCs w:val="32"/>
        </w:rPr>
      </w:pPr>
      <w:r>
        <w:rPr>
          <w:rFonts w:hint="eastAsia" w:ascii="仿宋" w:hAnsi="仿宋" w:eastAsia="楷体_GB2312"/>
          <w:bCs/>
          <w:color w:val="auto"/>
          <w:sz w:val="32"/>
        </w:rPr>
        <w:t>第三十条</w:t>
      </w:r>
      <w:r>
        <w:rPr>
          <w:rFonts w:hint="eastAsia" w:ascii="仿宋" w:hAnsi="仿宋" w:eastAsia="仿宋" w:cs="宋体"/>
          <w:color w:val="auto"/>
          <w:kern w:val="0"/>
          <w:sz w:val="32"/>
          <w:szCs w:val="32"/>
        </w:rPr>
        <w:t xml:space="preserve"> 企业应制定具有保证所经营药品质量的操作规程，主要包括：</w:t>
      </w:r>
    </w:p>
    <w:p>
      <w:pPr>
        <w:snapToGrid w:val="0"/>
        <w:spacing w:line="640" w:lineRule="exact"/>
        <w:rPr>
          <w:rFonts w:hint="eastAsia" w:ascii="仿宋" w:hAnsi="仿宋" w:eastAsia="仿宋"/>
          <w:color w:val="auto"/>
          <w:sz w:val="32"/>
          <w:szCs w:val="32"/>
        </w:rPr>
      </w:pPr>
      <w:r>
        <w:rPr>
          <w:rFonts w:hint="eastAsia" w:ascii="仿宋" w:hAnsi="仿宋" w:eastAsia="仿宋" w:cs="宋体"/>
          <w:color w:val="auto"/>
          <w:kern w:val="0"/>
          <w:sz w:val="32"/>
          <w:szCs w:val="32"/>
        </w:rPr>
        <w:t xml:space="preserve">（1）药品采购、验收、销售；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（2）处方审核、调配、核对；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（3）中药饮片处方审核、调配、核对；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（4）药品拆零销售；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（5）特殊管理的药品和国家有专门管理要求的药品的销售；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（6）营业场所药品陈列及检查；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（7）营业场所冷藏药品的存放；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（8）计算机系统的操作和管理； </w:t>
      </w:r>
    </w:p>
    <w:p>
      <w:pPr>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（9）设置库房的还应当包括储存和养护的操作规程。</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药品零售连锁企业连锁门店的操作规程按照上述要求由总部统一制定，由连锁门店负责具体实施。</w:t>
      </w:r>
    </w:p>
    <w:p>
      <w:pPr>
        <w:widowControl/>
        <w:snapToGrid w:val="0"/>
        <w:spacing w:line="640" w:lineRule="exact"/>
        <w:ind w:firstLine="640" w:firstLineChars="200"/>
        <w:rPr>
          <w:rFonts w:hint="eastAsia" w:ascii="仿宋" w:hAnsi="仿宋" w:eastAsia="仿宋" w:cs="宋体"/>
          <w:color w:val="auto"/>
          <w:kern w:val="0"/>
          <w:sz w:val="32"/>
          <w:szCs w:val="32"/>
        </w:rPr>
      </w:pPr>
      <w:r>
        <w:rPr>
          <w:rFonts w:hint="eastAsia" w:ascii="仿宋" w:hAnsi="仿宋" w:eastAsia="楷体_GB2312"/>
          <w:bCs/>
          <w:color w:val="auto"/>
          <w:sz w:val="32"/>
        </w:rPr>
        <w:t>第三十</w:t>
      </w:r>
      <w:r>
        <w:rPr>
          <w:rFonts w:hint="eastAsia" w:ascii="仿宋" w:hAnsi="仿宋" w:eastAsia="楷体_GB2312"/>
          <w:bCs/>
          <w:color w:val="auto"/>
          <w:sz w:val="32"/>
          <w:lang w:val="en-US" w:eastAsia="zh-CN"/>
        </w:rPr>
        <w:t>一</w:t>
      </w:r>
      <w:r>
        <w:rPr>
          <w:rFonts w:hint="eastAsia" w:ascii="仿宋" w:hAnsi="仿宋" w:eastAsia="楷体_GB2312"/>
          <w:bCs/>
          <w:color w:val="auto"/>
          <w:sz w:val="32"/>
        </w:rPr>
        <w:t>条</w:t>
      </w:r>
      <w:r>
        <w:rPr>
          <w:rFonts w:hint="eastAsia" w:ascii="仿宋" w:hAnsi="仿宋" w:eastAsia="仿宋" w:cs="宋体"/>
          <w:color w:val="auto"/>
          <w:kern w:val="0"/>
          <w:sz w:val="32"/>
          <w:szCs w:val="32"/>
        </w:rPr>
        <w:t xml:space="preserve"> 企业应建立真实、完整、准确、有效、可追溯的质量管理记录。主要包括：</w:t>
      </w:r>
    </w:p>
    <w:p>
      <w:pPr>
        <w:widowControl/>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（1）药品采购记录；</w:t>
      </w:r>
    </w:p>
    <w:p>
      <w:pPr>
        <w:widowControl/>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（2）药品验收记录；</w:t>
      </w:r>
    </w:p>
    <w:p>
      <w:pPr>
        <w:widowControl/>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（3）药品陈列检查记录</w:t>
      </w:r>
    </w:p>
    <w:p>
      <w:pPr>
        <w:widowControl/>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（4）药品养护记录；</w:t>
      </w:r>
    </w:p>
    <w:p>
      <w:pPr>
        <w:widowControl/>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（5）药品销售记录；</w:t>
      </w:r>
    </w:p>
    <w:p>
      <w:pPr>
        <w:widowControl/>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（6）中药饮片处方审核、调配核对记录；</w:t>
      </w:r>
    </w:p>
    <w:p>
      <w:pPr>
        <w:widowControl/>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（7）中药饮片清斗装斗记录；</w:t>
      </w:r>
    </w:p>
    <w:p>
      <w:pPr>
        <w:widowControl/>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（8）药品拆零销售记录；</w:t>
      </w:r>
    </w:p>
    <w:p>
      <w:pPr>
        <w:widowControl/>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（9）温湿度监测记录；</w:t>
      </w:r>
    </w:p>
    <w:p>
      <w:pPr>
        <w:widowControl/>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（10）药品质量投诉和质量事故处理记录；</w:t>
      </w:r>
    </w:p>
    <w:p>
      <w:pPr>
        <w:widowControl/>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（11）药品不良反应报告记录；</w:t>
      </w:r>
    </w:p>
    <w:p>
      <w:pPr>
        <w:widowControl/>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（12）不合格药品处理记录；</w:t>
      </w:r>
    </w:p>
    <w:p>
      <w:pPr>
        <w:widowControl/>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（13）首营企业审核记录；</w:t>
      </w:r>
    </w:p>
    <w:p>
      <w:pPr>
        <w:widowControl/>
        <w:snapToGrid w:val="0"/>
        <w:spacing w:line="64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（14）首营品种审核记录。</w:t>
      </w:r>
    </w:p>
    <w:p>
      <w:pPr>
        <w:widowControl/>
        <w:snapToGrid w:val="0"/>
        <w:spacing w:line="640" w:lineRule="exact"/>
        <w:ind w:firstLine="640" w:firstLineChars="200"/>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经营第二类精神药品、</w:t>
      </w:r>
      <w:r>
        <w:rPr>
          <w:rFonts w:hint="eastAsia" w:ascii="仿宋" w:hAnsi="仿宋" w:eastAsia="仿宋" w:cs="宋体"/>
          <w:color w:val="auto"/>
          <w:kern w:val="0"/>
          <w:sz w:val="32"/>
          <w:szCs w:val="32"/>
          <w:lang w:eastAsia="zh-CN"/>
        </w:rPr>
        <w:t>医疗用毒性药品</w:t>
      </w:r>
      <w:r>
        <w:rPr>
          <w:rFonts w:hint="eastAsia" w:ascii="仿宋" w:hAnsi="仿宋" w:eastAsia="仿宋" w:cs="宋体"/>
          <w:color w:val="auto"/>
          <w:kern w:val="0"/>
          <w:sz w:val="32"/>
          <w:szCs w:val="32"/>
        </w:rPr>
        <w:t>和罂粟壳的，应设立特殊药品专用账册。</w:t>
      </w:r>
    </w:p>
    <w:p>
      <w:pPr>
        <w:snapToGrid w:val="0"/>
        <w:spacing w:line="640" w:lineRule="exact"/>
        <w:ind w:firstLine="645"/>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药品零售连锁企业连锁门店的质量管理记录格式由总部统一制定，按相关规定实施。</w:t>
      </w:r>
    </w:p>
    <w:p>
      <w:pPr>
        <w:snapToGrid w:val="0"/>
        <w:spacing w:line="640" w:lineRule="exact"/>
        <w:ind w:firstLine="645"/>
        <w:rPr>
          <w:rFonts w:hint="eastAsia" w:ascii="仿宋" w:hAnsi="仿宋" w:eastAsia="仿宋" w:cs="宋体"/>
          <w:color w:val="auto"/>
          <w:kern w:val="0"/>
          <w:sz w:val="32"/>
          <w:szCs w:val="32"/>
        </w:rPr>
      </w:pPr>
    </w:p>
    <w:p>
      <w:pPr>
        <w:widowControl/>
        <w:snapToGrid w:val="0"/>
        <w:spacing w:line="640" w:lineRule="exact"/>
        <w:jc w:val="center"/>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第</w:t>
      </w:r>
      <w:r>
        <w:rPr>
          <w:rFonts w:hint="eastAsia" w:ascii="黑体" w:hAnsi="黑体" w:eastAsia="黑体" w:cs="宋体"/>
          <w:color w:val="auto"/>
          <w:kern w:val="0"/>
          <w:sz w:val="32"/>
          <w:szCs w:val="32"/>
          <w:lang w:val="en-US" w:eastAsia="zh-CN"/>
        </w:rPr>
        <w:t>五</w:t>
      </w:r>
      <w:r>
        <w:rPr>
          <w:rFonts w:hint="eastAsia" w:ascii="黑体" w:hAnsi="黑体" w:eastAsia="黑体" w:cs="宋体"/>
          <w:color w:val="auto"/>
          <w:kern w:val="0"/>
          <w:sz w:val="32"/>
          <w:szCs w:val="32"/>
        </w:rPr>
        <w:t>章 附则</w:t>
      </w:r>
    </w:p>
    <w:p>
      <w:pPr>
        <w:widowControl/>
        <w:snapToGrid w:val="0"/>
        <w:spacing w:line="640" w:lineRule="exact"/>
        <w:ind w:firstLine="544"/>
        <w:rPr>
          <w:rFonts w:hint="eastAsia" w:ascii="仿宋" w:hAnsi="仿宋" w:eastAsia="仿宋" w:cs="宋体"/>
          <w:color w:val="auto"/>
          <w:kern w:val="0"/>
          <w:sz w:val="32"/>
          <w:szCs w:val="32"/>
        </w:rPr>
      </w:pPr>
      <w:r>
        <w:rPr>
          <w:rFonts w:hint="eastAsia" w:ascii="仿宋" w:hAnsi="仿宋" w:eastAsia="楷体_GB2312"/>
          <w:bCs/>
          <w:color w:val="auto"/>
          <w:sz w:val="32"/>
        </w:rPr>
        <w:t>第三十</w:t>
      </w:r>
      <w:r>
        <w:rPr>
          <w:rFonts w:hint="eastAsia" w:ascii="仿宋" w:hAnsi="仿宋" w:eastAsia="楷体_GB2312"/>
          <w:bCs/>
          <w:color w:val="auto"/>
          <w:sz w:val="32"/>
          <w:lang w:val="en-US" w:eastAsia="zh-CN"/>
        </w:rPr>
        <w:t>二</w:t>
      </w:r>
      <w:r>
        <w:rPr>
          <w:rFonts w:hint="eastAsia" w:ascii="仿宋" w:hAnsi="仿宋" w:eastAsia="楷体_GB2312"/>
          <w:bCs/>
          <w:color w:val="auto"/>
          <w:sz w:val="32"/>
        </w:rPr>
        <w:t>条</w:t>
      </w:r>
      <w:r>
        <w:rPr>
          <w:rFonts w:hint="eastAsia" w:ascii="仿宋" w:hAnsi="仿宋" w:eastAsia="仿宋" w:cs="宋体"/>
          <w:color w:val="auto"/>
          <w:kern w:val="0"/>
          <w:sz w:val="32"/>
          <w:szCs w:val="32"/>
        </w:rPr>
        <w:t xml:space="preserve"> 本</w:t>
      </w:r>
      <w:r>
        <w:rPr>
          <w:rFonts w:hint="eastAsia" w:ascii="仿宋" w:hAnsi="仿宋" w:eastAsia="仿宋" w:cs="宋体"/>
          <w:color w:val="auto"/>
          <w:kern w:val="0"/>
          <w:sz w:val="32"/>
          <w:szCs w:val="32"/>
          <w:lang w:val="en-US" w:eastAsia="zh-CN"/>
        </w:rPr>
        <w:t>实施细则</w:t>
      </w:r>
      <w:r>
        <w:rPr>
          <w:rFonts w:hint="eastAsia" w:ascii="仿宋" w:hAnsi="仿宋" w:eastAsia="仿宋" w:cs="宋体"/>
          <w:color w:val="auto"/>
          <w:kern w:val="0"/>
          <w:sz w:val="32"/>
          <w:szCs w:val="32"/>
        </w:rPr>
        <w:t>所指珠三角地区包括广州、深圳、东莞、佛山、中山、珠海、惠州、江门、肇庆市。</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偏远农村地区是指省内非珠三角地市县级以下乡镇执业药师存在明显缺口的地区。</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color w:val="auto"/>
          <w:kern w:val="0"/>
          <w:sz w:val="32"/>
          <w:szCs w:val="32"/>
          <w:lang w:val="en-US" w:eastAsia="zh-CN"/>
        </w:rPr>
      </w:pPr>
      <w:r>
        <w:rPr>
          <w:rFonts w:hint="eastAsia" w:ascii="楷体_GB2312" w:hAnsi="楷体_GB2312" w:eastAsia="楷体_GB2312" w:cs="楷体_GB2312"/>
          <w:bCs w:val="0"/>
          <w:color w:val="auto"/>
          <w:kern w:val="0"/>
          <w:sz w:val="32"/>
          <w:szCs w:val="32"/>
        </w:rPr>
        <w:t>第三十</w:t>
      </w:r>
      <w:r>
        <w:rPr>
          <w:rFonts w:hint="eastAsia" w:ascii="楷体_GB2312" w:hAnsi="楷体_GB2312" w:eastAsia="楷体_GB2312" w:cs="楷体_GB2312"/>
          <w:bCs w:val="0"/>
          <w:color w:val="auto"/>
          <w:kern w:val="0"/>
          <w:sz w:val="32"/>
          <w:szCs w:val="32"/>
          <w:lang w:val="en-US" w:eastAsia="zh-CN"/>
        </w:rPr>
        <w:t>三</w:t>
      </w:r>
      <w:r>
        <w:rPr>
          <w:rFonts w:hint="eastAsia" w:ascii="楷体_GB2312" w:hAnsi="楷体_GB2312" w:eastAsia="楷体_GB2312" w:cs="楷体_GB2312"/>
          <w:bCs w:val="0"/>
          <w:color w:val="auto"/>
          <w:kern w:val="0"/>
          <w:sz w:val="32"/>
          <w:szCs w:val="32"/>
        </w:rPr>
        <w:t>条</w:t>
      </w:r>
      <w:r>
        <w:rPr>
          <w:rFonts w:hint="eastAsia" w:ascii="仿宋" w:hAnsi="仿宋" w:eastAsia="仿宋" w:cs="仿宋"/>
          <w:bCs w:val="0"/>
          <w:color w:val="auto"/>
          <w:kern w:val="0"/>
          <w:sz w:val="32"/>
          <w:szCs w:val="32"/>
          <w:lang w:val="en-US" w:eastAsia="zh-CN"/>
        </w:rPr>
        <w:t xml:space="preserve"> </w:t>
      </w:r>
      <w:r>
        <w:rPr>
          <w:rFonts w:hint="eastAsia" w:ascii="仿宋" w:hAnsi="仿宋" w:eastAsia="仿宋" w:cs="仿宋"/>
          <w:color w:val="auto"/>
          <w:kern w:val="0"/>
          <w:sz w:val="32"/>
          <w:szCs w:val="32"/>
          <w:lang w:val="en-US" w:eastAsia="zh-CN"/>
        </w:rPr>
        <w:t>本实施细则所指其他药学技术人员包括卫生（药）系列职称（含药师、主管药师、副主任药师、主任药师）。</w:t>
      </w:r>
    </w:p>
    <w:p>
      <w:pPr>
        <w:widowControl w:val="0"/>
        <w:snapToGrid w:val="0"/>
        <w:spacing w:line="640" w:lineRule="exact"/>
        <w:ind w:firstLine="645"/>
        <w:rPr>
          <w:rFonts w:hint="eastAsia" w:ascii="仿宋" w:hAnsi="仿宋" w:eastAsia="仿宋" w:cs="仿宋"/>
          <w:color w:val="auto"/>
          <w:kern w:val="0"/>
          <w:sz w:val="32"/>
          <w:szCs w:val="32"/>
          <w:lang w:val="en-US" w:eastAsia="zh-CN"/>
        </w:rPr>
      </w:pPr>
      <w:r>
        <w:rPr>
          <w:rFonts w:hint="eastAsia" w:ascii="楷体_GB2312" w:hAnsi="楷体_GB2312" w:eastAsia="楷体_GB2312" w:cs="楷体_GB2312"/>
          <w:bCs w:val="0"/>
          <w:color w:val="auto"/>
          <w:kern w:val="0"/>
          <w:sz w:val="32"/>
          <w:szCs w:val="32"/>
          <w:lang w:val="en-US" w:eastAsia="zh-CN"/>
        </w:rPr>
        <w:t xml:space="preserve">第三十四条 </w:t>
      </w:r>
      <w:r>
        <w:rPr>
          <w:rFonts w:hint="eastAsia" w:ascii="仿宋" w:hAnsi="仿宋" w:eastAsia="仿宋" w:cs="仿宋"/>
          <w:color w:val="auto"/>
          <w:kern w:val="0"/>
          <w:sz w:val="32"/>
          <w:szCs w:val="32"/>
          <w:lang w:val="en-US" w:eastAsia="zh-CN"/>
        </w:rPr>
        <w:t>各地级以上市药品监管部门可根据本实施细则，结合辖区实际情况制定高于本</w:t>
      </w:r>
      <w:r>
        <w:rPr>
          <w:rFonts w:hint="eastAsia" w:ascii="仿宋" w:hAnsi="仿宋" w:eastAsia="仿宋" w:cs="宋体"/>
          <w:color w:val="auto"/>
          <w:kern w:val="0"/>
          <w:sz w:val="32"/>
          <w:szCs w:val="32"/>
          <w:lang w:val="en-US" w:eastAsia="zh-CN"/>
        </w:rPr>
        <w:t>细则</w:t>
      </w:r>
      <w:r>
        <w:rPr>
          <w:rFonts w:hint="eastAsia" w:ascii="仿宋" w:hAnsi="仿宋" w:eastAsia="仿宋" w:cs="仿宋"/>
          <w:color w:val="auto"/>
          <w:kern w:val="0"/>
          <w:sz w:val="32"/>
          <w:szCs w:val="32"/>
          <w:lang w:val="en-US" w:eastAsia="zh-CN"/>
        </w:rPr>
        <w:t>的具体实施细则。</w:t>
      </w:r>
    </w:p>
    <w:p>
      <w:pPr>
        <w:snapToGrid w:val="0"/>
        <w:spacing w:line="640" w:lineRule="exact"/>
        <w:ind w:firstLine="636" w:firstLineChars="199"/>
        <w:rPr>
          <w:rFonts w:hint="eastAsia" w:ascii="仿宋" w:hAnsi="仿宋" w:eastAsia="仿宋" w:cs="宋体"/>
          <w:color w:val="auto"/>
          <w:kern w:val="0"/>
          <w:sz w:val="32"/>
          <w:szCs w:val="32"/>
        </w:rPr>
      </w:pPr>
      <w:r>
        <w:rPr>
          <w:rFonts w:hint="eastAsia" w:ascii="仿宋" w:hAnsi="仿宋" w:eastAsia="楷体_GB2312"/>
          <w:bCs/>
          <w:color w:val="auto"/>
          <w:sz w:val="32"/>
        </w:rPr>
        <w:t>第三</w:t>
      </w:r>
      <w:r>
        <w:rPr>
          <w:rFonts w:hint="eastAsia" w:ascii="仿宋" w:hAnsi="仿宋" w:eastAsia="楷体_GB2312"/>
          <w:bCs/>
          <w:color w:val="auto"/>
          <w:sz w:val="32"/>
          <w:lang w:val="en-US" w:eastAsia="zh-CN"/>
        </w:rPr>
        <w:t>十五</w:t>
      </w:r>
      <w:r>
        <w:rPr>
          <w:rFonts w:hint="eastAsia" w:ascii="仿宋" w:hAnsi="仿宋" w:eastAsia="楷体_GB2312"/>
          <w:bCs/>
          <w:color w:val="auto"/>
          <w:sz w:val="32"/>
        </w:rPr>
        <w:t>条</w:t>
      </w:r>
      <w:r>
        <w:rPr>
          <w:rFonts w:hint="eastAsia" w:ascii="仿宋" w:hAnsi="仿宋" w:eastAsia="仿宋" w:cs="宋体"/>
          <w:color w:val="auto"/>
          <w:kern w:val="0"/>
          <w:sz w:val="32"/>
          <w:szCs w:val="32"/>
        </w:rPr>
        <w:t xml:space="preserve"> 本</w:t>
      </w:r>
      <w:r>
        <w:rPr>
          <w:rFonts w:hint="eastAsia" w:ascii="仿宋" w:hAnsi="仿宋" w:eastAsia="仿宋" w:cs="宋体"/>
          <w:color w:val="auto"/>
          <w:kern w:val="0"/>
          <w:sz w:val="32"/>
          <w:szCs w:val="32"/>
          <w:lang w:val="en-US" w:eastAsia="zh-CN"/>
        </w:rPr>
        <w:t>细则</w:t>
      </w:r>
      <w:r>
        <w:rPr>
          <w:rFonts w:hint="eastAsia" w:ascii="仿宋" w:hAnsi="仿宋" w:eastAsia="仿宋" w:cs="宋体"/>
          <w:color w:val="auto"/>
          <w:kern w:val="0"/>
          <w:sz w:val="32"/>
          <w:szCs w:val="32"/>
        </w:rPr>
        <w:t>自</w:t>
      </w:r>
      <w:r>
        <w:rPr>
          <w:rFonts w:hint="eastAsia" w:ascii="仿宋" w:hAnsi="仿宋" w:eastAsia="仿宋" w:cs="宋体"/>
          <w:color w:val="auto"/>
          <w:kern w:val="0"/>
          <w:sz w:val="32"/>
          <w:szCs w:val="32"/>
          <w:lang w:val="en-US" w:eastAsia="zh-CN"/>
        </w:rPr>
        <w:t>2021</w:t>
      </w:r>
      <w:r>
        <w:rPr>
          <w:rFonts w:hint="eastAsia" w:ascii="仿宋" w:hAnsi="仿宋" w:eastAsia="仿宋" w:cs="宋体"/>
          <w:color w:val="auto"/>
          <w:kern w:val="0"/>
          <w:sz w:val="32"/>
          <w:szCs w:val="32"/>
        </w:rPr>
        <w:t>年</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rPr>
        <w:t>月</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rPr>
        <w:t>日起施行</w:t>
      </w:r>
      <w:r>
        <w:rPr>
          <w:rFonts w:hint="eastAsia" w:ascii="仿宋" w:hAnsi="仿宋" w:eastAsia="仿宋" w:cs="宋体"/>
          <w:color w:val="auto"/>
          <w:kern w:val="0"/>
          <w:sz w:val="32"/>
          <w:szCs w:val="32"/>
          <w:lang w:eastAsia="zh-CN"/>
        </w:rPr>
        <w:t>。</w:t>
      </w:r>
    </w:p>
    <w:p>
      <w:pPr>
        <w:rPr>
          <w:color w:val="auto"/>
        </w:rPr>
      </w:pPr>
    </w:p>
    <w:p>
      <w:pPr>
        <w:rPr>
          <w:color w:val="auto"/>
        </w:rPr>
      </w:pPr>
    </w:p>
    <w:p>
      <w:pPr>
        <w:rPr>
          <w:color w:val="auto"/>
        </w:rPr>
      </w:pPr>
    </w:p>
    <w:p>
      <w:pPr>
        <w:rPr>
          <w:color w:val="auto"/>
        </w:rPr>
      </w:pPr>
    </w:p>
    <w:p>
      <w:pPr>
        <w:rPr>
          <w:color w:val="auto"/>
        </w:rPr>
      </w:pPr>
    </w:p>
    <w:sectPr>
      <w:footerReference r:id="rId3" w:type="default"/>
      <w:pgSz w:w="11906" w:h="16838"/>
      <w:pgMar w:top="1440" w:right="1803" w:bottom="1440" w:left="1803" w:header="851" w:footer="992" w:gutter="0"/>
      <w:pgBorders w:offsetFrom="page">
        <w:top w:val="none" w:sz="0" w:space="0"/>
        <w:left w:val="none" w:sz="0" w:space="0"/>
        <w:bottom w:val="none" w:sz="0" w:space="0"/>
        <w:right w:val="none" w:sz="0" w:space="0"/>
      </w:pgBorders>
      <w:pgNumType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ind w:left="210" w:leftChars="100"/>
    </w:pPr>
    <w:r>
      <w:rPr>
        <w:rFonts w:hint="eastAsia" w:ascii="宋体" w:hAnsi="宋体" w:eastAsia="宋体" w:cs="宋体"/>
        <w:kern w:val="2"/>
        <w:sz w:val="28"/>
        <w:szCs w:val="28"/>
      </w:rPr>
      <w:fldChar w:fldCharType="begin"/>
    </w:r>
    <w:r>
      <w:rPr>
        <w:rFonts w:hint="eastAsia" w:ascii="宋体" w:hAnsi="宋体" w:eastAsia="宋体" w:cs="宋体"/>
        <w:kern w:val="2"/>
        <w:sz w:val="28"/>
        <w:szCs w:val="28"/>
      </w:rPr>
      <w:fldChar w:fldCharType="separate"/>
    </w:r>
    <w:r>
      <w:rPr>
        <w:rFonts w:hint="eastAsia" w:ascii="宋体" w:hAnsi="宋体" w:eastAsia="宋体" w:cs="宋体"/>
        <w:kern w:val="2"/>
        <w:sz w:val="28"/>
        <w:szCs w:val="28"/>
      </w:rPr>
      <w:fldChar w:fldCharType="end"/>
    </w:r>
  </w:p>
  <w:p>
    <w:pPr>
      <w:pStyle w:val="3"/>
      <w:widowControl/>
      <w:ind w:left="210" w:leftChars="100" w:right="210" w:rightChars="10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idowControl/>
                            <w:ind w:left="210" w:leftChars="100" w:right="210" w:rightChars="100"/>
                          </w:pPr>
                          <w:r>
                            <w:rPr>
                              <w:rStyle w:val="15"/>
                              <w:rFonts w:hint="eastAsia" w:ascii="宋体" w:hAnsi="宋体" w:eastAsia="宋体" w:cs="宋体"/>
                              <w:sz w:val="28"/>
                              <w:szCs w:val="28"/>
                            </w:rPr>
                            <w:t xml:space="preserve">— </w:t>
                          </w:r>
                          <w:r>
                            <w:rPr>
                              <w:rFonts w:hint="eastAsia" w:ascii="宋体" w:hAnsi="宋体" w:eastAsia="宋体" w:cs="宋体"/>
                              <w:kern w:val="2"/>
                              <w:sz w:val="28"/>
                              <w:szCs w:val="28"/>
                            </w:rPr>
                            <w:fldChar w:fldCharType="begin"/>
                          </w:r>
                          <w:r>
                            <w:rPr>
                              <w:rStyle w:val="15"/>
                              <w:rFonts w:hint="eastAsia" w:ascii="宋体" w:hAnsi="宋体" w:eastAsia="宋体" w:cs="宋体"/>
                              <w:sz w:val="28"/>
                              <w:szCs w:val="28"/>
                            </w:rPr>
                            <w:instrText xml:space="preserve">PAGE  </w:instrText>
                          </w:r>
                          <w:r>
                            <w:rPr>
                              <w:rFonts w:hint="eastAsia" w:ascii="宋体" w:hAnsi="宋体" w:eastAsia="宋体" w:cs="宋体"/>
                              <w:kern w:val="2"/>
                              <w:sz w:val="28"/>
                              <w:szCs w:val="28"/>
                            </w:rPr>
                            <w:fldChar w:fldCharType="separate"/>
                          </w:r>
                          <w:r>
                            <w:rPr>
                              <w:rStyle w:val="15"/>
                              <w:rFonts w:hint="eastAsia" w:ascii="宋体" w:hAnsi="宋体" w:eastAsia="宋体" w:cs="宋体"/>
                              <w:sz w:val="28"/>
                              <w:szCs w:val="28"/>
                            </w:rPr>
                            <w:t>11</w:t>
                          </w:r>
                          <w:r>
                            <w:rPr>
                              <w:rFonts w:hint="eastAsia" w:ascii="宋体" w:hAnsi="宋体" w:eastAsia="宋体" w:cs="宋体"/>
                              <w:kern w:val="2"/>
                              <w:sz w:val="28"/>
                              <w:szCs w:val="28"/>
                            </w:rPr>
                            <w:fldChar w:fldCharType="end"/>
                          </w:r>
                          <w:r>
                            <w:rPr>
                              <w:rStyle w:val="15"/>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widowControl/>
                      <w:ind w:left="210" w:leftChars="100" w:right="210" w:rightChars="100"/>
                    </w:pPr>
                    <w:r>
                      <w:rPr>
                        <w:rStyle w:val="15"/>
                        <w:rFonts w:hint="eastAsia" w:ascii="宋体" w:hAnsi="宋体" w:eastAsia="宋体" w:cs="宋体"/>
                        <w:sz w:val="28"/>
                        <w:szCs w:val="28"/>
                      </w:rPr>
                      <w:t xml:space="preserve">— </w:t>
                    </w:r>
                    <w:r>
                      <w:rPr>
                        <w:rFonts w:hint="eastAsia" w:ascii="宋体" w:hAnsi="宋体" w:eastAsia="宋体" w:cs="宋体"/>
                        <w:kern w:val="2"/>
                        <w:sz w:val="28"/>
                        <w:szCs w:val="28"/>
                      </w:rPr>
                      <w:fldChar w:fldCharType="begin"/>
                    </w:r>
                    <w:r>
                      <w:rPr>
                        <w:rStyle w:val="15"/>
                        <w:rFonts w:hint="eastAsia" w:ascii="宋体" w:hAnsi="宋体" w:eastAsia="宋体" w:cs="宋体"/>
                        <w:sz w:val="28"/>
                        <w:szCs w:val="28"/>
                      </w:rPr>
                      <w:instrText xml:space="preserve">PAGE  </w:instrText>
                    </w:r>
                    <w:r>
                      <w:rPr>
                        <w:rFonts w:hint="eastAsia" w:ascii="宋体" w:hAnsi="宋体" w:eastAsia="宋体" w:cs="宋体"/>
                        <w:kern w:val="2"/>
                        <w:sz w:val="28"/>
                        <w:szCs w:val="28"/>
                      </w:rPr>
                      <w:fldChar w:fldCharType="separate"/>
                    </w:r>
                    <w:r>
                      <w:rPr>
                        <w:rStyle w:val="15"/>
                        <w:rFonts w:hint="eastAsia" w:ascii="宋体" w:hAnsi="宋体" w:eastAsia="宋体" w:cs="宋体"/>
                        <w:sz w:val="28"/>
                        <w:szCs w:val="28"/>
                      </w:rPr>
                      <w:t>11</w:t>
                    </w:r>
                    <w:r>
                      <w:rPr>
                        <w:rFonts w:hint="eastAsia" w:ascii="宋体" w:hAnsi="宋体" w:eastAsia="宋体" w:cs="宋体"/>
                        <w:kern w:val="2"/>
                        <w:sz w:val="28"/>
                        <w:szCs w:val="28"/>
                      </w:rPr>
                      <w:fldChar w:fldCharType="end"/>
                    </w:r>
                    <w:r>
                      <w:rPr>
                        <w:rStyle w:val="15"/>
                        <w:rFonts w:hint="eastAsia" w:ascii="宋体" w:hAnsi="宋体" w:eastAsia="宋体" w:cs="宋体"/>
                        <w:sz w:val="28"/>
                        <w:szCs w:val="28"/>
                      </w:rPr>
                      <w:t xml:space="preserve"> —</w:t>
                    </w:r>
                  </w:p>
                </w:txbxContent>
              </v:textbox>
            </v:shape>
          </w:pict>
        </mc:Fallback>
      </mc:AlternateContent>
    </w:r>
  </w:p>
  <w:p>
    <w:pPr>
      <w:pStyle w:val="3"/>
      <w:widowControl/>
      <w:ind w:left="0" w:right="360" w:firstLine="360"/>
      <w:rPr>
        <w:rFonts w:hint="default" w:ascii="Times New Roman" w:hAnsi="Times New Roman" w:eastAsia="仿宋" w:cs="Times New Roman"/>
        <w:kern w:val="2"/>
        <w:sz w:val="18"/>
        <w:szCs w:val="18"/>
      </w:rPr>
    </w:pPr>
    <w:r>
      <w:rPr>
        <w:rFonts w:hint="default" w:ascii="Times New Roman" w:hAnsi="Times New Roman" w:eastAsia="仿宋" w:cs="Times New Roman"/>
        <w:kern w:val="2"/>
        <w:sz w:val="18"/>
        <w:szCs w:val="1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2A7C6"/>
    <w:multiLevelType w:val="singleLevel"/>
    <w:tmpl w:val="59B2A7C6"/>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4258D"/>
    <w:rsid w:val="01A005CD"/>
    <w:rsid w:val="02521F55"/>
    <w:rsid w:val="034354F8"/>
    <w:rsid w:val="08815A73"/>
    <w:rsid w:val="0C4D0A91"/>
    <w:rsid w:val="0EA60658"/>
    <w:rsid w:val="111E3CA3"/>
    <w:rsid w:val="12007ACB"/>
    <w:rsid w:val="15776383"/>
    <w:rsid w:val="16C43F43"/>
    <w:rsid w:val="16FE20BA"/>
    <w:rsid w:val="1C9B46D6"/>
    <w:rsid w:val="23141692"/>
    <w:rsid w:val="258B732E"/>
    <w:rsid w:val="2B164A2E"/>
    <w:rsid w:val="2E604CF1"/>
    <w:rsid w:val="335C3731"/>
    <w:rsid w:val="38654C5E"/>
    <w:rsid w:val="3A013C8F"/>
    <w:rsid w:val="3C04258D"/>
    <w:rsid w:val="3D6E7158"/>
    <w:rsid w:val="400817A7"/>
    <w:rsid w:val="477F7D21"/>
    <w:rsid w:val="47FF737C"/>
    <w:rsid w:val="48466C6E"/>
    <w:rsid w:val="578A68F7"/>
    <w:rsid w:val="58F82AD4"/>
    <w:rsid w:val="59DE2964"/>
    <w:rsid w:val="5E087195"/>
    <w:rsid w:val="5E21186F"/>
    <w:rsid w:val="5EF34626"/>
    <w:rsid w:val="619F57AB"/>
    <w:rsid w:val="62484EE0"/>
    <w:rsid w:val="62AB08C0"/>
    <w:rsid w:val="62B442EB"/>
    <w:rsid w:val="63030C7D"/>
    <w:rsid w:val="65C42D11"/>
    <w:rsid w:val="69E23E04"/>
    <w:rsid w:val="6A3714A8"/>
    <w:rsid w:val="6CB21AD4"/>
    <w:rsid w:val="6E631CD7"/>
    <w:rsid w:val="726A04E4"/>
    <w:rsid w:val="76355D27"/>
    <w:rsid w:val="77763EC6"/>
    <w:rsid w:val="78EB2D8A"/>
    <w:rsid w:val="794C3EEB"/>
    <w:rsid w:val="79A95FD5"/>
    <w:rsid w:val="7AFB2585"/>
    <w:rsid w:val="7EEE5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keepNext w:val="0"/>
      <w:keepLines w:val="0"/>
      <w:widowControl w:val="0"/>
      <w:suppressLineNumbers w:val="0"/>
      <w:snapToGrid w:val="0"/>
      <w:spacing w:before="0" w:beforeAutospacing="0" w:after="0" w:afterAutospacing="0"/>
      <w:ind w:left="0" w:right="0"/>
      <w:jc w:val="left"/>
    </w:pPr>
    <w:rPr>
      <w:rFonts w:hint="default" w:ascii="Times New Roman" w:hAnsi="Times New Roman" w:eastAsia="仿宋" w:cs="Times New Roman"/>
      <w:kern w:val="2"/>
      <w:sz w:val="18"/>
      <w:szCs w:val="18"/>
      <w:lang w:val="en-US" w:eastAsia="zh-CN" w:bidi="ar"/>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333333"/>
      <w:u w:val="none"/>
    </w:rPr>
  </w:style>
  <w:style w:type="character" w:styleId="8">
    <w:name w:val="HTML Definition"/>
    <w:basedOn w:val="6"/>
    <w:uiPriority w:val="0"/>
  </w:style>
  <w:style w:type="character" w:styleId="9">
    <w:name w:val="HTML Variable"/>
    <w:basedOn w:val="6"/>
    <w:uiPriority w:val="0"/>
  </w:style>
  <w:style w:type="character" w:styleId="10">
    <w:name w:val="Hyperlink"/>
    <w:basedOn w:val="6"/>
    <w:qFormat/>
    <w:uiPriority w:val="0"/>
    <w:rPr>
      <w:color w:val="333333"/>
      <w:u w:val="none"/>
    </w:rPr>
  </w:style>
  <w:style w:type="character" w:styleId="11">
    <w:name w:val="HTML Code"/>
    <w:basedOn w:val="6"/>
    <w:qFormat/>
    <w:uiPriority w:val="0"/>
    <w:rPr>
      <w:rFonts w:ascii="Courier New" w:hAnsi="Courier New"/>
      <w:sz w:val="20"/>
    </w:rPr>
  </w:style>
  <w:style w:type="character" w:styleId="12">
    <w:name w:val="HTML Cite"/>
    <w:basedOn w:val="6"/>
    <w:qFormat/>
    <w:uiPriority w:val="0"/>
  </w:style>
  <w:style w:type="character" w:customStyle="1" w:styleId="14">
    <w:name w:val="10"/>
    <w:basedOn w:val="6"/>
    <w:qFormat/>
    <w:uiPriority w:val="0"/>
    <w:rPr>
      <w:rFonts w:hint="default" w:ascii="Times New Roman" w:hAnsi="Times New Roman" w:cs="Times New Roman"/>
    </w:rPr>
  </w:style>
  <w:style w:type="character" w:customStyle="1" w:styleId="15">
    <w:name w:val="16"/>
    <w:basedOn w:val="6"/>
    <w:qFormat/>
    <w:uiPriority w:val="0"/>
    <w:rPr>
      <w:rFonts w:hint="default" w:ascii="Times New Roman" w:hAnsi="Times New Roman" w:cs="Times New Roman"/>
    </w:rPr>
  </w:style>
  <w:style w:type="character" w:customStyle="1" w:styleId="16">
    <w:name w:val="15"/>
    <w:basedOn w:val="6"/>
    <w:qFormat/>
    <w:uiPriority w:val="0"/>
    <w:rPr>
      <w:rFonts w:hint="default" w:ascii="Times New Roman" w:hAnsi="Times New Roman" w:cs="Times New Roman"/>
      <w:sz w:val="18"/>
      <w:szCs w:val="18"/>
    </w:rPr>
  </w:style>
  <w:style w:type="character" w:customStyle="1" w:styleId="17">
    <w:name w:val="17"/>
    <w:basedOn w:val="6"/>
    <w:qFormat/>
    <w:uiPriority w:val="0"/>
    <w:rPr>
      <w:rFonts w:hint="default" w:ascii="Times New Roman" w:hAnsi="Times New Roman" w:cs="Times New Roman"/>
      <w:sz w:val="18"/>
      <w:szCs w:val="18"/>
    </w:rPr>
  </w:style>
  <w:style w:type="character" w:customStyle="1" w:styleId="18">
    <w:name w:val="txtbg"/>
    <w:basedOn w:val="6"/>
    <w:qFormat/>
    <w:uiPriority w:val="0"/>
    <w:rPr>
      <w:shd w:val="clear" w:fill="000000"/>
    </w:rPr>
  </w:style>
  <w:style w:type="character" w:customStyle="1" w:styleId="19">
    <w:name w:val="fontsize"/>
    <w:basedOn w:val="6"/>
    <w:qFormat/>
    <w:uiPriority w:val="0"/>
  </w:style>
  <w:style w:type="character" w:customStyle="1" w:styleId="20">
    <w:name w:val="llcs"/>
    <w:basedOn w:val="6"/>
    <w:qFormat/>
    <w:uiPriority w:val="0"/>
    <w:rPr>
      <w:vanish/>
    </w:rPr>
  </w:style>
  <w:style w:type="character" w:customStyle="1" w:styleId="21">
    <w:name w:val="txt"/>
    <w:basedOn w:val="6"/>
    <w:qFormat/>
    <w:uiPriority w:val="0"/>
    <w:rPr>
      <w:color w:val="FFFFFF"/>
      <w:sz w:val="19"/>
      <w:szCs w:val="1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2021-05-15T09:26:00Z</dcterms:created>
  <dc:creator>二处</dc:creator>
  <cp:lastModifiedBy>gdfda</cp:lastModifiedBy>
  <cp:lastPrinted>2021-06-09T03:56:44Z</cp:lastPrinted>
  <dcterms:modified xsi:type="dcterms:W3CDTF">2021-06-09T06:24:26Z</dcterms:modified>
  <dc:title>广东省药品零售企业开办验收实施细则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2483D587488442C8862580B3F5E60944</vt:lpwstr>
  </property>
</Properties>
</file>