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3A" w:rsidRPr="00F4258C" w:rsidRDefault="001B003A" w:rsidP="001B003A">
      <w:pPr>
        <w:ind w:firstLine="0"/>
        <w:jc w:val="left"/>
        <w:rPr>
          <w:rFonts w:ascii="黑体" w:eastAsia="黑体" w:hAnsi="黑体"/>
          <w:sz w:val="32"/>
          <w:szCs w:val="32"/>
        </w:rPr>
      </w:pPr>
      <w:r w:rsidRPr="00F4258C">
        <w:rPr>
          <w:rFonts w:ascii="黑体" w:eastAsia="黑体" w:hAnsi="黑体" w:hint="eastAsia"/>
          <w:sz w:val="32"/>
          <w:szCs w:val="32"/>
        </w:rPr>
        <w:t>附件</w:t>
      </w:r>
    </w:p>
    <w:p w:rsidR="001B003A" w:rsidRPr="00F4258C" w:rsidRDefault="001B003A" w:rsidP="001B003A">
      <w:pPr>
        <w:pStyle w:val="a8"/>
        <w:rPr>
          <w:rFonts w:ascii="方正小标宋简体" w:eastAsia="方正小标宋简体" w:hAnsi="宋体"/>
          <w:bCs/>
          <w:szCs w:val="44"/>
        </w:rPr>
      </w:pPr>
    </w:p>
    <w:p w:rsidR="001B003A" w:rsidRPr="00F4258C" w:rsidRDefault="001B003A" w:rsidP="001B003A">
      <w:pPr>
        <w:pStyle w:val="a8"/>
        <w:ind w:firstLine="0"/>
        <w:rPr>
          <w:rFonts w:ascii="方正小标宋简体" w:eastAsia="方正小标宋简体" w:hAnsi="宋体"/>
          <w:bCs/>
          <w:szCs w:val="44"/>
        </w:rPr>
      </w:pPr>
      <w:r w:rsidRPr="00F4258C">
        <w:rPr>
          <w:rFonts w:ascii="方正小标宋简体" w:eastAsia="方正小标宋简体" w:hAnsi="宋体" w:hint="eastAsia"/>
          <w:bCs/>
          <w:szCs w:val="44"/>
        </w:rPr>
        <w:t>关于支持处方流转医保政策的通知</w:t>
      </w:r>
    </w:p>
    <w:p w:rsidR="001B003A" w:rsidRPr="00F4258C" w:rsidRDefault="001B003A" w:rsidP="001B003A">
      <w:pPr>
        <w:ind w:firstLine="0"/>
        <w:jc w:val="center"/>
        <w:rPr>
          <w:rFonts w:ascii="楷体_GB2312" w:eastAsia="楷体_GB2312" w:hAnsi="楷体"/>
          <w:sz w:val="32"/>
          <w:szCs w:val="32"/>
        </w:rPr>
      </w:pPr>
      <w:r w:rsidRPr="00F4258C">
        <w:rPr>
          <w:rFonts w:ascii="楷体_GB2312" w:eastAsia="楷体_GB2312" w:hAnsi="楷体" w:hint="eastAsia"/>
          <w:sz w:val="32"/>
          <w:szCs w:val="32"/>
        </w:rPr>
        <w:t>（征求意见稿）</w:t>
      </w:r>
    </w:p>
    <w:p w:rsidR="001B003A" w:rsidRDefault="001B003A" w:rsidP="001B003A">
      <w:pPr>
        <w:pStyle w:val="a8"/>
        <w:ind w:firstLine="0"/>
        <w:rPr>
          <w:szCs w:val="44"/>
        </w:rPr>
      </w:pPr>
    </w:p>
    <w:p w:rsidR="001B003A" w:rsidRPr="00F4258C" w:rsidRDefault="001B003A" w:rsidP="001B003A">
      <w:pPr>
        <w:ind w:firstLine="0"/>
        <w:jc w:val="left"/>
        <w:rPr>
          <w:rFonts w:ascii="Times New Roman" w:eastAsia="仿宋_GB2312" w:hAnsi="仿宋"/>
          <w:sz w:val="32"/>
          <w:szCs w:val="32"/>
        </w:rPr>
      </w:pPr>
      <w:r w:rsidRPr="00F4258C">
        <w:rPr>
          <w:rFonts w:ascii="Times New Roman" w:eastAsia="仿宋_GB2312" w:hAnsi="仿宋" w:hint="eastAsia"/>
          <w:sz w:val="32"/>
          <w:szCs w:val="32"/>
        </w:rPr>
        <w:t>市医疗保险基金管理中心、市医疗保险结算中心，各区医保局，各定点医药机构：</w:t>
      </w:r>
    </w:p>
    <w:p w:rsidR="001B003A" w:rsidRPr="00F4258C" w:rsidRDefault="001B003A" w:rsidP="001B003A">
      <w:pPr>
        <w:ind w:firstLine="645"/>
        <w:jc w:val="left"/>
        <w:rPr>
          <w:rFonts w:ascii="Times New Roman" w:eastAsia="仿宋_GB2312" w:hAnsi="仿宋"/>
          <w:sz w:val="32"/>
          <w:szCs w:val="32"/>
        </w:rPr>
      </w:pPr>
      <w:r w:rsidRPr="00F4258C">
        <w:rPr>
          <w:rFonts w:ascii="Times New Roman" w:eastAsia="仿宋_GB2312" w:hAnsi="仿宋" w:hint="eastAsia"/>
          <w:sz w:val="32"/>
          <w:szCs w:val="32"/>
        </w:rPr>
        <w:t>为贯彻落实《国务院办公厅关于以新业态新模式引领新型消费加快发展的意见》（国办发〔</w:t>
      </w:r>
      <w:r w:rsidRPr="00F4258C">
        <w:rPr>
          <w:rFonts w:ascii="Times New Roman" w:eastAsia="仿宋_GB2312" w:hAnsi="仿宋" w:hint="eastAsia"/>
          <w:sz w:val="32"/>
          <w:szCs w:val="32"/>
        </w:rPr>
        <w:t>2020</w:t>
      </w:r>
      <w:r w:rsidRPr="00F4258C">
        <w:rPr>
          <w:rFonts w:ascii="Times New Roman" w:eastAsia="仿宋_GB2312" w:hAnsi="仿宋" w:hint="eastAsia"/>
          <w:sz w:val="32"/>
          <w:szCs w:val="32"/>
        </w:rPr>
        <w:t>〕</w:t>
      </w:r>
      <w:r w:rsidRPr="00F4258C">
        <w:rPr>
          <w:rFonts w:ascii="Times New Roman" w:eastAsia="仿宋_GB2312" w:hAnsi="仿宋" w:hint="eastAsia"/>
          <w:sz w:val="32"/>
          <w:szCs w:val="32"/>
        </w:rPr>
        <w:t>32</w:t>
      </w:r>
      <w:r w:rsidRPr="00F4258C">
        <w:rPr>
          <w:rFonts w:ascii="Times New Roman" w:eastAsia="仿宋_GB2312" w:hAnsi="仿宋" w:hint="eastAsia"/>
          <w:sz w:val="32"/>
          <w:szCs w:val="32"/>
        </w:rPr>
        <w:t>号）、《基本医疗保险用药管理暂行办法》（国家医保局令第</w:t>
      </w:r>
      <w:r w:rsidRPr="00F4258C">
        <w:rPr>
          <w:rFonts w:ascii="Times New Roman" w:eastAsia="仿宋_GB2312" w:hAnsi="仿宋" w:hint="eastAsia"/>
          <w:sz w:val="32"/>
          <w:szCs w:val="32"/>
        </w:rPr>
        <w:t>1</w:t>
      </w:r>
      <w:r w:rsidRPr="00F4258C">
        <w:rPr>
          <w:rFonts w:ascii="Times New Roman" w:eastAsia="仿宋_GB2312" w:hAnsi="仿宋" w:hint="eastAsia"/>
          <w:sz w:val="32"/>
          <w:szCs w:val="32"/>
        </w:rPr>
        <w:t>号）、《国家医保局人力资源社会保障部关于印发</w:t>
      </w:r>
      <w:r w:rsidRPr="00F4258C">
        <w:rPr>
          <w:rFonts w:ascii="Times New Roman" w:eastAsia="仿宋_GB2312" w:hAnsi="仿宋"/>
          <w:sz w:val="32"/>
          <w:szCs w:val="32"/>
        </w:rPr>
        <w:t>&lt;</w:t>
      </w:r>
      <w:r w:rsidRPr="00F4258C">
        <w:rPr>
          <w:rFonts w:ascii="Times New Roman" w:eastAsia="仿宋_GB2312" w:hAnsi="仿宋" w:hint="eastAsia"/>
          <w:sz w:val="32"/>
          <w:szCs w:val="32"/>
        </w:rPr>
        <w:t>国家基本医疗保险、工伤保险和生育保险药品目录</w:t>
      </w:r>
      <w:r w:rsidRPr="00F4258C">
        <w:rPr>
          <w:rFonts w:ascii="Times New Roman" w:eastAsia="仿宋_GB2312" w:hAnsi="仿宋"/>
          <w:sz w:val="32"/>
          <w:szCs w:val="32"/>
        </w:rPr>
        <w:t>&gt;</w:t>
      </w:r>
      <w:r w:rsidRPr="00F4258C">
        <w:rPr>
          <w:rFonts w:ascii="Times New Roman" w:eastAsia="仿宋_GB2312" w:hAnsi="仿宋" w:hint="eastAsia"/>
          <w:sz w:val="32"/>
          <w:szCs w:val="32"/>
        </w:rPr>
        <w:t>的通知》（医保发﹝</w:t>
      </w:r>
      <w:r w:rsidRPr="00F4258C">
        <w:rPr>
          <w:rFonts w:ascii="Times New Roman" w:eastAsia="仿宋_GB2312" w:hAnsi="仿宋" w:hint="eastAsia"/>
          <w:sz w:val="32"/>
          <w:szCs w:val="32"/>
        </w:rPr>
        <w:t>2019</w:t>
      </w:r>
      <w:r w:rsidRPr="00F4258C">
        <w:rPr>
          <w:rFonts w:ascii="Times New Roman" w:eastAsia="仿宋_GB2312" w:hAnsi="仿宋" w:hint="eastAsia"/>
          <w:sz w:val="32"/>
          <w:szCs w:val="32"/>
        </w:rPr>
        <w:t>﹞</w:t>
      </w:r>
      <w:r w:rsidRPr="00F4258C">
        <w:rPr>
          <w:rFonts w:ascii="Times New Roman" w:eastAsia="仿宋_GB2312" w:hAnsi="仿宋" w:hint="eastAsia"/>
          <w:sz w:val="32"/>
          <w:szCs w:val="32"/>
        </w:rPr>
        <w:t>46</w:t>
      </w:r>
      <w:r w:rsidRPr="00F4258C">
        <w:rPr>
          <w:rFonts w:ascii="Times New Roman" w:eastAsia="仿宋_GB2312" w:hAnsi="仿宋" w:hint="eastAsia"/>
          <w:sz w:val="32"/>
          <w:szCs w:val="32"/>
        </w:rPr>
        <w:t>号）等文件精神，现就医保政策支持处方流转有关事项通知如下：</w:t>
      </w:r>
    </w:p>
    <w:p w:rsidR="001B003A" w:rsidRPr="00F4258C" w:rsidRDefault="001B003A" w:rsidP="001B003A">
      <w:pPr>
        <w:ind w:firstLine="645"/>
        <w:jc w:val="left"/>
        <w:rPr>
          <w:rFonts w:ascii="Times New Roman" w:eastAsia="仿宋_GB2312" w:hAnsi="仿宋"/>
          <w:sz w:val="32"/>
          <w:szCs w:val="32"/>
        </w:rPr>
      </w:pPr>
      <w:r w:rsidRPr="00F4258C">
        <w:rPr>
          <w:rFonts w:ascii="Times New Roman" w:eastAsia="仿宋_GB2312" w:hAnsi="仿宋" w:hint="eastAsia"/>
          <w:sz w:val="32"/>
          <w:szCs w:val="32"/>
        </w:rPr>
        <w:t>一是定点零售药店为参保患者提供购买医保目录内药品服务的（包括参与起付标准计算等需个人支付的服务），必须有定点医疗机构医保服务医师开具的电子处方及电子签名，有审核资质的药师审核，并经该药店在医保服务执业药师审核后按规定上传医保结算系统。</w:t>
      </w:r>
    </w:p>
    <w:p w:rsidR="001B003A" w:rsidRPr="00F4258C" w:rsidRDefault="001B003A" w:rsidP="001B003A">
      <w:pPr>
        <w:ind w:firstLine="645"/>
        <w:jc w:val="left"/>
        <w:rPr>
          <w:rFonts w:ascii="Times New Roman" w:eastAsia="仿宋_GB2312" w:hAnsi="仿宋"/>
          <w:sz w:val="32"/>
          <w:szCs w:val="32"/>
        </w:rPr>
      </w:pPr>
      <w:r w:rsidRPr="00F4258C">
        <w:rPr>
          <w:rFonts w:ascii="Times New Roman" w:eastAsia="仿宋_GB2312" w:hAnsi="仿宋" w:hint="eastAsia"/>
          <w:sz w:val="32"/>
          <w:szCs w:val="32"/>
        </w:rPr>
        <w:t>二是处方流动所发生的药品费用，</w:t>
      </w:r>
      <w:r w:rsidRPr="00F4258C">
        <w:rPr>
          <w:rFonts w:ascii="Times New Roman" w:eastAsia="仿宋_GB2312" w:hAnsi="仿宋"/>
          <w:sz w:val="32"/>
          <w:szCs w:val="32"/>
        </w:rPr>
        <w:t>由医保经办机构与提供</w:t>
      </w:r>
      <w:r w:rsidRPr="00F4258C">
        <w:rPr>
          <w:rFonts w:ascii="Times New Roman" w:eastAsia="仿宋_GB2312" w:hAnsi="仿宋" w:hint="eastAsia"/>
          <w:sz w:val="32"/>
          <w:szCs w:val="32"/>
        </w:rPr>
        <w:t>调剂</w:t>
      </w:r>
      <w:r w:rsidRPr="00F4258C">
        <w:rPr>
          <w:rFonts w:ascii="Times New Roman" w:eastAsia="仿宋_GB2312" w:hAnsi="仿宋"/>
          <w:sz w:val="32"/>
          <w:szCs w:val="32"/>
        </w:rPr>
        <w:t>服务的</w:t>
      </w:r>
      <w:r w:rsidRPr="00F4258C">
        <w:rPr>
          <w:rFonts w:ascii="Times New Roman" w:eastAsia="仿宋_GB2312" w:hAnsi="仿宋" w:hint="eastAsia"/>
          <w:sz w:val="32"/>
          <w:szCs w:val="32"/>
        </w:rPr>
        <w:t>定点零售药店</w:t>
      </w:r>
      <w:r w:rsidRPr="00F4258C">
        <w:rPr>
          <w:rFonts w:ascii="Times New Roman" w:eastAsia="仿宋_GB2312" w:hAnsi="仿宋"/>
          <w:sz w:val="32"/>
          <w:szCs w:val="32"/>
        </w:rPr>
        <w:t>据实结算，纳入接诊医疗机构的医保</w:t>
      </w:r>
      <w:r w:rsidRPr="00F4258C">
        <w:rPr>
          <w:rFonts w:ascii="Times New Roman" w:eastAsia="仿宋_GB2312" w:hAnsi="仿宋" w:hint="eastAsia"/>
          <w:sz w:val="32"/>
          <w:szCs w:val="32"/>
        </w:rPr>
        <w:t>付费</w:t>
      </w:r>
      <w:r w:rsidRPr="00F4258C">
        <w:rPr>
          <w:rFonts w:ascii="Times New Roman" w:eastAsia="仿宋_GB2312" w:hAnsi="仿宋"/>
          <w:sz w:val="32"/>
          <w:szCs w:val="32"/>
        </w:rPr>
        <w:t>总额</w:t>
      </w:r>
      <w:r w:rsidRPr="00F4258C">
        <w:rPr>
          <w:rFonts w:ascii="Times New Roman" w:eastAsia="仿宋_GB2312" w:hAnsi="仿宋" w:hint="eastAsia"/>
          <w:sz w:val="32"/>
          <w:szCs w:val="32"/>
        </w:rPr>
        <w:t>管理</w:t>
      </w:r>
      <w:r w:rsidRPr="00F4258C">
        <w:rPr>
          <w:rFonts w:ascii="Times New Roman" w:eastAsia="仿宋_GB2312" w:hAnsi="仿宋"/>
          <w:sz w:val="32"/>
          <w:szCs w:val="32"/>
        </w:rPr>
        <w:t>指标核算范围</w:t>
      </w:r>
      <w:r w:rsidRPr="00F4258C">
        <w:rPr>
          <w:rFonts w:ascii="Times New Roman" w:eastAsia="仿宋_GB2312" w:hAnsi="仿宋" w:hint="eastAsia"/>
          <w:sz w:val="32"/>
          <w:szCs w:val="32"/>
        </w:rPr>
        <w:t>，并优先使用</w:t>
      </w:r>
      <w:r w:rsidRPr="00F4258C">
        <w:rPr>
          <w:rFonts w:ascii="Times New Roman" w:eastAsia="仿宋_GB2312" w:hAnsi="仿宋"/>
          <w:sz w:val="32"/>
          <w:szCs w:val="32"/>
        </w:rPr>
        <w:t>接诊医疗机构的医保</w:t>
      </w:r>
      <w:r w:rsidRPr="00F4258C">
        <w:rPr>
          <w:rFonts w:ascii="Times New Roman" w:eastAsia="仿宋_GB2312" w:hAnsi="仿宋" w:hint="eastAsia"/>
          <w:sz w:val="32"/>
          <w:szCs w:val="32"/>
        </w:rPr>
        <w:t>付费</w:t>
      </w:r>
      <w:r w:rsidRPr="00F4258C">
        <w:rPr>
          <w:rFonts w:ascii="Times New Roman" w:eastAsia="仿宋_GB2312" w:hAnsi="仿宋"/>
          <w:sz w:val="32"/>
          <w:szCs w:val="32"/>
        </w:rPr>
        <w:t>总额</w:t>
      </w:r>
      <w:r w:rsidRPr="00F4258C">
        <w:rPr>
          <w:rFonts w:ascii="Times New Roman" w:eastAsia="仿宋_GB2312" w:hAnsi="仿宋" w:hint="eastAsia"/>
          <w:sz w:val="32"/>
          <w:szCs w:val="32"/>
        </w:rPr>
        <w:t>管理</w:t>
      </w:r>
      <w:r w:rsidRPr="00F4258C">
        <w:rPr>
          <w:rFonts w:ascii="Times New Roman" w:eastAsia="仿宋_GB2312" w:hAnsi="仿宋"/>
          <w:sz w:val="32"/>
          <w:szCs w:val="32"/>
        </w:rPr>
        <w:t>指标。</w:t>
      </w:r>
    </w:p>
    <w:p w:rsidR="001B003A" w:rsidRPr="00F4258C" w:rsidRDefault="001B003A" w:rsidP="001B003A">
      <w:pPr>
        <w:ind w:firstLine="645"/>
        <w:jc w:val="left"/>
        <w:rPr>
          <w:rFonts w:ascii="Times New Roman" w:eastAsia="仿宋_GB2312" w:hAnsi="仿宋"/>
          <w:sz w:val="32"/>
          <w:szCs w:val="32"/>
        </w:rPr>
      </w:pPr>
      <w:r w:rsidRPr="00F4258C">
        <w:rPr>
          <w:rFonts w:ascii="Times New Roman" w:eastAsia="仿宋_GB2312" w:hAnsi="仿宋" w:hint="eastAsia"/>
          <w:sz w:val="32"/>
          <w:szCs w:val="32"/>
        </w:rPr>
        <w:t>三是参保患者在</w:t>
      </w:r>
      <w:r w:rsidRPr="00F4258C">
        <w:rPr>
          <w:rFonts w:ascii="Times New Roman" w:eastAsia="仿宋_GB2312" w:hAnsi="仿宋"/>
          <w:sz w:val="32"/>
          <w:szCs w:val="32"/>
        </w:rPr>
        <w:t>提供</w:t>
      </w:r>
      <w:r w:rsidRPr="00F4258C">
        <w:rPr>
          <w:rFonts w:ascii="Times New Roman" w:eastAsia="仿宋_GB2312" w:hAnsi="仿宋" w:hint="eastAsia"/>
          <w:sz w:val="32"/>
          <w:szCs w:val="32"/>
        </w:rPr>
        <w:t>调剂</w:t>
      </w:r>
      <w:r w:rsidRPr="00F4258C">
        <w:rPr>
          <w:rFonts w:ascii="Times New Roman" w:eastAsia="仿宋_GB2312" w:hAnsi="仿宋"/>
          <w:sz w:val="32"/>
          <w:szCs w:val="32"/>
        </w:rPr>
        <w:t>服务的</w:t>
      </w:r>
      <w:r w:rsidRPr="00F4258C">
        <w:rPr>
          <w:rFonts w:ascii="Times New Roman" w:eastAsia="仿宋_GB2312" w:hAnsi="仿宋" w:hint="eastAsia"/>
          <w:sz w:val="32"/>
          <w:szCs w:val="32"/>
        </w:rPr>
        <w:t>定点零售药店发生的</w:t>
      </w:r>
      <w:r w:rsidRPr="00F4258C">
        <w:rPr>
          <w:rFonts w:ascii="Times New Roman" w:eastAsia="仿宋_GB2312" w:hAnsi="仿宋" w:hint="eastAsia"/>
          <w:sz w:val="32"/>
          <w:szCs w:val="32"/>
        </w:rPr>
        <w:lastRenderedPageBreak/>
        <w:t>药品费用，医保报销待遇按照现行政策执行。定点零售药店为参保患者提供药品配送上门服务所发生的费用，按规定实行市场调节价，不纳入医保支付范围。</w:t>
      </w:r>
    </w:p>
    <w:p w:rsidR="001B003A" w:rsidRPr="00F4258C" w:rsidRDefault="001B003A" w:rsidP="001B003A">
      <w:pPr>
        <w:ind w:firstLine="645"/>
        <w:jc w:val="left"/>
        <w:rPr>
          <w:rFonts w:ascii="Times New Roman" w:eastAsia="仿宋_GB2312" w:hAnsi="仿宋"/>
          <w:sz w:val="32"/>
          <w:szCs w:val="32"/>
        </w:rPr>
      </w:pPr>
      <w:r w:rsidRPr="00F4258C">
        <w:rPr>
          <w:rFonts w:ascii="Times New Roman" w:eastAsia="仿宋_GB2312" w:hAnsi="仿宋" w:hint="eastAsia"/>
          <w:sz w:val="32"/>
          <w:szCs w:val="32"/>
        </w:rPr>
        <w:t>四是医保经办部门应按照医保协议对定点药店用药行为进行审核、监督和管理，按规定及时结算和支付医保费用。处方流动涉及药品费用拒付的，医保拒付主体与费用结算主体相一致。</w:t>
      </w:r>
    </w:p>
    <w:p w:rsidR="001B003A" w:rsidRPr="00F4258C" w:rsidRDefault="001B003A" w:rsidP="001B003A">
      <w:pPr>
        <w:ind w:firstLine="645"/>
        <w:jc w:val="left"/>
        <w:rPr>
          <w:rFonts w:ascii="Times New Roman" w:eastAsia="仿宋_GB2312" w:hAnsi="仿宋"/>
          <w:sz w:val="32"/>
          <w:szCs w:val="32"/>
        </w:rPr>
      </w:pPr>
      <w:r w:rsidRPr="00F4258C">
        <w:rPr>
          <w:rFonts w:ascii="Times New Roman" w:eastAsia="仿宋_GB2312" w:hAnsi="仿宋" w:hint="eastAsia"/>
          <w:sz w:val="32"/>
          <w:szCs w:val="32"/>
        </w:rPr>
        <w:t>五是完善协议考核标准，将处方流转考核结果与履约保证金等医保基金支付挂钩。</w:t>
      </w:r>
    </w:p>
    <w:p w:rsidR="001B003A" w:rsidRPr="00F4258C" w:rsidRDefault="001B003A" w:rsidP="001B003A">
      <w:pPr>
        <w:ind w:firstLine="645"/>
        <w:jc w:val="left"/>
        <w:rPr>
          <w:rFonts w:ascii="Times New Roman" w:eastAsia="仿宋_GB2312" w:hAnsi="仿宋"/>
          <w:sz w:val="32"/>
          <w:szCs w:val="32"/>
        </w:rPr>
      </w:pPr>
      <w:r w:rsidRPr="00F4258C">
        <w:rPr>
          <w:rFonts w:ascii="Times New Roman" w:eastAsia="仿宋_GB2312" w:hAnsi="仿宋" w:hint="eastAsia"/>
          <w:sz w:val="32"/>
          <w:szCs w:val="32"/>
        </w:rPr>
        <w:t>六是定点医药机构应落实医保用药管理政策，履行药品配备、使用、支付、管理方面职责，配合医保部门做好监督、管理，优化市场环境。</w:t>
      </w:r>
    </w:p>
    <w:p w:rsidR="001B003A" w:rsidRPr="00F4258C" w:rsidRDefault="001B003A" w:rsidP="001B003A">
      <w:pPr>
        <w:ind w:firstLine="645"/>
        <w:jc w:val="left"/>
        <w:rPr>
          <w:rFonts w:ascii="Times New Roman" w:eastAsia="仿宋_GB2312" w:hAnsi="仿宋"/>
          <w:sz w:val="32"/>
          <w:szCs w:val="32"/>
        </w:rPr>
      </w:pPr>
      <w:r w:rsidRPr="00F4258C">
        <w:rPr>
          <w:rFonts w:ascii="Times New Roman" w:eastAsia="仿宋_GB2312" w:hAnsi="仿宋" w:hint="eastAsia"/>
          <w:sz w:val="32"/>
          <w:szCs w:val="32"/>
        </w:rPr>
        <w:t>本通知自</w:t>
      </w:r>
      <w:r w:rsidRPr="00F4258C">
        <w:rPr>
          <w:rFonts w:ascii="Times New Roman" w:eastAsia="仿宋_GB2312" w:hAnsi="仿宋" w:hint="eastAsia"/>
          <w:sz w:val="32"/>
          <w:szCs w:val="32"/>
        </w:rPr>
        <w:t>2</w:t>
      </w:r>
      <w:r w:rsidRPr="00F4258C">
        <w:rPr>
          <w:rFonts w:ascii="Times New Roman" w:eastAsia="仿宋_GB2312" w:hAnsi="仿宋"/>
          <w:sz w:val="32"/>
          <w:szCs w:val="32"/>
        </w:rPr>
        <w:t>022</w:t>
      </w:r>
      <w:r w:rsidRPr="00F4258C">
        <w:rPr>
          <w:rFonts w:ascii="Times New Roman" w:eastAsia="仿宋_GB2312" w:hAnsi="仿宋" w:hint="eastAsia"/>
          <w:sz w:val="32"/>
          <w:szCs w:val="32"/>
        </w:rPr>
        <w:t>年</w:t>
      </w:r>
      <w:r w:rsidRPr="00F4258C">
        <w:rPr>
          <w:rFonts w:ascii="Times New Roman" w:eastAsia="仿宋_GB2312" w:hAnsi="仿宋" w:hint="eastAsia"/>
          <w:sz w:val="32"/>
          <w:szCs w:val="32"/>
        </w:rPr>
        <w:t>1</w:t>
      </w:r>
      <w:r w:rsidRPr="00F4258C">
        <w:rPr>
          <w:rFonts w:ascii="Times New Roman" w:eastAsia="仿宋_GB2312" w:hAnsi="仿宋" w:hint="eastAsia"/>
          <w:sz w:val="32"/>
          <w:szCs w:val="32"/>
        </w:rPr>
        <w:t>月</w:t>
      </w:r>
      <w:r w:rsidRPr="00F4258C">
        <w:rPr>
          <w:rFonts w:ascii="Times New Roman" w:eastAsia="仿宋_GB2312" w:hAnsi="仿宋" w:hint="eastAsia"/>
          <w:sz w:val="32"/>
          <w:szCs w:val="32"/>
        </w:rPr>
        <w:t>1</w:t>
      </w:r>
      <w:r w:rsidRPr="00F4258C">
        <w:rPr>
          <w:rFonts w:ascii="Times New Roman" w:eastAsia="仿宋_GB2312" w:hAnsi="仿宋" w:hint="eastAsia"/>
          <w:sz w:val="32"/>
          <w:szCs w:val="32"/>
        </w:rPr>
        <w:t>日执行。</w:t>
      </w:r>
    </w:p>
    <w:p w:rsidR="00AF2451" w:rsidRDefault="003A2B02">
      <w:bookmarkStart w:id="0" w:name="_GoBack"/>
      <w:bookmarkEnd w:id="0"/>
    </w:p>
    <w:sectPr w:rsidR="00AF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02" w:rsidRDefault="003A2B02" w:rsidP="001B003A">
      <w:pPr>
        <w:spacing w:line="240" w:lineRule="auto"/>
      </w:pPr>
      <w:r>
        <w:separator/>
      </w:r>
    </w:p>
  </w:endnote>
  <w:endnote w:type="continuationSeparator" w:id="0">
    <w:p w:rsidR="003A2B02" w:rsidRDefault="003A2B02" w:rsidP="001B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02" w:rsidRDefault="003A2B02" w:rsidP="001B003A">
      <w:pPr>
        <w:spacing w:line="240" w:lineRule="auto"/>
      </w:pPr>
      <w:r>
        <w:separator/>
      </w:r>
    </w:p>
  </w:footnote>
  <w:footnote w:type="continuationSeparator" w:id="0">
    <w:p w:rsidR="003A2B02" w:rsidRDefault="003A2B02" w:rsidP="001B00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CE"/>
    <w:rsid w:val="001B003A"/>
    <w:rsid w:val="003A2B02"/>
    <w:rsid w:val="004F3DC4"/>
    <w:rsid w:val="007057CE"/>
    <w:rsid w:val="007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4A63B0-998D-44CB-8457-16932CED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3A"/>
    <w:pPr>
      <w:widowControl w:val="0"/>
      <w:spacing w:line="578" w:lineRule="exact"/>
      <w:ind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0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03A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03A"/>
    <w:rPr>
      <w:sz w:val="18"/>
      <w:szCs w:val="18"/>
    </w:rPr>
  </w:style>
  <w:style w:type="character" w:customStyle="1" w:styleId="a7">
    <w:name w:val="正文文本 字符"/>
    <w:link w:val="a8"/>
    <w:locked/>
    <w:rsid w:val="001B003A"/>
    <w:rPr>
      <w:sz w:val="44"/>
    </w:rPr>
  </w:style>
  <w:style w:type="paragraph" w:styleId="a8">
    <w:name w:val="Body Text"/>
    <w:basedOn w:val="a"/>
    <w:link w:val="a7"/>
    <w:qFormat/>
    <w:rsid w:val="001B003A"/>
    <w:pPr>
      <w:jc w:val="center"/>
    </w:pPr>
    <w:rPr>
      <w:rFonts w:asciiTheme="minorHAnsi" w:eastAsiaTheme="minorEastAsia" w:hAnsiTheme="minorHAnsi" w:cstheme="minorBidi"/>
      <w:sz w:val="44"/>
    </w:rPr>
  </w:style>
  <w:style w:type="character" w:customStyle="1" w:styleId="1">
    <w:name w:val="正文文本 字符1"/>
    <w:basedOn w:val="a0"/>
    <w:uiPriority w:val="99"/>
    <w:semiHidden/>
    <w:rsid w:val="001B003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2</cp:revision>
  <dcterms:created xsi:type="dcterms:W3CDTF">2021-06-04T09:17:00Z</dcterms:created>
  <dcterms:modified xsi:type="dcterms:W3CDTF">2021-06-04T09:17:00Z</dcterms:modified>
</cp:coreProperties>
</file>